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58.xml" ContentType="application/vnd.openxmlformats-officedocument.wordprocessingml.header+xml"/>
  <Override PartName="/word/footer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0966" w:rsidRDefault="00DA6E8C">
      <w:pPr>
        <w:jc w:val="center"/>
      </w:pPr>
      <w:bookmarkStart w:id="0" w:name="_GoBack"/>
      <w:bookmarkEnd w:id="0"/>
      <w:r>
        <w:rPr>
          <w:noProof/>
          <w:lang w:eastAsia="en-AU"/>
        </w:rPr>
        <w:drawing>
          <wp:inline distT="0" distB="0" distL="0" distR="0">
            <wp:extent cx="1333500" cy="1181100"/>
            <wp:effectExtent l="0" t="0" r="0" b="0"/>
            <wp:docPr id="1"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40966" w:rsidRDefault="00B40966">
      <w:pPr>
        <w:jc w:val="center"/>
        <w:rPr>
          <w:rFonts w:ascii="Arial" w:hAnsi="Arial"/>
        </w:rPr>
      </w:pPr>
      <w:r>
        <w:rPr>
          <w:rFonts w:ascii="Arial" w:hAnsi="Arial"/>
        </w:rPr>
        <w:t>Australian Capital Territory</w:t>
      </w:r>
    </w:p>
    <w:p w:rsidR="00B40966" w:rsidRDefault="00D46C11">
      <w:pPr>
        <w:pStyle w:val="Billname"/>
      </w:pPr>
      <w:r>
        <w:fldChar w:fldCharType="begin"/>
      </w:r>
      <w:r>
        <w:instrText xml:space="preserve"> REF Citation \*charformat </w:instrText>
      </w:r>
      <w:r>
        <w:fldChar w:fldCharType="separate"/>
      </w:r>
      <w:r w:rsidR="00C67449">
        <w:t>Scaffolding and Lifts Regulation 1950</w:t>
      </w:r>
      <w:r>
        <w:fldChar w:fldCharType="end"/>
      </w:r>
      <w:r w:rsidR="00B40966">
        <w:t xml:space="preserve">    </w:t>
      </w:r>
    </w:p>
    <w:p w:rsidR="00B40966" w:rsidRDefault="00B40966">
      <w:pPr>
        <w:pStyle w:val="ActNo"/>
      </w:pPr>
    </w:p>
    <w:p w:rsidR="00B40966" w:rsidRDefault="00B40966">
      <w:pPr>
        <w:pStyle w:val="CoverInForce"/>
      </w:pPr>
      <w:r>
        <w:t>made under the</w:t>
      </w:r>
    </w:p>
    <w:p w:rsidR="00B40966" w:rsidRDefault="00D46C11">
      <w:pPr>
        <w:pStyle w:val="CoverActName"/>
      </w:pPr>
      <w:r>
        <w:fldChar w:fldCharType="begin"/>
      </w:r>
      <w:r>
        <w:instrText xml:space="preserve"> REF ActName \*charformat </w:instrText>
      </w:r>
      <w:r>
        <w:fldChar w:fldCharType="separate"/>
      </w:r>
      <w:r w:rsidR="00C67449">
        <w:t>Scaffolding and Lifts Act 1912</w:t>
      </w:r>
      <w:r>
        <w:fldChar w:fldCharType="end"/>
      </w:r>
    </w:p>
    <w:p w:rsidR="00B40966" w:rsidRDefault="00B40966">
      <w:pPr>
        <w:pStyle w:val="RepubNo"/>
      </w:pPr>
      <w:r>
        <w:t xml:space="preserve">Republication No </w:t>
      </w:r>
      <w:bookmarkStart w:id="1" w:name="RepubNo"/>
      <w:r>
        <w:t>3</w:t>
      </w:r>
      <w:bookmarkEnd w:id="1"/>
    </w:p>
    <w:p w:rsidR="00B40966" w:rsidRDefault="00B40966">
      <w:pPr>
        <w:pStyle w:val="EffectiveDate"/>
      </w:pPr>
      <w:r>
        <w:t xml:space="preserve">Effective:  </w:t>
      </w:r>
      <w:bookmarkStart w:id="2" w:name="EffectiveDate"/>
      <w:r>
        <w:t>4 November 2004</w:t>
      </w:r>
      <w:bookmarkEnd w:id="2"/>
      <w:r>
        <w:t xml:space="preserve"> – </w:t>
      </w:r>
      <w:bookmarkStart w:id="3" w:name="EndEffDate"/>
      <w:r>
        <w:t>11 April 2007</w:t>
      </w:r>
      <w:bookmarkEnd w:id="3"/>
    </w:p>
    <w:p w:rsidR="00B40966" w:rsidRDefault="00B40966">
      <w:pPr>
        <w:pStyle w:val="CoverInForce"/>
      </w:pPr>
      <w:r>
        <w:t xml:space="preserve">Republication date: </w:t>
      </w:r>
      <w:bookmarkStart w:id="4" w:name="InForceDate"/>
      <w:r>
        <w:t>4 November 2004</w:t>
      </w:r>
      <w:bookmarkEnd w:id="4"/>
    </w:p>
    <w:p w:rsidR="00B40966" w:rsidRDefault="00B40966">
      <w:pPr>
        <w:pStyle w:val="CoverInForce"/>
      </w:pPr>
      <w:r>
        <w:t xml:space="preserve">Last amendment made by </w:t>
      </w:r>
      <w:bookmarkStart w:id="5" w:name="LastAmdt"/>
      <w:r>
        <w:t>A2001-44</w:t>
      </w:r>
      <w:bookmarkEnd w:id="5"/>
      <w:r>
        <w:br/>
        <w:t xml:space="preserve">(republication includes editorial amendments </w:t>
      </w:r>
      <w:r>
        <w:br/>
        <w:t>under Legislation Act)</w:t>
      </w:r>
    </w:p>
    <w:p w:rsidR="00B40966" w:rsidRDefault="00B40966">
      <w:pPr>
        <w:pStyle w:val="CoverInForce"/>
      </w:pPr>
    </w:p>
    <w:p w:rsidR="00B40966" w:rsidRDefault="00B40966"/>
    <w:p w:rsidR="00B40966" w:rsidRDefault="00B40966"/>
    <w:p w:rsidR="00B40966" w:rsidRDefault="00B40966"/>
    <w:p w:rsidR="00B40966" w:rsidRDefault="00B40966"/>
    <w:p w:rsidR="00B40966" w:rsidRDefault="00B40966">
      <w:pPr>
        <w:rPr>
          <w:rFonts w:ascii="Arial" w:hAnsi="Arial"/>
        </w:rPr>
      </w:pPr>
    </w:p>
    <w:p w:rsidR="00B40966" w:rsidRDefault="00B40966">
      <w:pPr>
        <w:pStyle w:val="CoverHeading"/>
      </w:pPr>
      <w:r>
        <w:br w:type="page"/>
      </w:r>
      <w:r>
        <w:lastRenderedPageBreak/>
        <w:t>About this republication</w:t>
      </w:r>
    </w:p>
    <w:p w:rsidR="00B40966" w:rsidRDefault="00B40966">
      <w:pPr>
        <w:pStyle w:val="CoverSubHdg"/>
      </w:pPr>
      <w:r>
        <w:t>The republished law</w:t>
      </w:r>
    </w:p>
    <w:p w:rsidR="00B40966" w:rsidRDefault="00B40966">
      <w:pPr>
        <w:pStyle w:val="CoverText"/>
      </w:pPr>
      <w:r>
        <w:t xml:space="preserve">This is a republication of the </w:t>
      </w:r>
      <w:r>
        <w:rPr>
          <w:i/>
        </w:rPr>
        <w:fldChar w:fldCharType="begin"/>
      </w:r>
      <w:r>
        <w:rPr>
          <w:i/>
        </w:rPr>
        <w:instrText xml:space="preserve"> REF citation *\charformat  \* MERGEFORMAT </w:instrText>
      </w:r>
      <w:r>
        <w:rPr>
          <w:i/>
        </w:rPr>
        <w:fldChar w:fldCharType="separate"/>
      </w:r>
      <w:r w:rsidR="00C67449" w:rsidRPr="00C67449">
        <w:rPr>
          <w:i/>
        </w:rPr>
        <w:t>Scaffolding and Lifts Regulation 1950</w:t>
      </w:r>
      <w:r>
        <w:rPr>
          <w:i/>
        </w:rPr>
        <w:fldChar w:fldCharType="end"/>
      </w:r>
      <w:r>
        <w:rPr>
          <w:iCs/>
        </w:rPr>
        <w:t>,</w:t>
      </w:r>
      <w:r>
        <w:t xml:space="preserve"> made under the </w:t>
      </w:r>
      <w:r>
        <w:rPr>
          <w:i/>
        </w:rPr>
        <w:fldChar w:fldCharType="begin"/>
      </w:r>
      <w:r>
        <w:rPr>
          <w:i/>
        </w:rPr>
        <w:instrText xml:space="preserve"> REF ActName \*charformat  \* MERGEFORMAT </w:instrText>
      </w:r>
      <w:r>
        <w:rPr>
          <w:i/>
        </w:rPr>
        <w:fldChar w:fldCharType="separate"/>
      </w:r>
      <w:r w:rsidR="00C67449" w:rsidRPr="00C67449">
        <w:rPr>
          <w:i/>
        </w:rPr>
        <w:t>Scaffolding and Lifts Act 1912</w:t>
      </w:r>
      <w:r>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D46C11">
        <w:fldChar w:fldCharType="begin"/>
      </w:r>
      <w:r w:rsidR="00D46C11">
        <w:instrText xml:space="preserve"> REF InForceDate *\charformat </w:instrText>
      </w:r>
      <w:r w:rsidR="00D46C11">
        <w:fldChar w:fldCharType="separate"/>
      </w:r>
      <w:r w:rsidR="00C67449">
        <w:t>4 November 2004</w:t>
      </w:r>
      <w:r w:rsidR="00D46C11">
        <w:fldChar w:fldCharType="end"/>
      </w:r>
      <w:r>
        <w:rPr>
          <w:i/>
        </w:rPr>
        <w:t xml:space="preserve">.  </w:t>
      </w:r>
      <w:r>
        <w:t xml:space="preserve">It also includes any amendment, repeal or expiry affecting the republished law to </w:t>
      </w:r>
      <w:r w:rsidR="00D46C11">
        <w:fldChar w:fldCharType="begin"/>
      </w:r>
      <w:r w:rsidR="00D46C11">
        <w:instrText xml:space="preserve"> REF EffectiveDate *\charformat </w:instrText>
      </w:r>
      <w:r w:rsidR="00D46C11">
        <w:fldChar w:fldCharType="separate"/>
      </w:r>
      <w:r w:rsidR="00C67449">
        <w:t>4 November 2004</w:t>
      </w:r>
      <w:r w:rsidR="00D46C11">
        <w:fldChar w:fldCharType="end"/>
      </w:r>
      <w:r>
        <w:t xml:space="preserve">.  </w:t>
      </w:r>
    </w:p>
    <w:p w:rsidR="00B40966" w:rsidRDefault="00B40966">
      <w:pPr>
        <w:pStyle w:val="CoverText"/>
      </w:pPr>
      <w:r>
        <w:t xml:space="preserve">The legislation history and amendment history of the republished law are set out in endnotes 3 and 4. </w:t>
      </w:r>
    </w:p>
    <w:p w:rsidR="00B40966" w:rsidRDefault="00B40966">
      <w:pPr>
        <w:pStyle w:val="CoverSubHdg"/>
      </w:pPr>
      <w:r>
        <w:t>Kinds of republications</w:t>
      </w:r>
    </w:p>
    <w:p w:rsidR="00B40966" w:rsidRDefault="00B40966">
      <w:pPr>
        <w:pStyle w:val="CoverText"/>
        <w:rPr>
          <w:color w:val="000000"/>
        </w:rPr>
      </w:pPr>
      <w:r>
        <w:rPr>
          <w:color w:val="000000"/>
        </w:rPr>
        <w:t>The Parliamentary Counsel’s Office prepares 2 kinds of republications of ACT laws (see the ACT legislation register at www.legislation.act.gov.au):</w:t>
      </w:r>
    </w:p>
    <w:p w:rsidR="00B40966" w:rsidRDefault="00B40966" w:rsidP="00B40966">
      <w:pPr>
        <w:pStyle w:val="CoverText"/>
        <w:numPr>
          <w:ilvl w:val="0"/>
          <w:numId w:val="2"/>
        </w:numPr>
        <w:rPr>
          <w:color w:val="000000"/>
        </w:rPr>
      </w:pPr>
      <w:r>
        <w:rPr>
          <w:color w:val="000000"/>
        </w:rPr>
        <w:t xml:space="preserve">authorised republications to which the </w:t>
      </w:r>
      <w:r>
        <w:rPr>
          <w:rStyle w:val="charItals"/>
        </w:rPr>
        <w:t>Legislation Act 2001</w:t>
      </w:r>
      <w:r>
        <w:rPr>
          <w:color w:val="000000"/>
        </w:rPr>
        <w:t xml:space="preserve"> applies</w:t>
      </w:r>
    </w:p>
    <w:p w:rsidR="00B40966" w:rsidRDefault="00B40966" w:rsidP="00B40966">
      <w:pPr>
        <w:pStyle w:val="CoverText"/>
        <w:numPr>
          <w:ilvl w:val="0"/>
          <w:numId w:val="2"/>
        </w:numPr>
        <w:rPr>
          <w:color w:val="000000"/>
        </w:rPr>
      </w:pPr>
      <w:r>
        <w:rPr>
          <w:color w:val="000000"/>
        </w:rPr>
        <w:t>unauthorised republications.</w:t>
      </w:r>
    </w:p>
    <w:p w:rsidR="00B40966" w:rsidRDefault="00B40966">
      <w:pPr>
        <w:pStyle w:val="CoverText"/>
      </w:pPr>
      <w:r>
        <w:t>The status of this republication appears on the bottom of each page.</w:t>
      </w:r>
    </w:p>
    <w:p w:rsidR="00B40966" w:rsidRDefault="00B40966">
      <w:pPr>
        <w:pStyle w:val="CoverSubHdg"/>
      </w:pPr>
      <w:r>
        <w:t>Editorial changes</w:t>
      </w:r>
    </w:p>
    <w:p w:rsidR="00B40966" w:rsidRDefault="00B40966">
      <w:pPr>
        <w:pStyle w:val="CoverText"/>
      </w:pPr>
      <w:r>
        <w:t xml:space="preserve">The </w:t>
      </w:r>
      <w:r>
        <w:rPr>
          <w:rStyle w:val="charItals"/>
        </w:rPr>
        <w:t>Legislation Act 2001</w:t>
      </w:r>
      <w:r>
        <w:rPr>
          <w:rStyle w:val="charItals"/>
          <w:i w:val="0"/>
        </w:rPr>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B40966" w:rsidRDefault="00B40966">
      <w:pPr>
        <w:pStyle w:val="CoverText"/>
      </w:pPr>
      <w:r>
        <w:t>This republication includes amendments made under part 11.3 (see endnote 1).</w:t>
      </w:r>
    </w:p>
    <w:p w:rsidR="00B40966" w:rsidRDefault="00B40966">
      <w:pPr>
        <w:pStyle w:val="CoverSubHdg"/>
      </w:pPr>
      <w:r>
        <w:t>Uncommenced provisions and amendments</w:t>
      </w:r>
    </w:p>
    <w:p w:rsidR="00B40966" w:rsidRDefault="00B40966">
      <w:pPr>
        <w:pStyle w:val="CoverText"/>
        <w:rPr>
          <w:color w:val="000000"/>
        </w:rPr>
      </w:pPr>
      <w:r>
        <w:rPr>
          <w:color w:val="000000"/>
        </w:rPr>
        <w:t xml:space="preserve">If a provision of the republished law has not commenced or is affected by an uncommenced amendment, the symbol </w:t>
      </w:r>
      <w:r>
        <w:rPr>
          <w:rFonts w:ascii="Arial" w:hAnsi="Arial"/>
          <w:b/>
          <w:color w:val="000000"/>
          <w:sz w:val="24"/>
          <w:bdr w:val="single" w:sz="4" w:space="0" w:color="auto"/>
        </w:rPr>
        <w:t> U </w:t>
      </w:r>
      <w:r>
        <w:rPr>
          <w:color w:val="000000"/>
        </w:rPr>
        <w:t xml:space="preserve"> appears immediately before the provision heading.  The text of the uncommenced provision or amendment appears only in the last endnote.</w:t>
      </w:r>
    </w:p>
    <w:p w:rsidR="00B40966" w:rsidRDefault="00B40966">
      <w:pPr>
        <w:pStyle w:val="CoverSubHdg"/>
      </w:pPr>
      <w:r>
        <w:t>Modifications</w:t>
      </w:r>
    </w:p>
    <w:p w:rsidR="00B40966" w:rsidRDefault="00B40966">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xml:space="preserve"> M  </w:t>
      </w:r>
      <w:r>
        <w:rPr>
          <w:color w:val="000000"/>
        </w:rPr>
        <w:t xml:space="preserve">appears immediately before the provision heading.  The text of the modifying provision appears in the endnotes.  For the legal status of modifications, see </w:t>
      </w:r>
      <w:r>
        <w:rPr>
          <w:i/>
          <w:color w:val="000000"/>
        </w:rPr>
        <w:t>L</w:t>
      </w:r>
      <w:r>
        <w:rPr>
          <w:rStyle w:val="charItals"/>
        </w:rPr>
        <w:t>egislation Act 2001</w:t>
      </w:r>
      <w:r>
        <w:rPr>
          <w:color w:val="000000"/>
        </w:rPr>
        <w:t>, section 95.</w:t>
      </w:r>
    </w:p>
    <w:p w:rsidR="00B40966" w:rsidRDefault="00B40966">
      <w:pPr>
        <w:pStyle w:val="CoverSubHdg"/>
      </w:pPr>
      <w:r>
        <w:t>Penalties</w:t>
      </w:r>
    </w:p>
    <w:p w:rsidR="00B40966" w:rsidRDefault="00B40966">
      <w:pPr>
        <w:pStyle w:val="CoverText"/>
        <w:rPr>
          <w:color w:val="000000"/>
        </w:rPr>
      </w:pPr>
      <w:r>
        <w:rPr>
          <w:color w:val="000000"/>
        </w:rPr>
        <w:t>The value of a penalty unit for an offence against this republished law at the republication date is—</w:t>
      </w:r>
    </w:p>
    <w:p w:rsidR="00B40966" w:rsidRDefault="00B40966">
      <w:pPr>
        <w:pStyle w:val="CoverTextPara"/>
      </w:pPr>
      <w:r>
        <w:tab/>
        <w:t>(a)</w:t>
      </w:r>
      <w:r>
        <w:tab/>
        <w:t>if the person charged is an individual—$100; or</w:t>
      </w:r>
    </w:p>
    <w:p w:rsidR="00B40966" w:rsidRDefault="00B40966">
      <w:pPr>
        <w:pStyle w:val="CoverTextPara"/>
      </w:pPr>
      <w:r>
        <w:tab/>
        <w:t>(b)</w:t>
      </w:r>
      <w:r>
        <w:tab/>
        <w:t>if the person charged is a corporation—$500.</w:t>
      </w:r>
    </w:p>
    <w:p w:rsidR="00B40966" w:rsidRDefault="00B40966">
      <w:pPr>
        <w:pStyle w:val="00SigningPage"/>
        <w:sectPr w:rsidR="00B40966">
          <w:headerReference w:type="even" r:id="rId8"/>
          <w:headerReference w:type="default" r:id="rId9"/>
          <w:footerReference w:type="even" r:id="rId10"/>
          <w:footerReference w:type="default" r:id="rId11"/>
          <w:headerReference w:type="first" r:id="rId12"/>
          <w:footerReference w:type="first" r:id="rId13"/>
          <w:pgSz w:w="11907" w:h="16839" w:code="9"/>
          <w:pgMar w:top="3000" w:right="1900" w:bottom="2500" w:left="2300" w:header="2480" w:footer="2100" w:gutter="0"/>
          <w:pgNumType w:fmt="lowerRoman" w:start="1"/>
          <w:cols w:space="720"/>
          <w:titlePg/>
          <w:docGrid w:linePitch="254"/>
        </w:sectPr>
      </w:pPr>
    </w:p>
    <w:p w:rsidR="00B40966" w:rsidRDefault="00DA6E8C">
      <w:pPr>
        <w:jc w:val="center"/>
      </w:pPr>
      <w:r>
        <w:rPr>
          <w:noProof/>
          <w:lang w:eastAsia="en-AU"/>
        </w:rPr>
        <w:drawing>
          <wp:inline distT="0" distB="0" distL="0" distR="0">
            <wp:extent cx="1333500" cy="1181100"/>
            <wp:effectExtent l="0" t="0" r="0" b="0"/>
            <wp:docPr id="2"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40966" w:rsidRDefault="00B40966">
      <w:pPr>
        <w:jc w:val="center"/>
        <w:rPr>
          <w:rFonts w:ascii="Arial" w:hAnsi="Arial"/>
        </w:rPr>
      </w:pPr>
      <w:r>
        <w:rPr>
          <w:rFonts w:ascii="Arial" w:hAnsi="Arial"/>
        </w:rPr>
        <w:t>Australian Capital Territory</w:t>
      </w:r>
    </w:p>
    <w:p w:rsidR="00B40966" w:rsidRDefault="00D46C11">
      <w:pPr>
        <w:pStyle w:val="Billname"/>
      </w:pPr>
      <w:r>
        <w:fldChar w:fldCharType="begin"/>
      </w:r>
      <w:r>
        <w:instrText xml:space="preserve"> REF Citation \*charformat </w:instrText>
      </w:r>
      <w:r>
        <w:fldChar w:fldCharType="separate"/>
      </w:r>
      <w:r w:rsidR="00C67449">
        <w:t>Scaffolding and Lifts Regulation 1950</w:t>
      </w:r>
      <w:r>
        <w:fldChar w:fldCharType="end"/>
      </w:r>
    </w:p>
    <w:p w:rsidR="00B40966" w:rsidRDefault="00B40966">
      <w:pPr>
        <w:pStyle w:val="CoverInForce"/>
      </w:pPr>
      <w:r>
        <w:t>made under the</w:t>
      </w:r>
    </w:p>
    <w:p w:rsidR="00B40966" w:rsidRDefault="00D46C11">
      <w:pPr>
        <w:pStyle w:val="CoverActName"/>
      </w:pPr>
      <w:r>
        <w:fldChar w:fldCharType="begin"/>
      </w:r>
      <w:r>
        <w:instrText xml:space="preserve"> REF ActName \*charformat </w:instrText>
      </w:r>
      <w:r>
        <w:fldChar w:fldCharType="separate"/>
      </w:r>
      <w:r w:rsidR="00C67449">
        <w:t>Scaffolding and Lifts Act 1912</w:t>
      </w:r>
      <w:r>
        <w:fldChar w:fldCharType="end"/>
      </w:r>
    </w:p>
    <w:p w:rsidR="00B40966" w:rsidRDefault="00B40966">
      <w:pPr>
        <w:pStyle w:val="Placeholder"/>
      </w:pPr>
      <w:r>
        <w:rPr>
          <w:rStyle w:val="charContents"/>
          <w:sz w:val="16"/>
        </w:rPr>
        <w:t xml:space="preserve">  </w:t>
      </w:r>
      <w:r>
        <w:rPr>
          <w:rStyle w:val="charPage"/>
        </w:rPr>
        <w:t xml:space="preserve">  </w:t>
      </w:r>
    </w:p>
    <w:p w:rsidR="00B40966" w:rsidRDefault="00B40966">
      <w:pPr>
        <w:pStyle w:val="N-TOCheading"/>
      </w:pPr>
      <w:r>
        <w:rPr>
          <w:rStyle w:val="charContents"/>
        </w:rPr>
        <w:t>Contents</w:t>
      </w:r>
    </w:p>
    <w:p w:rsidR="00B40966" w:rsidRDefault="00B40966">
      <w:pPr>
        <w:pStyle w:val="N-9pt"/>
      </w:pPr>
      <w:r>
        <w:tab/>
      </w:r>
      <w:r>
        <w:rPr>
          <w:rStyle w:val="charPage"/>
        </w:rPr>
        <w:t>Page</w:t>
      </w:r>
    </w:p>
    <w:p w:rsidR="00B40966" w:rsidRDefault="00B40966">
      <w:pPr>
        <w:pStyle w:val="TOC2"/>
        <w:rPr>
          <w:rFonts w:ascii="Times New Roman" w:hAnsi="Times New Roman"/>
          <w:b w:val="0"/>
          <w:szCs w:val="24"/>
        </w:rPr>
      </w:pPr>
      <w:r>
        <w:fldChar w:fldCharType="begin"/>
      </w:r>
      <w:r>
        <w:instrText xml:space="preserve"> TOC \o "1-5" \t "A H1 Chapter,1,A H2 Part,2,A H3 Div,3,A H4 SubDiv,4,A H5 Sec,5,EndNote2,5,Sched-heading,6,Sched-heading Symb,6,Sched-Part,7,Sched-Part Symb,7,Endnote1,7,Sched-Form,8,Sched-Form Symb,8,Dict-Heading,6,Dict-Heading Symb,6,Sch clause heading,5,Endnote2,5,Shad" </w:instrText>
      </w:r>
      <w:r>
        <w:fldChar w:fldCharType="separate"/>
      </w:r>
      <w:r>
        <w:t>Part 1</w:t>
      </w:r>
      <w:r>
        <w:rPr>
          <w:rFonts w:ascii="Times New Roman" w:hAnsi="Times New Roman"/>
          <w:b w:val="0"/>
          <w:szCs w:val="24"/>
        </w:rPr>
        <w:tab/>
      </w:r>
      <w:r>
        <w:t>Preliminary</w:t>
      </w:r>
    </w:p>
    <w:p w:rsidR="00B40966" w:rsidRDefault="00B40966">
      <w:pPr>
        <w:pStyle w:val="TOC5"/>
        <w:rPr>
          <w:rFonts w:ascii="Times New Roman" w:hAnsi="Times New Roman"/>
          <w:sz w:val="24"/>
          <w:szCs w:val="24"/>
        </w:rPr>
      </w:pPr>
      <w:r>
        <w:rPr>
          <w:szCs w:val="24"/>
        </w:rPr>
        <w:tab/>
        <w:t>1</w:t>
      </w:r>
      <w:r>
        <w:rPr>
          <w:rFonts w:ascii="Times New Roman" w:hAnsi="Times New Roman"/>
          <w:sz w:val="24"/>
          <w:szCs w:val="24"/>
        </w:rPr>
        <w:tab/>
      </w:r>
      <w:r>
        <w:rPr>
          <w:szCs w:val="24"/>
        </w:rPr>
        <w:t>Name of regulation</w:t>
      </w:r>
      <w:r>
        <w:tab/>
      </w:r>
      <w:r>
        <w:fldChar w:fldCharType="begin"/>
      </w:r>
      <w:r>
        <w:instrText xml:space="preserve"> PAGEREF _Toc87257867 \h </w:instrText>
      </w:r>
      <w:r>
        <w:fldChar w:fldCharType="separate"/>
      </w:r>
      <w:r w:rsidR="00C67449">
        <w:t>2</w:t>
      </w:r>
      <w:r>
        <w:fldChar w:fldCharType="end"/>
      </w:r>
    </w:p>
    <w:p w:rsidR="00B40966" w:rsidRDefault="00B40966">
      <w:pPr>
        <w:pStyle w:val="TOC5"/>
        <w:rPr>
          <w:rFonts w:ascii="Times New Roman" w:hAnsi="Times New Roman"/>
          <w:sz w:val="24"/>
          <w:szCs w:val="24"/>
        </w:rPr>
      </w:pPr>
      <w:r>
        <w:rPr>
          <w:szCs w:val="24"/>
        </w:rPr>
        <w:tab/>
        <w:t>3</w:t>
      </w:r>
      <w:r>
        <w:rPr>
          <w:rFonts w:ascii="Times New Roman" w:hAnsi="Times New Roman"/>
          <w:sz w:val="24"/>
          <w:szCs w:val="24"/>
        </w:rPr>
        <w:tab/>
      </w:r>
      <w:r>
        <w:rPr>
          <w:szCs w:val="24"/>
        </w:rPr>
        <w:t>Definitions for regulation</w:t>
      </w:r>
      <w:r>
        <w:tab/>
      </w:r>
      <w:r>
        <w:fldChar w:fldCharType="begin"/>
      </w:r>
      <w:r>
        <w:instrText xml:space="preserve"> PAGEREF _Toc87257868 \h </w:instrText>
      </w:r>
      <w:r>
        <w:fldChar w:fldCharType="separate"/>
      </w:r>
      <w:r w:rsidR="00C67449">
        <w:t>2</w:t>
      </w:r>
      <w:r>
        <w:fldChar w:fldCharType="end"/>
      </w:r>
    </w:p>
    <w:p w:rsidR="00B40966" w:rsidRDefault="00B40966">
      <w:pPr>
        <w:pStyle w:val="TOC5"/>
        <w:rPr>
          <w:rFonts w:ascii="Times New Roman" w:hAnsi="Times New Roman"/>
          <w:sz w:val="24"/>
        </w:rPr>
      </w:pPr>
      <w:r>
        <w:tab/>
        <w:t>4</w:t>
      </w:r>
      <w:r>
        <w:rPr>
          <w:rFonts w:ascii="Times New Roman" w:hAnsi="Times New Roman"/>
          <w:sz w:val="24"/>
        </w:rPr>
        <w:tab/>
      </w:r>
      <w:r>
        <w:t>Plates, figures and sketches</w:t>
      </w:r>
      <w:r>
        <w:tab/>
      </w:r>
      <w:r>
        <w:fldChar w:fldCharType="begin"/>
      </w:r>
      <w:r>
        <w:instrText xml:space="preserve"> PAGEREF _Toc87257869 \h </w:instrText>
      </w:r>
      <w:r>
        <w:fldChar w:fldCharType="separate"/>
      </w:r>
      <w:r w:rsidR="00C67449">
        <w:t>6</w:t>
      </w:r>
      <w:r>
        <w:fldChar w:fldCharType="end"/>
      </w:r>
    </w:p>
    <w:p w:rsidR="00B40966" w:rsidRDefault="00B40966">
      <w:pPr>
        <w:pStyle w:val="TOC5"/>
        <w:rPr>
          <w:rFonts w:ascii="Times New Roman" w:hAnsi="Times New Roman"/>
          <w:sz w:val="24"/>
          <w:szCs w:val="24"/>
        </w:rPr>
      </w:pPr>
      <w:r>
        <w:rPr>
          <w:szCs w:val="24"/>
        </w:rPr>
        <w:tab/>
        <w:t>5</w:t>
      </w:r>
      <w:r>
        <w:tab/>
      </w:r>
      <w:r>
        <w:tab/>
      </w:r>
      <w:r>
        <w:fldChar w:fldCharType="begin"/>
      </w:r>
      <w:r>
        <w:instrText xml:space="preserve"> PAGEREF _Toc87257870 \h </w:instrText>
      </w:r>
      <w:r>
        <w:fldChar w:fldCharType="separate"/>
      </w:r>
      <w:r w:rsidR="00C67449">
        <w:t>6</w:t>
      </w:r>
      <w:r>
        <w:fldChar w:fldCharType="end"/>
      </w:r>
    </w:p>
    <w:p w:rsidR="00B40966" w:rsidRDefault="00B40966">
      <w:pPr>
        <w:pStyle w:val="TOC5"/>
        <w:rPr>
          <w:rFonts w:ascii="Times New Roman" w:hAnsi="Times New Roman"/>
          <w:sz w:val="24"/>
          <w:szCs w:val="24"/>
        </w:rPr>
      </w:pPr>
      <w:r>
        <w:rPr>
          <w:szCs w:val="24"/>
        </w:rPr>
        <w:tab/>
        <w:t>6</w:t>
      </w:r>
      <w:r>
        <w:tab/>
      </w:r>
      <w:r>
        <w:tab/>
      </w:r>
      <w:r>
        <w:fldChar w:fldCharType="begin"/>
      </w:r>
      <w:r>
        <w:instrText xml:space="preserve"> PAGEREF _Toc87257871 \h </w:instrText>
      </w:r>
      <w:r>
        <w:fldChar w:fldCharType="separate"/>
      </w:r>
      <w:r w:rsidR="00C67449">
        <w:t>6</w:t>
      </w:r>
      <w:r>
        <w:fldChar w:fldCharType="end"/>
      </w:r>
    </w:p>
    <w:p w:rsidR="00B40966" w:rsidRDefault="00B40966">
      <w:pPr>
        <w:pStyle w:val="TOC5"/>
        <w:rPr>
          <w:rFonts w:ascii="Times New Roman" w:hAnsi="Times New Roman"/>
          <w:sz w:val="24"/>
          <w:szCs w:val="24"/>
        </w:rPr>
      </w:pPr>
      <w:r>
        <w:rPr>
          <w:szCs w:val="24"/>
        </w:rPr>
        <w:tab/>
        <w:t>7</w:t>
      </w:r>
      <w:r>
        <w:tab/>
      </w:r>
      <w:r>
        <w:tab/>
      </w:r>
      <w:r>
        <w:fldChar w:fldCharType="begin"/>
      </w:r>
      <w:r>
        <w:instrText xml:space="preserve"> PAGEREF _Toc87257872 \h </w:instrText>
      </w:r>
      <w:r>
        <w:fldChar w:fldCharType="separate"/>
      </w:r>
      <w:r w:rsidR="00C67449">
        <w:t>7</w:t>
      </w:r>
      <w:r>
        <w:fldChar w:fldCharType="end"/>
      </w:r>
    </w:p>
    <w:p w:rsidR="00B40966" w:rsidRDefault="00B40966">
      <w:pPr>
        <w:pStyle w:val="TOC2"/>
        <w:rPr>
          <w:rFonts w:ascii="Times New Roman" w:hAnsi="Times New Roman"/>
          <w:b w:val="0"/>
          <w:szCs w:val="24"/>
        </w:rPr>
      </w:pPr>
      <w:r>
        <w:t>Part 2</w:t>
      </w:r>
      <w:r>
        <w:rPr>
          <w:rFonts w:ascii="Times New Roman" w:hAnsi="Times New Roman"/>
          <w:b w:val="0"/>
          <w:szCs w:val="24"/>
        </w:rPr>
        <w:tab/>
      </w:r>
      <w:r>
        <w:t>Qualifications, powers and duties of the chief inspector and inspectors</w:t>
      </w:r>
    </w:p>
    <w:p w:rsidR="00B40966" w:rsidRDefault="00B40966">
      <w:pPr>
        <w:pStyle w:val="TOC5"/>
        <w:rPr>
          <w:rFonts w:ascii="Times New Roman" w:hAnsi="Times New Roman"/>
          <w:sz w:val="24"/>
          <w:szCs w:val="24"/>
        </w:rPr>
      </w:pPr>
      <w:r>
        <w:rPr>
          <w:szCs w:val="24"/>
        </w:rPr>
        <w:tab/>
        <w:t>11</w:t>
      </w:r>
      <w:r>
        <w:tab/>
      </w:r>
      <w:r>
        <w:tab/>
      </w:r>
      <w:r>
        <w:fldChar w:fldCharType="begin"/>
      </w:r>
      <w:r>
        <w:instrText xml:space="preserve"> PAGEREF _Toc87257874 \h </w:instrText>
      </w:r>
      <w:r>
        <w:fldChar w:fldCharType="separate"/>
      </w:r>
      <w:r w:rsidR="00C67449">
        <w:t>8</w:t>
      </w:r>
      <w:r>
        <w:fldChar w:fldCharType="end"/>
      </w:r>
    </w:p>
    <w:p w:rsidR="00B40966" w:rsidRDefault="00B40966">
      <w:pPr>
        <w:pStyle w:val="TOC5"/>
        <w:rPr>
          <w:rFonts w:ascii="Times New Roman" w:hAnsi="Times New Roman"/>
          <w:sz w:val="24"/>
          <w:szCs w:val="24"/>
        </w:rPr>
      </w:pPr>
      <w:r>
        <w:rPr>
          <w:szCs w:val="24"/>
        </w:rPr>
        <w:tab/>
        <w:t>13</w:t>
      </w:r>
      <w:r>
        <w:tab/>
      </w:r>
      <w:r>
        <w:tab/>
      </w:r>
      <w:r>
        <w:fldChar w:fldCharType="begin"/>
      </w:r>
      <w:r>
        <w:instrText xml:space="preserve"> PAGEREF _Toc87257875 \h </w:instrText>
      </w:r>
      <w:r>
        <w:fldChar w:fldCharType="separate"/>
      </w:r>
      <w:r w:rsidR="00C67449">
        <w:t>8</w:t>
      </w:r>
      <w:r>
        <w:fldChar w:fldCharType="end"/>
      </w:r>
    </w:p>
    <w:p w:rsidR="00B40966" w:rsidRDefault="00B40966">
      <w:pPr>
        <w:pStyle w:val="TOC5"/>
        <w:rPr>
          <w:rFonts w:ascii="Times New Roman" w:hAnsi="Times New Roman"/>
          <w:sz w:val="24"/>
          <w:szCs w:val="24"/>
        </w:rPr>
      </w:pPr>
      <w:r>
        <w:rPr>
          <w:szCs w:val="24"/>
        </w:rPr>
        <w:tab/>
        <w:t>14</w:t>
      </w:r>
      <w:r>
        <w:tab/>
      </w:r>
      <w:r>
        <w:tab/>
      </w:r>
      <w:r>
        <w:fldChar w:fldCharType="begin"/>
      </w:r>
      <w:r>
        <w:instrText xml:space="preserve"> PAGEREF _Toc87257876 \h </w:instrText>
      </w:r>
      <w:r>
        <w:fldChar w:fldCharType="separate"/>
      </w:r>
      <w:r w:rsidR="00C67449">
        <w:t>9</w:t>
      </w:r>
      <w:r>
        <w:fldChar w:fldCharType="end"/>
      </w:r>
    </w:p>
    <w:p w:rsidR="00B40966" w:rsidRDefault="00B40966">
      <w:pPr>
        <w:pStyle w:val="TOC2"/>
        <w:rPr>
          <w:rFonts w:ascii="Times New Roman" w:hAnsi="Times New Roman"/>
          <w:b w:val="0"/>
          <w:szCs w:val="24"/>
        </w:rPr>
      </w:pPr>
      <w:r>
        <w:t>Part 4</w:t>
      </w:r>
      <w:r>
        <w:rPr>
          <w:rFonts w:ascii="Times New Roman" w:hAnsi="Times New Roman"/>
          <w:b w:val="0"/>
          <w:szCs w:val="24"/>
        </w:rPr>
        <w:tab/>
      </w:r>
      <w:r>
        <w:t>Lifts</w:t>
      </w:r>
    </w:p>
    <w:p w:rsidR="00B40966" w:rsidRDefault="00B40966">
      <w:pPr>
        <w:pStyle w:val="TOC3"/>
        <w:rPr>
          <w:rFonts w:ascii="Times New Roman" w:hAnsi="Times New Roman"/>
          <w:b w:val="0"/>
          <w:sz w:val="24"/>
          <w:szCs w:val="24"/>
        </w:rPr>
      </w:pPr>
      <w:r>
        <w:t>Division 4.1</w:t>
      </w:r>
      <w:r>
        <w:rPr>
          <w:rFonts w:ascii="Times New Roman" w:hAnsi="Times New Roman"/>
          <w:b w:val="0"/>
          <w:sz w:val="24"/>
          <w:szCs w:val="24"/>
        </w:rPr>
        <w:tab/>
      </w:r>
      <w:r>
        <w:t>Interpretation</w:t>
      </w:r>
    </w:p>
    <w:p w:rsidR="00B40966" w:rsidRDefault="00B40966">
      <w:pPr>
        <w:pStyle w:val="TOC5"/>
        <w:rPr>
          <w:rFonts w:ascii="Times New Roman" w:hAnsi="Times New Roman"/>
          <w:sz w:val="24"/>
          <w:szCs w:val="24"/>
        </w:rPr>
      </w:pPr>
      <w:r>
        <w:rPr>
          <w:szCs w:val="24"/>
        </w:rPr>
        <w:tab/>
        <w:t>16</w:t>
      </w:r>
      <w:r>
        <w:tab/>
      </w:r>
      <w:r>
        <w:tab/>
      </w:r>
      <w:r>
        <w:fldChar w:fldCharType="begin"/>
      </w:r>
      <w:r>
        <w:instrText xml:space="preserve"> PAGEREF _Toc87257879 \h </w:instrText>
      </w:r>
      <w:r>
        <w:fldChar w:fldCharType="separate"/>
      </w:r>
      <w:r w:rsidR="00C67449">
        <w:t>10</w:t>
      </w:r>
      <w:r>
        <w:fldChar w:fldCharType="end"/>
      </w:r>
    </w:p>
    <w:p w:rsidR="00B40966" w:rsidRDefault="00B40966">
      <w:pPr>
        <w:pStyle w:val="TOC3"/>
        <w:rPr>
          <w:rFonts w:ascii="Times New Roman" w:hAnsi="Times New Roman"/>
          <w:b w:val="0"/>
          <w:sz w:val="24"/>
          <w:szCs w:val="24"/>
        </w:rPr>
      </w:pPr>
      <w:r>
        <w:t>Division 4.2</w:t>
      </w:r>
      <w:r>
        <w:rPr>
          <w:rFonts w:ascii="Times New Roman" w:hAnsi="Times New Roman"/>
          <w:b w:val="0"/>
          <w:sz w:val="24"/>
          <w:szCs w:val="24"/>
        </w:rPr>
        <w:tab/>
      </w:r>
      <w:r>
        <w:t>Design, construction and erection of lifts</w:t>
      </w:r>
    </w:p>
    <w:p w:rsidR="00B40966" w:rsidRDefault="00B40966">
      <w:pPr>
        <w:pStyle w:val="TOC4"/>
        <w:rPr>
          <w:rFonts w:ascii="Times New Roman" w:hAnsi="Times New Roman"/>
          <w:b w:val="0"/>
          <w:sz w:val="24"/>
          <w:szCs w:val="24"/>
        </w:rPr>
      </w:pPr>
      <w:r>
        <w:rPr>
          <w:szCs w:val="26"/>
        </w:rPr>
        <w:t>Permit to erect or alter lifts</w:t>
      </w:r>
    </w:p>
    <w:p w:rsidR="00B40966" w:rsidRDefault="00B40966">
      <w:pPr>
        <w:pStyle w:val="TOC5"/>
        <w:rPr>
          <w:rFonts w:ascii="Times New Roman" w:hAnsi="Times New Roman"/>
          <w:sz w:val="24"/>
          <w:szCs w:val="24"/>
        </w:rPr>
      </w:pPr>
      <w:r>
        <w:rPr>
          <w:szCs w:val="24"/>
        </w:rPr>
        <w:tab/>
        <w:t>17</w:t>
      </w:r>
      <w:r>
        <w:tab/>
      </w:r>
      <w:r>
        <w:tab/>
      </w:r>
      <w:r>
        <w:fldChar w:fldCharType="begin"/>
      </w:r>
      <w:r>
        <w:instrText xml:space="preserve"> PAGEREF _Toc87257882 \h </w:instrText>
      </w:r>
      <w:r>
        <w:fldChar w:fldCharType="separate"/>
      </w:r>
      <w:r w:rsidR="00C67449">
        <w:t>10</w:t>
      </w:r>
      <w:r>
        <w:fldChar w:fldCharType="end"/>
      </w:r>
    </w:p>
    <w:p w:rsidR="00B40966" w:rsidRDefault="00B40966">
      <w:pPr>
        <w:pStyle w:val="TOC4"/>
        <w:rPr>
          <w:rFonts w:ascii="Times New Roman" w:hAnsi="Times New Roman"/>
          <w:b w:val="0"/>
          <w:sz w:val="24"/>
          <w:szCs w:val="24"/>
        </w:rPr>
      </w:pPr>
      <w:r>
        <w:rPr>
          <w:szCs w:val="26"/>
        </w:rPr>
        <w:t>Safe working load of a lift</w:t>
      </w:r>
    </w:p>
    <w:p w:rsidR="00B40966" w:rsidRDefault="00B40966">
      <w:pPr>
        <w:pStyle w:val="TOC5"/>
        <w:rPr>
          <w:rFonts w:ascii="Times New Roman" w:hAnsi="Times New Roman"/>
          <w:sz w:val="24"/>
          <w:szCs w:val="24"/>
        </w:rPr>
      </w:pPr>
      <w:r>
        <w:rPr>
          <w:szCs w:val="24"/>
        </w:rPr>
        <w:tab/>
        <w:t>18</w:t>
      </w:r>
      <w:r>
        <w:tab/>
      </w:r>
      <w:r>
        <w:tab/>
      </w:r>
      <w:r>
        <w:fldChar w:fldCharType="begin"/>
      </w:r>
      <w:r>
        <w:instrText xml:space="preserve"> PAGEREF _Toc87257884 \h </w:instrText>
      </w:r>
      <w:r>
        <w:fldChar w:fldCharType="separate"/>
      </w:r>
      <w:r w:rsidR="00C67449">
        <w:t>11</w:t>
      </w:r>
      <w:r>
        <w:fldChar w:fldCharType="end"/>
      </w:r>
    </w:p>
    <w:p w:rsidR="00B40966" w:rsidRDefault="00B40966">
      <w:pPr>
        <w:pStyle w:val="TOC4"/>
        <w:rPr>
          <w:rFonts w:ascii="Times New Roman" w:hAnsi="Times New Roman"/>
          <w:b w:val="0"/>
          <w:sz w:val="24"/>
          <w:szCs w:val="24"/>
        </w:rPr>
      </w:pPr>
      <w:r>
        <w:rPr>
          <w:szCs w:val="26"/>
        </w:rPr>
        <w:t>Construction</w:t>
      </w:r>
    </w:p>
    <w:p w:rsidR="00B40966" w:rsidRDefault="00B40966">
      <w:pPr>
        <w:pStyle w:val="TOC5"/>
        <w:rPr>
          <w:rFonts w:ascii="Times New Roman" w:hAnsi="Times New Roman"/>
          <w:sz w:val="24"/>
          <w:szCs w:val="24"/>
        </w:rPr>
      </w:pPr>
      <w:r>
        <w:rPr>
          <w:szCs w:val="24"/>
        </w:rPr>
        <w:tab/>
        <w:t>19</w:t>
      </w:r>
      <w:r>
        <w:tab/>
      </w:r>
      <w:r>
        <w:tab/>
      </w:r>
      <w:r>
        <w:fldChar w:fldCharType="begin"/>
      </w:r>
      <w:r>
        <w:instrText xml:space="preserve"> PAGEREF _Toc87257886 \h </w:instrText>
      </w:r>
      <w:r>
        <w:fldChar w:fldCharType="separate"/>
      </w:r>
      <w:r w:rsidR="00C67449">
        <w:t>12</w:t>
      </w:r>
      <w:r>
        <w:fldChar w:fldCharType="end"/>
      </w:r>
    </w:p>
    <w:p w:rsidR="00B40966" w:rsidRDefault="00B40966">
      <w:pPr>
        <w:pStyle w:val="TOC5"/>
        <w:rPr>
          <w:rFonts w:ascii="Times New Roman" w:hAnsi="Times New Roman"/>
          <w:sz w:val="24"/>
          <w:szCs w:val="24"/>
        </w:rPr>
      </w:pPr>
      <w:r>
        <w:rPr>
          <w:szCs w:val="24"/>
        </w:rPr>
        <w:tab/>
        <w:t>20</w:t>
      </w:r>
      <w:r>
        <w:tab/>
      </w:r>
      <w:r>
        <w:tab/>
      </w:r>
      <w:r>
        <w:fldChar w:fldCharType="begin"/>
      </w:r>
      <w:r>
        <w:instrText xml:space="preserve"> PAGEREF _Toc87257887 \h </w:instrText>
      </w:r>
      <w:r>
        <w:fldChar w:fldCharType="separate"/>
      </w:r>
      <w:r w:rsidR="00C67449">
        <w:t>12</w:t>
      </w:r>
      <w:r>
        <w:fldChar w:fldCharType="end"/>
      </w:r>
    </w:p>
    <w:p w:rsidR="00B40966" w:rsidRDefault="00B40966">
      <w:pPr>
        <w:pStyle w:val="TOC5"/>
        <w:rPr>
          <w:rFonts w:ascii="Times New Roman" w:hAnsi="Times New Roman"/>
          <w:sz w:val="24"/>
          <w:szCs w:val="24"/>
        </w:rPr>
      </w:pPr>
      <w:r>
        <w:rPr>
          <w:szCs w:val="24"/>
        </w:rPr>
        <w:tab/>
        <w:t>21</w:t>
      </w:r>
      <w:r>
        <w:tab/>
      </w:r>
      <w:r>
        <w:tab/>
      </w:r>
      <w:r>
        <w:fldChar w:fldCharType="begin"/>
      </w:r>
      <w:r>
        <w:instrText xml:space="preserve"> PAGEREF _Toc87257888 \h </w:instrText>
      </w:r>
      <w:r>
        <w:fldChar w:fldCharType="separate"/>
      </w:r>
      <w:r w:rsidR="00C67449">
        <w:t>12</w:t>
      </w:r>
      <w:r>
        <w:fldChar w:fldCharType="end"/>
      </w:r>
    </w:p>
    <w:p w:rsidR="00B40966" w:rsidRDefault="00B40966">
      <w:pPr>
        <w:pStyle w:val="TOC4"/>
        <w:rPr>
          <w:rFonts w:ascii="Times New Roman" w:hAnsi="Times New Roman"/>
          <w:b w:val="0"/>
          <w:sz w:val="24"/>
          <w:szCs w:val="24"/>
        </w:rPr>
      </w:pPr>
      <w:r>
        <w:t>Car loading automatic passenger lifts</w:t>
      </w:r>
    </w:p>
    <w:p w:rsidR="00B40966" w:rsidRDefault="00B40966">
      <w:pPr>
        <w:pStyle w:val="TOC5"/>
        <w:rPr>
          <w:rFonts w:ascii="Times New Roman" w:hAnsi="Times New Roman"/>
          <w:sz w:val="24"/>
          <w:szCs w:val="24"/>
        </w:rPr>
      </w:pPr>
      <w:r>
        <w:rPr>
          <w:szCs w:val="24"/>
        </w:rPr>
        <w:tab/>
        <w:t>22</w:t>
      </w:r>
      <w:r>
        <w:tab/>
      </w:r>
      <w:r>
        <w:tab/>
      </w:r>
      <w:r>
        <w:fldChar w:fldCharType="begin"/>
      </w:r>
      <w:r>
        <w:instrText xml:space="preserve"> PAGEREF _Toc87257890 \h </w:instrText>
      </w:r>
      <w:r>
        <w:fldChar w:fldCharType="separate"/>
      </w:r>
      <w:r w:rsidR="00C67449">
        <w:t>13</w:t>
      </w:r>
      <w:r>
        <w:fldChar w:fldCharType="end"/>
      </w:r>
    </w:p>
    <w:p w:rsidR="00B40966" w:rsidRDefault="00B40966">
      <w:pPr>
        <w:pStyle w:val="TOC4"/>
        <w:rPr>
          <w:rFonts w:ascii="Times New Roman" w:hAnsi="Times New Roman"/>
          <w:b w:val="0"/>
          <w:sz w:val="24"/>
          <w:szCs w:val="24"/>
        </w:rPr>
      </w:pPr>
      <w:r>
        <w:t>Supporting structures and machine rooms</w:t>
      </w:r>
    </w:p>
    <w:p w:rsidR="00B40966" w:rsidRDefault="00B40966">
      <w:pPr>
        <w:pStyle w:val="TOC5"/>
        <w:rPr>
          <w:rFonts w:ascii="Times New Roman" w:hAnsi="Times New Roman"/>
          <w:sz w:val="24"/>
          <w:szCs w:val="24"/>
        </w:rPr>
      </w:pPr>
      <w:r>
        <w:rPr>
          <w:szCs w:val="24"/>
        </w:rPr>
        <w:tab/>
        <w:t>23</w:t>
      </w:r>
      <w:r>
        <w:tab/>
      </w:r>
      <w:r>
        <w:tab/>
      </w:r>
      <w:r>
        <w:fldChar w:fldCharType="begin"/>
      </w:r>
      <w:r>
        <w:instrText xml:space="preserve"> PAGEREF _Toc87257892 \h </w:instrText>
      </w:r>
      <w:r>
        <w:fldChar w:fldCharType="separate"/>
      </w:r>
      <w:r w:rsidR="00C67449">
        <w:t>13</w:t>
      </w:r>
      <w:r>
        <w:fldChar w:fldCharType="end"/>
      </w:r>
    </w:p>
    <w:p w:rsidR="00B40966" w:rsidRDefault="00B40966">
      <w:pPr>
        <w:pStyle w:val="TOC4"/>
        <w:rPr>
          <w:rFonts w:ascii="Times New Roman" w:hAnsi="Times New Roman"/>
          <w:b w:val="0"/>
          <w:sz w:val="24"/>
          <w:szCs w:val="24"/>
        </w:rPr>
      </w:pPr>
      <w:r>
        <w:rPr>
          <w:szCs w:val="26"/>
        </w:rPr>
        <w:t>Overruns</w:t>
      </w:r>
    </w:p>
    <w:p w:rsidR="00B40966" w:rsidRDefault="00B40966">
      <w:pPr>
        <w:pStyle w:val="TOC5"/>
        <w:rPr>
          <w:rFonts w:ascii="Times New Roman" w:hAnsi="Times New Roman"/>
          <w:sz w:val="24"/>
          <w:szCs w:val="24"/>
        </w:rPr>
      </w:pPr>
      <w:r>
        <w:rPr>
          <w:szCs w:val="24"/>
        </w:rPr>
        <w:tab/>
        <w:t>24</w:t>
      </w:r>
      <w:r>
        <w:tab/>
      </w:r>
      <w:r>
        <w:tab/>
      </w:r>
      <w:r>
        <w:fldChar w:fldCharType="begin"/>
      </w:r>
      <w:r>
        <w:instrText xml:space="preserve"> PAGEREF _Toc87257894 \h </w:instrText>
      </w:r>
      <w:r>
        <w:fldChar w:fldCharType="separate"/>
      </w:r>
      <w:r w:rsidR="00C67449">
        <w:t>14</w:t>
      </w:r>
      <w:r>
        <w:fldChar w:fldCharType="end"/>
      </w:r>
    </w:p>
    <w:p w:rsidR="00B40966" w:rsidRDefault="00B40966">
      <w:pPr>
        <w:pStyle w:val="TOC4"/>
        <w:rPr>
          <w:rFonts w:ascii="Times New Roman" w:hAnsi="Times New Roman"/>
          <w:b w:val="0"/>
          <w:sz w:val="24"/>
          <w:szCs w:val="24"/>
        </w:rPr>
      </w:pPr>
      <w:r>
        <w:rPr>
          <w:szCs w:val="26"/>
        </w:rPr>
        <w:t>Stops and buffers</w:t>
      </w:r>
    </w:p>
    <w:p w:rsidR="00B40966" w:rsidRDefault="00B40966">
      <w:pPr>
        <w:pStyle w:val="TOC5"/>
        <w:rPr>
          <w:rFonts w:ascii="Times New Roman" w:hAnsi="Times New Roman"/>
          <w:sz w:val="24"/>
          <w:szCs w:val="24"/>
        </w:rPr>
      </w:pPr>
      <w:r>
        <w:rPr>
          <w:szCs w:val="24"/>
        </w:rPr>
        <w:tab/>
        <w:t>25</w:t>
      </w:r>
      <w:r>
        <w:tab/>
      </w:r>
      <w:r>
        <w:tab/>
      </w:r>
      <w:r>
        <w:fldChar w:fldCharType="begin"/>
      </w:r>
      <w:r>
        <w:instrText xml:space="preserve"> PAGEREF _Toc87257896 \h </w:instrText>
      </w:r>
      <w:r>
        <w:fldChar w:fldCharType="separate"/>
      </w:r>
      <w:r w:rsidR="00C67449">
        <w:t>15</w:t>
      </w:r>
      <w:r>
        <w:fldChar w:fldCharType="end"/>
      </w:r>
    </w:p>
    <w:p w:rsidR="00B40966" w:rsidRDefault="00B40966">
      <w:pPr>
        <w:pStyle w:val="TOC4"/>
        <w:rPr>
          <w:rFonts w:ascii="Times New Roman" w:hAnsi="Times New Roman"/>
          <w:b w:val="0"/>
          <w:sz w:val="24"/>
          <w:szCs w:val="24"/>
        </w:rPr>
      </w:pPr>
      <w:r>
        <w:rPr>
          <w:szCs w:val="26"/>
        </w:rPr>
        <w:t>Permanent stops</w:t>
      </w:r>
    </w:p>
    <w:p w:rsidR="00B40966" w:rsidRDefault="00B40966">
      <w:pPr>
        <w:pStyle w:val="TOC5"/>
        <w:rPr>
          <w:rFonts w:ascii="Times New Roman" w:hAnsi="Times New Roman"/>
          <w:sz w:val="24"/>
          <w:szCs w:val="24"/>
        </w:rPr>
      </w:pPr>
      <w:r>
        <w:rPr>
          <w:szCs w:val="24"/>
        </w:rPr>
        <w:tab/>
        <w:t>26</w:t>
      </w:r>
      <w:r>
        <w:tab/>
      </w:r>
      <w:r>
        <w:tab/>
      </w:r>
      <w:r>
        <w:fldChar w:fldCharType="begin"/>
      </w:r>
      <w:r>
        <w:instrText xml:space="preserve"> PAGEREF _Toc87257898 \h </w:instrText>
      </w:r>
      <w:r>
        <w:fldChar w:fldCharType="separate"/>
      </w:r>
      <w:r w:rsidR="00C67449">
        <w:t>16</w:t>
      </w:r>
      <w:r>
        <w:fldChar w:fldCharType="end"/>
      </w:r>
    </w:p>
    <w:p w:rsidR="00B40966" w:rsidRDefault="00B40966">
      <w:pPr>
        <w:pStyle w:val="TOC4"/>
        <w:rPr>
          <w:rFonts w:ascii="Times New Roman" w:hAnsi="Times New Roman"/>
          <w:b w:val="0"/>
          <w:sz w:val="24"/>
          <w:szCs w:val="24"/>
        </w:rPr>
      </w:pPr>
      <w:r>
        <w:rPr>
          <w:szCs w:val="26"/>
        </w:rPr>
        <w:t>Pits</w:t>
      </w:r>
    </w:p>
    <w:p w:rsidR="00B40966" w:rsidRDefault="00B40966">
      <w:pPr>
        <w:pStyle w:val="TOC5"/>
        <w:rPr>
          <w:rFonts w:ascii="Times New Roman" w:hAnsi="Times New Roman"/>
          <w:sz w:val="24"/>
          <w:szCs w:val="24"/>
        </w:rPr>
      </w:pPr>
      <w:r>
        <w:rPr>
          <w:szCs w:val="24"/>
        </w:rPr>
        <w:tab/>
        <w:t>27</w:t>
      </w:r>
      <w:r>
        <w:tab/>
      </w:r>
      <w:r>
        <w:tab/>
      </w:r>
      <w:r>
        <w:fldChar w:fldCharType="begin"/>
      </w:r>
      <w:r>
        <w:instrText xml:space="preserve"> PAGEREF _Toc87257900 \h </w:instrText>
      </w:r>
      <w:r>
        <w:fldChar w:fldCharType="separate"/>
      </w:r>
      <w:r w:rsidR="00C67449">
        <w:t>16</w:t>
      </w:r>
      <w:r>
        <w:fldChar w:fldCharType="end"/>
      </w:r>
    </w:p>
    <w:p w:rsidR="00B40966" w:rsidRDefault="00B40966">
      <w:pPr>
        <w:pStyle w:val="TOC4"/>
        <w:rPr>
          <w:rFonts w:ascii="Times New Roman" w:hAnsi="Times New Roman"/>
          <w:b w:val="0"/>
          <w:sz w:val="24"/>
          <w:szCs w:val="24"/>
        </w:rPr>
      </w:pPr>
      <w:r>
        <w:rPr>
          <w:szCs w:val="26"/>
        </w:rPr>
        <w:t>Enclosures</w:t>
      </w:r>
    </w:p>
    <w:p w:rsidR="00B40966" w:rsidRDefault="00B40966">
      <w:pPr>
        <w:pStyle w:val="TOC5"/>
        <w:rPr>
          <w:rFonts w:ascii="Times New Roman" w:hAnsi="Times New Roman"/>
          <w:sz w:val="24"/>
          <w:szCs w:val="24"/>
        </w:rPr>
      </w:pPr>
      <w:r>
        <w:rPr>
          <w:szCs w:val="24"/>
        </w:rPr>
        <w:tab/>
        <w:t>28</w:t>
      </w:r>
      <w:r>
        <w:tab/>
      </w:r>
      <w:r>
        <w:tab/>
      </w:r>
      <w:r>
        <w:fldChar w:fldCharType="begin"/>
      </w:r>
      <w:r>
        <w:instrText xml:space="preserve"> PAGEREF _Toc87257902 \h </w:instrText>
      </w:r>
      <w:r>
        <w:fldChar w:fldCharType="separate"/>
      </w:r>
      <w:r w:rsidR="00C67449">
        <w:t>17</w:t>
      </w:r>
      <w:r>
        <w:fldChar w:fldCharType="end"/>
      </w:r>
    </w:p>
    <w:p w:rsidR="00B40966" w:rsidRDefault="00B40966">
      <w:pPr>
        <w:pStyle w:val="TOC4"/>
        <w:rPr>
          <w:rFonts w:ascii="Times New Roman" w:hAnsi="Times New Roman"/>
          <w:b w:val="0"/>
          <w:sz w:val="24"/>
          <w:szCs w:val="24"/>
        </w:rPr>
      </w:pPr>
      <w:r>
        <w:rPr>
          <w:szCs w:val="26"/>
        </w:rPr>
        <w:t>Enclosure doors</w:t>
      </w:r>
    </w:p>
    <w:p w:rsidR="00B40966" w:rsidRDefault="00B40966">
      <w:pPr>
        <w:pStyle w:val="TOC5"/>
        <w:rPr>
          <w:rFonts w:ascii="Times New Roman" w:hAnsi="Times New Roman"/>
          <w:sz w:val="24"/>
          <w:szCs w:val="24"/>
        </w:rPr>
      </w:pPr>
      <w:r>
        <w:rPr>
          <w:szCs w:val="24"/>
        </w:rPr>
        <w:tab/>
        <w:t>29</w:t>
      </w:r>
      <w:r>
        <w:tab/>
      </w:r>
      <w:r>
        <w:tab/>
      </w:r>
      <w:r>
        <w:fldChar w:fldCharType="begin"/>
      </w:r>
      <w:r>
        <w:instrText xml:space="preserve"> PAGEREF _Toc87257904 \h </w:instrText>
      </w:r>
      <w:r>
        <w:fldChar w:fldCharType="separate"/>
      </w:r>
      <w:r w:rsidR="00C67449">
        <w:t>17</w:t>
      </w:r>
      <w:r>
        <w:fldChar w:fldCharType="end"/>
      </w:r>
    </w:p>
    <w:p w:rsidR="00B40966" w:rsidRDefault="00B40966">
      <w:pPr>
        <w:pStyle w:val="TOC4"/>
        <w:rPr>
          <w:rFonts w:ascii="Times New Roman" w:hAnsi="Times New Roman"/>
          <w:b w:val="0"/>
          <w:sz w:val="24"/>
          <w:szCs w:val="24"/>
        </w:rPr>
      </w:pPr>
      <w:r>
        <w:rPr>
          <w:szCs w:val="26"/>
        </w:rPr>
        <w:t>Clearance in wells</w:t>
      </w:r>
    </w:p>
    <w:p w:rsidR="00B40966" w:rsidRDefault="00B40966">
      <w:pPr>
        <w:pStyle w:val="TOC5"/>
        <w:rPr>
          <w:rFonts w:ascii="Times New Roman" w:hAnsi="Times New Roman"/>
          <w:sz w:val="24"/>
          <w:szCs w:val="24"/>
        </w:rPr>
      </w:pPr>
      <w:r>
        <w:rPr>
          <w:szCs w:val="24"/>
        </w:rPr>
        <w:tab/>
        <w:t>30</w:t>
      </w:r>
      <w:r>
        <w:tab/>
      </w:r>
      <w:r>
        <w:tab/>
      </w:r>
      <w:r>
        <w:fldChar w:fldCharType="begin"/>
      </w:r>
      <w:r>
        <w:instrText xml:space="preserve"> PAGEREF _Toc87257906 \h </w:instrText>
      </w:r>
      <w:r>
        <w:fldChar w:fldCharType="separate"/>
      </w:r>
      <w:r w:rsidR="00C67449">
        <w:t>18</w:t>
      </w:r>
      <w:r>
        <w:fldChar w:fldCharType="end"/>
      </w:r>
    </w:p>
    <w:p w:rsidR="00B40966" w:rsidRDefault="00B40966">
      <w:pPr>
        <w:pStyle w:val="TOC4"/>
        <w:rPr>
          <w:rFonts w:ascii="Times New Roman" w:hAnsi="Times New Roman"/>
          <w:b w:val="0"/>
          <w:sz w:val="24"/>
          <w:szCs w:val="24"/>
        </w:rPr>
      </w:pPr>
      <w:r>
        <w:rPr>
          <w:szCs w:val="26"/>
        </w:rPr>
        <w:t>Ropes and sheaves</w:t>
      </w:r>
    </w:p>
    <w:p w:rsidR="00B40966" w:rsidRDefault="00B40966">
      <w:pPr>
        <w:pStyle w:val="TOC5"/>
        <w:rPr>
          <w:rFonts w:ascii="Times New Roman" w:hAnsi="Times New Roman"/>
          <w:sz w:val="24"/>
          <w:szCs w:val="24"/>
        </w:rPr>
      </w:pPr>
      <w:r>
        <w:rPr>
          <w:szCs w:val="24"/>
        </w:rPr>
        <w:tab/>
        <w:t>31</w:t>
      </w:r>
      <w:r>
        <w:tab/>
      </w:r>
      <w:r>
        <w:tab/>
      </w:r>
      <w:r>
        <w:fldChar w:fldCharType="begin"/>
      </w:r>
      <w:r>
        <w:instrText xml:space="preserve"> PAGEREF _Toc87257908 \h </w:instrText>
      </w:r>
      <w:r>
        <w:fldChar w:fldCharType="separate"/>
      </w:r>
      <w:r w:rsidR="00C67449">
        <w:t>19</w:t>
      </w:r>
      <w:r>
        <w:fldChar w:fldCharType="end"/>
      </w:r>
    </w:p>
    <w:p w:rsidR="00B40966" w:rsidRDefault="00B40966">
      <w:pPr>
        <w:pStyle w:val="TOC4"/>
        <w:rPr>
          <w:rFonts w:ascii="Times New Roman" w:hAnsi="Times New Roman"/>
          <w:b w:val="0"/>
          <w:sz w:val="24"/>
          <w:szCs w:val="24"/>
        </w:rPr>
      </w:pPr>
      <w:r>
        <w:rPr>
          <w:szCs w:val="26"/>
        </w:rPr>
        <w:t>Lift cars</w:t>
      </w:r>
    </w:p>
    <w:p w:rsidR="00B40966" w:rsidRDefault="00B40966">
      <w:pPr>
        <w:pStyle w:val="TOC5"/>
        <w:rPr>
          <w:rFonts w:ascii="Times New Roman" w:hAnsi="Times New Roman"/>
          <w:sz w:val="24"/>
          <w:szCs w:val="24"/>
        </w:rPr>
      </w:pPr>
      <w:r>
        <w:rPr>
          <w:szCs w:val="24"/>
        </w:rPr>
        <w:tab/>
        <w:t>32</w:t>
      </w:r>
      <w:r>
        <w:tab/>
      </w:r>
      <w:r>
        <w:tab/>
      </w:r>
      <w:r>
        <w:fldChar w:fldCharType="begin"/>
      </w:r>
      <w:r>
        <w:instrText xml:space="preserve"> PAGEREF _Toc87257910 \h </w:instrText>
      </w:r>
      <w:r>
        <w:fldChar w:fldCharType="separate"/>
      </w:r>
      <w:r w:rsidR="00C67449">
        <w:t>20</w:t>
      </w:r>
      <w:r>
        <w:fldChar w:fldCharType="end"/>
      </w:r>
    </w:p>
    <w:p w:rsidR="00B40966" w:rsidRDefault="00B40966">
      <w:pPr>
        <w:pStyle w:val="TOC4"/>
        <w:rPr>
          <w:rFonts w:ascii="Times New Roman" w:hAnsi="Times New Roman"/>
          <w:b w:val="0"/>
          <w:sz w:val="24"/>
          <w:szCs w:val="24"/>
        </w:rPr>
      </w:pPr>
      <w:r>
        <w:rPr>
          <w:szCs w:val="26"/>
        </w:rPr>
        <w:t>Car gates</w:t>
      </w:r>
    </w:p>
    <w:p w:rsidR="00B40966" w:rsidRDefault="00B40966">
      <w:pPr>
        <w:pStyle w:val="TOC5"/>
        <w:rPr>
          <w:rFonts w:ascii="Times New Roman" w:hAnsi="Times New Roman"/>
          <w:sz w:val="24"/>
          <w:szCs w:val="24"/>
        </w:rPr>
      </w:pPr>
      <w:r>
        <w:rPr>
          <w:szCs w:val="24"/>
        </w:rPr>
        <w:tab/>
        <w:t>33</w:t>
      </w:r>
      <w:r>
        <w:tab/>
      </w:r>
      <w:r>
        <w:tab/>
      </w:r>
      <w:r>
        <w:fldChar w:fldCharType="begin"/>
      </w:r>
      <w:r>
        <w:instrText xml:space="preserve"> PAGEREF _Toc87257912 \h </w:instrText>
      </w:r>
      <w:r>
        <w:fldChar w:fldCharType="separate"/>
      </w:r>
      <w:r w:rsidR="00C67449">
        <w:t>21</w:t>
      </w:r>
      <w:r>
        <w:fldChar w:fldCharType="end"/>
      </w:r>
    </w:p>
    <w:p w:rsidR="00B40966" w:rsidRDefault="00B40966">
      <w:pPr>
        <w:pStyle w:val="TOC4"/>
        <w:rPr>
          <w:rFonts w:ascii="Times New Roman" w:hAnsi="Times New Roman"/>
          <w:b w:val="0"/>
          <w:sz w:val="24"/>
          <w:szCs w:val="24"/>
        </w:rPr>
      </w:pPr>
      <w:r>
        <w:t>Lighting and ventilation of cars</w:t>
      </w:r>
    </w:p>
    <w:p w:rsidR="00B40966" w:rsidRDefault="00B40966">
      <w:pPr>
        <w:pStyle w:val="TOC5"/>
        <w:rPr>
          <w:rFonts w:ascii="Times New Roman" w:hAnsi="Times New Roman"/>
          <w:sz w:val="24"/>
          <w:szCs w:val="24"/>
        </w:rPr>
      </w:pPr>
      <w:r>
        <w:rPr>
          <w:szCs w:val="24"/>
        </w:rPr>
        <w:tab/>
        <w:t>34</w:t>
      </w:r>
      <w:r>
        <w:tab/>
      </w:r>
      <w:r>
        <w:tab/>
      </w:r>
      <w:r>
        <w:fldChar w:fldCharType="begin"/>
      </w:r>
      <w:r>
        <w:instrText xml:space="preserve"> PAGEREF _Toc87257914 \h </w:instrText>
      </w:r>
      <w:r>
        <w:fldChar w:fldCharType="separate"/>
      </w:r>
      <w:r w:rsidR="00C67449">
        <w:t>22</w:t>
      </w:r>
      <w:r>
        <w:fldChar w:fldCharType="end"/>
      </w:r>
    </w:p>
    <w:p w:rsidR="00B40966" w:rsidRDefault="00B40966">
      <w:pPr>
        <w:pStyle w:val="TOC4"/>
        <w:rPr>
          <w:rFonts w:ascii="Times New Roman" w:hAnsi="Times New Roman"/>
          <w:b w:val="0"/>
          <w:sz w:val="24"/>
          <w:szCs w:val="24"/>
        </w:rPr>
      </w:pPr>
      <w:r>
        <w:rPr>
          <w:szCs w:val="26"/>
        </w:rPr>
        <w:t>Safety gear</w:t>
      </w:r>
    </w:p>
    <w:p w:rsidR="00B40966" w:rsidRDefault="00B40966">
      <w:pPr>
        <w:pStyle w:val="TOC5"/>
        <w:rPr>
          <w:rFonts w:ascii="Times New Roman" w:hAnsi="Times New Roman"/>
          <w:sz w:val="24"/>
          <w:szCs w:val="24"/>
        </w:rPr>
      </w:pPr>
      <w:r>
        <w:rPr>
          <w:szCs w:val="24"/>
        </w:rPr>
        <w:tab/>
        <w:t>35</w:t>
      </w:r>
      <w:r>
        <w:tab/>
      </w:r>
      <w:r>
        <w:tab/>
      </w:r>
      <w:r>
        <w:fldChar w:fldCharType="begin"/>
      </w:r>
      <w:r>
        <w:instrText xml:space="preserve"> PAGEREF _Toc87257916 \h </w:instrText>
      </w:r>
      <w:r>
        <w:fldChar w:fldCharType="separate"/>
      </w:r>
      <w:r w:rsidR="00C67449">
        <w:t>22</w:t>
      </w:r>
      <w:r>
        <w:fldChar w:fldCharType="end"/>
      </w:r>
    </w:p>
    <w:p w:rsidR="00B40966" w:rsidRDefault="00B40966">
      <w:pPr>
        <w:pStyle w:val="TOC4"/>
        <w:rPr>
          <w:rFonts w:ascii="Times New Roman" w:hAnsi="Times New Roman"/>
          <w:b w:val="0"/>
          <w:sz w:val="24"/>
          <w:szCs w:val="24"/>
        </w:rPr>
      </w:pPr>
      <w:r>
        <w:rPr>
          <w:szCs w:val="26"/>
        </w:rPr>
        <w:t>Machines</w:t>
      </w:r>
    </w:p>
    <w:p w:rsidR="00B40966" w:rsidRDefault="00B40966">
      <w:pPr>
        <w:pStyle w:val="TOC5"/>
        <w:rPr>
          <w:rFonts w:ascii="Times New Roman" w:hAnsi="Times New Roman"/>
          <w:sz w:val="24"/>
          <w:szCs w:val="24"/>
        </w:rPr>
      </w:pPr>
      <w:r>
        <w:rPr>
          <w:szCs w:val="24"/>
        </w:rPr>
        <w:tab/>
        <w:t>36</w:t>
      </w:r>
      <w:r>
        <w:tab/>
      </w:r>
      <w:r>
        <w:tab/>
      </w:r>
      <w:r>
        <w:fldChar w:fldCharType="begin"/>
      </w:r>
      <w:r>
        <w:instrText xml:space="preserve"> PAGEREF _Toc87257918 \h </w:instrText>
      </w:r>
      <w:r>
        <w:fldChar w:fldCharType="separate"/>
      </w:r>
      <w:r w:rsidR="00C67449">
        <w:t>23</w:t>
      </w:r>
      <w:r>
        <w:fldChar w:fldCharType="end"/>
      </w:r>
    </w:p>
    <w:p w:rsidR="00B40966" w:rsidRDefault="00B40966">
      <w:pPr>
        <w:pStyle w:val="TOC4"/>
        <w:rPr>
          <w:rFonts w:ascii="Times New Roman" w:hAnsi="Times New Roman"/>
          <w:b w:val="0"/>
          <w:sz w:val="24"/>
          <w:szCs w:val="24"/>
        </w:rPr>
      </w:pPr>
      <w:r>
        <w:rPr>
          <w:szCs w:val="26"/>
        </w:rPr>
        <w:t>Counterweight</w:t>
      </w:r>
    </w:p>
    <w:p w:rsidR="00B40966" w:rsidRDefault="00B40966">
      <w:pPr>
        <w:pStyle w:val="TOC5"/>
        <w:rPr>
          <w:rFonts w:ascii="Times New Roman" w:hAnsi="Times New Roman"/>
          <w:sz w:val="24"/>
          <w:szCs w:val="24"/>
        </w:rPr>
      </w:pPr>
      <w:r>
        <w:rPr>
          <w:szCs w:val="24"/>
        </w:rPr>
        <w:tab/>
        <w:t>37</w:t>
      </w:r>
      <w:r>
        <w:tab/>
      </w:r>
      <w:r>
        <w:tab/>
      </w:r>
      <w:r>
        <w:fldChar w:fldCharType="begin"/>
      </w:r>
      <w:r>
        <w:instrText xml:space="preserve"> PAGEREF _Toc87257920 \h </w:instrText>
      </w:r>
      <w:r>
        <w:fldChar w:fldCharType="separate"/>
      </w:r>
      <w:r w:rsidR="00C67449">
        <w:t>24</w:t>
      </w:r>
      <w:r>
        <w:fldChar w:fldCharType="end"/>
      </w:r>
    </w:p>
    <w:p w:rsidR="00B40966" w:rsidRDefault="00B40966">
      <w:pPr>
        <w:pStyle w:val="TOC4"/>
        <w:rPr>
          <w:rFonts w:ascii="Times New Roman" w:hAnsi="Times New Roman"/>
          <w:b w:val="0"/>
          <w:sz w:val="24"/>
          <w:szCs w:val="24"/>
        </w:rPr>
      </w:pPr>
      <w:r>
        <w:rPr>
          <w:szCs w:val="26"/>
        </w:rPr>
        <w:t>Guides</w:t>
      </w:r>
    </w:p>
    <w:p w:rsidR="00B40966" w:rsidRDefault="00B40966">
      <w:pPr>
        <w:pStyle w:val="TOC5"/>
        <w:rPr>
          <w:rFonts w:ascii="Times New Roman" w:hAnsi="Times New Roman"/>
          <w:sz w:val="24"/>
          <w:szCs w:val="24"/>
        </w:rPr>
      </w:pPr>
      <w:r>
        <w:rPr>
          <w:szCs w:val="24"/>
        </w:rPr>
        <w:tab/>
        <w:t>38</w:t>
      </w:r>
      <w:r>
        <w:tab/>
      </w:r>
      <w:r>
        <w:tab/>
      </w:r>
      <w:r>
        <w:fldChar w:fldCharType="begin"/>
      </w:r>
      <w:r>
        <w:instrText xml:space="preserve"> PAGEREF _Toc87257922 \h </w:instrText>
      </w:r>
      <w:r>
        <w:fldChar w:fldCharType="separate"/>
      </w:r>
      <w:r w:rsidR="00C67449">
        <w:t>24</w:t>
      </w:r>
      <w:r>
        <w:fldChar w:fldCharType="end"/>
      </w:r>
    </w:p>
    <w:p w:rsidR="00B40966" w:rsidRDefault="00B40966">
      <w:pPr>
        <w:pStyle w:val="TOC4"/>
        <w:rPr>
          <w:rFonts w:ascii="Times New Roman" w:hAnsi="Times New Roman"/>
          <w:b w:val="0"/>
          <w:sz w:val="24"/>
          <w:szCs w:val="24"/>
        </w:rPr>
      </w:pPr>
      <w:r>
        <w:rPr>
          <w:szCs w:val="26"/>
        </w:rPr>
        <w:t>Electrical equipment</w:t>
      </w:r>
    </w:p>
    <w:p w:rsidR="00B40966" w:rsidRDefault="00B40966">
      <w:pPr>
        <w:pStyle w:val="TOC5"/>
        <w:rPr>
          <w:rFonts w:ascii="Times New Roman" w:hAnsi="Times New Roman"/>
          <w:sz w:val="24"/>
          <w:szCs w:val="24"/>
        </w:rPr>
      </w:pPr>
      <w:r>
        <w:rPr>
          <w:szCs w:val="24"/>
        </w:rPr>
        <w:tab/>
        <w:t>39</w:t>
      </w:r>
      <w:r>
        <w:tab/>
      </w:r>
      <w:r>
        <w:tab/>
      </w:r>
      <w:r>
        <w:fldChar w:fldCharType="begin"/>
      </w:r>
      <w:r>
        <w:instrText xml:space="preserve"> PAGEREF _Toc87257924 \h </w:instrText>
      </w:r>
      <w:r>
        <w:fldChar w:fldCharType="separate"/>
      </w:r>
      <w:r w:rsidR="00C67449">
        <w:t>24</w:t>
      </w:r>
      <w:r>
        <w:fldChar w:fldCharType="end"/>
      </w:r>
    </w:p>
    <w:p w:rsidR="00B40966" w:rsidRDefault="00B40966">
      <w:pPr>
        <w:pStyle w:val="TOC4"/>
        <w:rPr>
          <w:rFonts w:ascii="Times New Roman" w:hAnsi="Times New Roman"/>
          <w:b w:val="0"/>
          <w:sz w:val="24"/>
          <w:szCs w:val="24"/>
        </w:rPr>
      </w:pPr>
      <w:r>
        <w:rPr>
          <w:szCs w:val="26"/>
        </w:rPr>
        <w:t>Car switch</w:t>
      </w:r>
    </w:p>
    <w:p w:rsidR="00B40966" w:rsidRDefault="00B40966">
      <w:pPr>
        <w:pStyle w:val="TOC5"/>
        <w:rPr>
          <w:rFonts w:ascii="Times New Roman" w:hAnsi="Times New Roman"/>
          <w:sz w:val="24"/>
          <w:szCs w:val="24"/>
        </w:rPr>
      </w:pPr>
      <w:r>
        <w:rPr>
          <w:szCs w:val="24"/>
        </w:rPr>
        <w:tab/>
        <w:t>40</w:t>
      </w:r>
      <w:r>
        <w:tab/>
      </w:r>
      <w:r>
        <w:tab/>
      </w:r>
      <w:r>
        <w:fldChar w:fldCharType="begin"/>
      </w:r>
      <w:r>
        <w:instrText xml:space="preserve"> PAGEREF _Toc87257926 \h </w:instrText>
      </w:r>
      <w:r>
        <w:fldChar w:fldCharType="separate"/>
      </w:r>
      <w:r w:rsidR="00C67449">
        <w:t>25</w:t>
      </w:r>
      <w:r>
        <w:fldChar w:fldCharType="end"/>
      </w:r>
    </w:p>
    <w:p w:rsidR="00B40966" w:rsidRDefault="00B40966">
      <w:pPr>
        <w:pStyle w:val="TOC4"/>
        <w:rPr>
          <w:rFonts w:ascii="Times New Roman" w:hAnsi="Times New Roman"/>
          <w:b w:val="0"/>
          <w:sz w:val="24"/>
          <w:szCs w:val="24"/>
        </w:rPr>
      </w:pPr>
      <w:r>
        <w:rPr>
          <w:szCs w:val="26"/>
        </w:rPr>
        <w:t>Limit gear</w:t>
      </w:r>
    </w:p>
    <w:p w:rsidR="00B40966" w:rsidRDefault="00B40966">
      <w:pPr>
        <w:pStyle w:val="TOC5"/>
        <w:rPr>
          <w:rFonts w:ascii="Times New Roman" w:hAnsi="Times New Roman"/>
          <w:sz w:val="24"/>
          <w:szCs w:val="24"/>
        </w:rPr>
      </w:pPr>
      <w:r>
        <w:rPr>
          <w:szCs w:val="24"/>
        </w:rPr>
        <w:tab/>
        <w:t>41</w:t>
      </w:r>
      <w:r>
        <w:tab/>
      </w:r>
      <w:r>
        <w:tab/>
      </w:r>
      <w:r>
        <w:fldChar w:fldCharType="begin"/>
      </w:r>
      <w:r>
        <w:instrText xml:space="preserve"> PAGEREF _Toc87257928 \h </w:instrText>
      </w:r>
      <w:r>
        <w:fldChar w:fldCharType="separate"/>
      </w:r>
      <w:r w:rsidR="00C67449">
        <w:t>25</w:t>
      </w:r>
      <w:r>
        <w:fldChar w:fldCharType="end"/>
      </w:r>
    </w:p>
    <w:p w:rsidR="00B40966" w:rsidRDefault="00B40966">
      <w:pPr>
        <w:pStyle w:val="TOC4"/>
        <w:rPr>
          <w:rFonts w:ascii="Times New Roman" w:hAnsi="Times New Roman"/>
          <w:b w:val="0"/>
          <w:sz w:val="24"/>
          <w:szCs w:val="24"/>
        </w:rPr>
      </w:pPr>
      <w:r>
        <w:rPr>
          <w:szCs w:val="26"/>
        </w:rPr>
        <w:t>Slack cable device</w:t>
      </w:r>
    </w:p>
    <w:p w:rsidR="00B40966" w:rsidRDefault="00B40966">
      <w:pPr>
        <w:pStyle w:val="TOC5"/>
        <w:rPr>
          <w:rFonts w:ascii="Times New Roman" w:hAnsi="Times New Roman"/>
          <w:sz w:val="24"/>
          <w:szCs w:val="24"/>
        </w:rPr>
      </w:pPr>
      <w:r>
        <w:rPr>
          <w:szCs w:val="24"/>
        </w:rPr>
        <w:tab/>
        <w:t>42</w:t>
      </w:r>
      <w:r>
        <w:tab/>
      </w:r>
      <w:r>
        <w:tab/>
      </w:r>
      <w:r>
        <w:fldChar w:fldCharType="begin"/>
      </w:r>
      <w:r>
        <w:instrText xml:space="preserve"> PAGEREF _Toc87257930 \h </w:instrText>
      </w:r>
      <w:r>
        <w:fldChar w:fldCharType="separate"/>
      </w:r>
      <w:r w:rsidR="00C67449">
        <w:t>26</w:t>
      </w:r>
      <w:r>
        <w:fldChar w:fldCharType="end"/>
      </w:r>
    </w:p>
    <w:p w:rsidR="00B40966" w:rsidRDefault="00B40966">
      <w:pPr>
        <w:pStyle w:val="TOC4"/>
        <w:rPr>
          <w:rFonts w:ascii="Times New Roman" w:hAnsi="Times New Roman"/>
          <w:b w:val="0"/>
          <w:sz w:val="24"/>
          <w:szCs w:val="24"/>
        </w:rPr>
      </w:pPr>
      <w:r>
        <w:rPr>
          <w:szCs w:val="26"/>
        </w:rPr>
        <w:t>Safety gear switch</w:t>
      </w:r>
    </w:p>
    <w:p w:rsidR="00B40966" w:rsidRDefault="00B40966">
      <w:pPr>
        <w:pStyle w:val="TOC5"/>
        <w:rPr>
          <w:rFonts w:ascii="Times New Roman" w:hAnsi="Times New Roman"/>
          <w:sz w:val="24"/>
          <w:szCs w:val="24"/>
        </w:rPr>
      </w:pPr>
      <w:r>
        <w:rPr>
          <w:szCs w:val="24"/>
        </w:rPr>
        <w:tab/>
        <w:t>43</w:t>
      </w:r>
      <w:r>
        <w:tab/>
      </w:r>
      <w:r>
        <w:tab/>
      </w:r>
      <w:r>
        <w:fldChar w:fldCharType="begin"/>
      </w:r>
      <w:r>
        <w:instrText xml:space="preserve"> PAGEREF _Toc87257932 \h </w:instrText>
      </w:r>
      <w:r>
        <w:fldChar w:fldCharType="separate"/>
      </w:r>
      <w:r w:rsidR="00C67449">
        <w:t>26</w:t>
      </w:r>
      <w:r>
        <w:fldChar w:fldCharType="end"/>
      </w:r>
    </w:p>
    <w:p w:rsidR="00B40966" w:rsidRDefault="00B40966">
      <w:pPr>
        <w:pStyle w:val="TOC4"/>
        <w:rPr>
          <w:rFonts w:ascii="Times New Roman" w:hAnsi="Times New Roman"/>
          <w:b w:val="0"/>
          <w:sz w:val="24"/>
          <w:szCs w:val="24"/>
        </w:rPr>
      </w:pPr>
      <w:r>
        <w:rPr>
          <w:szCs w:val="26"/>
        </w:rPr>
        <w:t>Stop button</w:t>
      </w:r>
    </w:p>
    <w:p w:rsidR="00B40966" w:rsidRDefault="00B40966">
      <w:pPr>
        <w:pStyle w:val="TOC5"/>
        <w:rPr>
          <w:rFonts w:ascii="Times New Roman" w:hAnsi="Times New Roman"/>
          <w:sz w:val="24"/>
          <w:szCs w:val="24"/>
        </w:rPr>
      </w:pPr>
      <w:r>
        <w:rPr>
          <w:szCs w:val="24"/>
        </w:rPr>
        <w:tab/>
        <w:t>44</w:t>
      </w:r>
      <w:r>
        <w:tab/>
      </w:r>
      <w:r>
        <w:tab/>
      </w:r>
      <w:r>
        <w:fldChar w:fldCharType="begin"/>
      </w:r>
      <w:r>
        <w:instrText xml:space="preserve"> PAGEREF _Toc87257934 \h </w:instrText>
      </w:r>
      <w:r>
        <w:fldChar w:fldCharType="separate"/>
      </w:r>
      <w:r w:rsidR="00C67449">
        <w:t>26</w:t>
      </w:r>
      <w:r>
        <w:fldChar w:fldCharType="end"/>
      </w:r>
    </w:p>
    <w:p w:rsidR="00B40966" w:rsidRDefault="00B40966">
      <w:pPr>
        <w:pStyle w:val="TOC4"/>
        <w:rPr>
          <w:rFonts w:ascii="Times New Roman" w:hAnsi="Times New Roman"/>
          <w:b w:val="0"/>
          <w:sz w:val="24"/>
          <w:szCs w:val="24"/>
        </w:rPr>
      </w:pPr>
      <w:r>
        <w:rPr>
          <w:szCs w:val="26"/>
        </w:rPr>
        <w:t>Signal call system</w:t>
      </w:r>
    </w:p>
    <w:p w:rsidR="00B40966" w:rsidRDefault="00B40966">
      <w:pPr>
        <w:pStyle w:val="TOC5"/>
        <w:rPr>
          <w:rFonts w:ascii="Times New Roman" w:hAnsi="Times New Roman"/>
          <w:sz w:val="24"/>
          <w:szCs w:val="24"/>
        </w:rPr>
      </w:pPr>
      <w:r>
        <w:rPr>
          <w:szCs w:val="24"/>
        </w:rPr>
        <w:tab/>
        <w:t>45</w:t>
      </w:r>
      <w:r>
        <w:tab/>
      </w:r>
      <w:r>
        <w:tab/>
      </w:r>
      <w:r>
        <w:fldChar w:fldCharType="begin"/>
      </w:r>
      <w:r>
        <w:instrText xml:space="preserve"> PAGEREF _Toc87257936 \h </w:instrText>
      </w:r>
      <w:r>
        <w:fldChar w:fldCharType="separate"/>
      </w:r>
      <w:r w:rsidR="00C67449">
        <w:t>27</w:t>
      </w:r>
      <w:r>
        <w:fldChar w:fldCharType="end"/>
      </w:r>
    </w:p>
    <w:p w:rsidR="00B40966" w:rsidRDefault="00B40966">
      <w:pPr>
        <w:pStyle w:val="TOC4"/>
        <w:rPr>
          <w:rFonts w:ascii="Times New Roman" w:hAnsi="Times New Roman"/>
          <w:b w:val="0"/>
          <w:sz w:val="24"/>
          <w:szCs w:val="24"/>
        </w:rPr>
      </w:pPr>
      <w:r>
        <w:rPr>
          <w:szCs w:val="26"/>
        </w:rPr>
        <w:t>Hydraulic equipment</w:t>
      </w:r>
    </w:p>
    <w:p w:rsidR="00B40966" w:rsidRDefault="00B40966">
      <w:pPr>
        <w:pStyle w:val="TOC5"/>
        <w:rPr>
          <w:rFonts w:ascii="Times New Roman" w:hAnsi="Times New Roman"/>
          <w:sz w:val="24"/>
          <w:szCs w:val="24"/>
        </w:rPr>
      </w:pPr>
      <w:r>
        <w:rPr>
          <w:szCs w:val="24"/>
        </w:rPr>
        <w:tab/>
        <w:t>46</w:t>
      </w:r>
      <w:r>
        <w:tab/>
      </w:r>
      <w:r>
        <w:tab/>
      </w:r>
      <w:r>
        <w:fldChar w:fldCharType="begin"/>
      </w:r>
      <w:r>
        <w:instrText xml:space="preserve"> PAGEREF _Toc87257938 \h </w:instrText>
      </w:r>
      <w:r>
        <w:fldChar w:fldCharType="separate"/>
      </w:r>
      <w:r w:rsidR="00C67449">
        <w:t>27</w:t>
      </w:r>
      <w:r>
        <w:fldChar w:fldCharType="end"/>
      </w:r>
    </w:p>
    <w:p w:rsidR="00B40966" w:rsidRDefault="00B40966">
      <w:pPr>
        <w:pStyle w:val="TOC4"/>
        <w:rPr>
          <w:rFonts w:ascii="Times New Roman" w:hAnsi="Times New Roman"/>
          <w:b w:val="0"/>
          <w:sz w:val="24"/>
          <w:szCs w:val="24"/>
        </w:rPr>
      </w:pPr>
      <w:r>
        <w:rPr>
          <w:szCs w:val="26"/>
        </w:rPr>
        <w:t>Escalators</w:t>
      </w:r>
    </w:p>
    <w:p w:rsidR="00B40966" w:rsidRDefault="00B40966">
      <w:pPr>
        <w:pStyle w:val="TOC5"/>
        <w:rPr>
          <w:rFonts w:ascii="Times New Roman" w:hAnsi="Times New Roman"/>
          <w:sz w:val="24"/>
          <w:szCs w:val="24"/>
        </w:rPr>
      </w:pPr>
      <w:r>
        <w:rPr>
          <w:szCs w:val="24"/>
        </w:rPr>
        <w:tab/>
        <w:t>47</w:t>
      </w:r>
      <w:r>
        <w:tab/>
      </w:r>
      <w:r>
        <w:tab/>
      </w:r>
      <w:r>
        <w:fldChar w:fldCharType="begin"/>
      </w:r>
      <w:r>
        <w:instrText xml:space="preserve"> PAGEREF _Toc87257940 \h </w:instrText>
      </w:r>
      <w:r>
        <w:fldChar w:fldCharType="separate"/>
      </w:r>
      <w:r w:rsidR="00C67449">
        <w:t>28</w:t>
      </w:r>
      <w:r>
        <w:fldChar w:fldCharType="end"/>
      </w:r>
    </w:p>
    <w:p w:rsidR="00B40966" w:rsidRDefault="00B40966">
      <w:pPr>
        <w:pStyle w:val="TOC4"/>
        <w:rPr>
          <w:rFonts w:ascii="Times New Roman" w:hAnsi="Times New Roman"/>
          <w:b w:val="0"/>
          <w:sz w:val="24"/>
          <w:szCs w:val="24"/>
        </w:rPr>
      </w:pPr>
      <w:r>
        <w:rPr>
          <w:szCs w:val="26"/>
        </w:rPr>
        <w:t>Trusses or girders</w:t>
      </w:r>
    </w:p>
    <w:p w:rsidR="00B40966" w:rsidRDefault="00B40966">
      <w:pPr>
        <w:pStyle w:val="TOC5"/>
        <w:rPr>
          <w:rFonts w:ascii="Times New Roman" w:hAnsi="Times New Roman"/>
          <w:sz w:val="24"/>
          <w:szCs w:val="24"/>
        </w:rPr>
      </w:pPr>
      <w:r>
        <w:rPr>
          <w:szCs w:val="24"/>
        </w:rPr>
        <w:tab/>
        <w:t>48</w:t>
      </w:r>
      <w:r>
        <w:tab/>
      </w:r>
      <w:r>
        <w:tab/>
      </w:r>
      <w:r>
        <w:fldChar w:fldCharType="begin"/>
      </w:r>
      <w:r>
        <w:instrText xml:space="preserve"> PAGEREF _Toc87257942 \h </w:instrText>
      </w:r>
      <w:r>
        <w:fldChar w:fldCharType="separate"/>
      </w:r>
      <w:r w:rsidR="00C67449">
        <w:t>28</w:t>
      </w:r>
      <w:r>
        <w:fldChar w:fldCharType="end"/>
      </w:r>
    </w:p>
    <w:p w:rsidR="00B40966" w:rsidRDefault="00B40966">
      <w:pPr>
        <w:pStyle w:val="TOC4"/>
        <w:rPr>
          <w:rFonts w:ascii="Times New Roman" w:hAnsi="Times New Roman"/>
          <w:b w:val="0"/>
          <w:sz w:val="24"/>
          <w:szCs w:val="24"/>
        </w:rPr>
      </w:pPr>
      <w:r>
        <w:rPr>
          <w:szCs w:val="26"/>
        </w:rPr>
        <w:t>Track arrangement</w:t>
      </w:r>
    </w:p>
    <w:p w:rsidR="00B40966" w:rsidRDefault="00B40966">
      <w:pPr>
        <w:pStyle w:val="TOC5"/>
        <w:rPr>
          <w:rFonts w:ascii="Times New Roman" w:hAnsi="Times New Roman"/>
          <w:sz w:val="24"/>
          <w:szCs w:val="24"/>
        </w:rPr>
      </w:pPr>
      <w:r>
        <w:rPr>
          <w:szCs w:val="24"/>
        </w:rPr>
        <w:tab/>
        <w:t>49</w:t>
      </w:r>
      <w:r>
        <w:tab/>
      </w:r>
      <w:r>
        <w:tab/>
      </w:r>
      <w:r>
        <w:fldChar w:fldCharType="begin"/>
      </w:r>
      <w:r>
        <w:instrText xml:space="preserve"> PAGEREF _Toc87257944 \h </w:instrText>
      </w:r>
      <w:r>
        <w:fldChar w:fldCharType="separate"/>
      </w:r>
      <w:r w:rsidR="00C67449">
        <w:t>28</w:t>
      </w:r>
      <w:r>
        <w:fldChar w:fldCharType="end"/>
      </w:r>
    </w:p>
    <w:p w:rsidR="00B40966" w:rsidRDefault="00B40966">
      <w:pPr>
        <w:pStyle w:val="TOC4"/>
        <w:rPr>
          <w:rFonts w:ascii="Times New Roman" w:hAnsi="Times New Roman"/>
          <w:b w:val="0"/>
          <w:sz w:val="24"/>
          <w:szCs w:val="24"/>
        </w:rPr>
      </w:pPr>
      <w:r>
        <w:rPr>
          <w:szCs w:val="26"/>
        </w:rPr>
        <w:t>Angle of inclination</w:t>
      </w:r>
    </w:p>
    <w:p w:rsidR="00B40966" w:rsidRDefault="00B40966">
      <w:pPr>
        <w:pStyle w:val="TOC5"/>
        <w:rPr>
          <w:rFonts w:ascii="Times New Roman" w:hAnsi="Times New Roman"/>
          <w:sz w:val="24"/>
          <w:szCs w:val="24"/>
        </w:rPr>
      </w:pPr>
      <w:r>
        <w:rPr>
          <w:szCs w:val="24"/>
        </w:rPr>
        <w:tab/>
        <w:t>50</w:t>
      </w:r>
      <w:r>
        <w:tab/>
      </w:r>
      <w:r>
        <w:tab/>
      </w:r>
      <w:r>
        <w:fldChar w:fldCharType="begin"/>
      </w:r>
      <w:r>
        <w:instrText xml:space="preserve"> PAGEREF _Toc87257946 \h </w:instrText>
      </w:r>
      <w:r>
        <w:fldChar w:fldCharType="separate"/>
      </w:r>
      <w:r w:rsidR="00C67449">
        <w:t>29</w:t>
      </w:r>
      <w:r>
        <w:fldChar w:fldCharType="end"/>
      </w:r>
    </w:p>
    <w:p w:rsidR="00B40966" w:rsidRDefault="00B40966">
      <w:pPr>
        <w:pStyle w:val="TOC4"/>
        <w:rPr>
          <w:rFonts w:ascii="Times New Roman" w:hAnsi="Times New Roman"/>
          <w:b w:val="0"/>
          <w:sz w:val="24"/>
          <w:szCs w:val="24"/>
        </w:rPr>
      </w:pPr>
      <w:r>
        <w:rPr>
          <w:szCs w:val="26"/>
        </w:rPr>
        <w:t>Balustrading</w:t>
      </w:r>
    </w:p>
    <w:p w:rsidR="00B40966" w:rsidRDefault="00B40966">
      <w:pPr>
        <w:pStyle w:val="TOC5"/>
        <w:rPr>
          <w:rFonts w:ascii="Times New Roman" w:hAnsi="Times New Roman"/>
          <w:sz w:val="24"/>
          <w:szCs w:val="24"/>
        </w:rPr>
      </w:pPr>
      <w:r>
        <w:rPr>
          <w:szCs w:val="24"/>
        </w:rPr>
        <w:tab/>
        <w:t>51</w:t>
      </w:r>
      <w:r>
        <w:tab/>
      </w:r>
      <w:r>
        <w:tab/>
      </w:r>
      <w:r>
        <w:fldChar w:fldCharType="begin"/>
      </w:r>
      <w:r>
        <w:instrText xml:space="preserve"> PAGEREF _Toc87257948 \h </w:instrText>
      </w:r>
      <w:r>
        <w:fldChar w:fldCharType="separate"/>
      </w:r>
      <w:r w:rsidR="00C67449">
        <w:t>29</w:t>
      </w:r>
      <w:r>
        <w:fldChar w:fldCharType="end"/>
      </w:r>
    </w:p>
    <w:p w:rsidR="00B40966" w:rsidRDefault="00B40966">
      <w:pPr>
        <w:pStyle w:val="TOC4"/>
        <w:rPr>
          <w:rFonts w:ascii="Times New Roman" w:hAnsi="Times New Roman"/>
          <w:b w:val="0"/>
          <w:sz w:val="24"/>
          <w:szCs w:val="24"/>
        </w:rPr>
      </w:pPr>
      <w:r>
        <w:rPr>
          <w:szCs w:val="26"/>
        </w:rPr>
        <w:t>Treads and landings</w:t>
      </w:r>
    </w:p>
    <w:p w:rsidR="00B40966" w:rsidRDefault="00B40966">
      <w:pPr>
        <w:pStyle w:val="TOC5"/>
        <w:rPr>
          <w:rFonts w:ascii="Times New Roman" w:hAnsi="Times New Roman"/>
          <w:sz w:val="24"/>
          <w:szCs w:val="24"/>
        </w:rPr>
      </w:pPr>
      <w:r>
        <w:rPr>
          <w:szCs w:val="24"/>
        </w:rPr>
        <w:tab/>
        <w:t>52</w:t>
      </w:r>
      <w:r>
        <w:tab/>
      </w:r>
      <w:r>
        <w:tab/>
      </w:r>
      <w:r>
        <w:fldChar w:fldCharType="begin"/>
      </w:r>
      <w:r>
        <w:instrText xml:space="preserve"> PAGEREF _Toc87257950 \h </w:instrText>
      </w:r>
      <w:r>
        <w:fldChar w:fldCharType="separate"/>
      </w:r>
      <w:r w:rsidR="00C67449">
        <w:t>29</w:t>
      </w:r>
      <w:r>
        <w:fldChar w:fldCharType="end"/>
      </w:r>
    </w:p>
    <w:p w:rsidR="00B40966" w:rsidRDefault="00B40966">
      <w:pPr>
        <w:pStyle w:val="TOC4"/>
        <w:rPr>
          <w:rFonts w:ascii="Times New Roman" w:hAnsi="Times New Roman"/>
          <w:b w:val="0"/>
          <w:sz w:val="24"/>
          <w:szCs w:val="24"/>
        </w:rPr>
      </w:pPr>
      <w:r>
        <w:rPr>
          <w:szCs w:val="26"/>
        </w:rPr>
        <w:t>Power unit</w:t>
      </w:r>
    </w:p>
    <w:p w:rsidR="00B40966" w:rsidRDefault="00B40966">
      <w:pPr>
        <w:pStyle w:val="TOC5"/>
        <w:rPr>
          <w:rFonts w:ascii="Times New Roman" w:hAnsi="Times New Roman"/>
          <w:sz w:val="24"/>
          <w:szCs w:val="24"/>
        </w:rPr>
      </w:pPr>
      <w:r>
        <w:rPr>
          <w:szCs w:val="24"/>
        </w:rPr>
        <w:tab/>
        <w:t>53</w:t>
      </w:r>
      <w:r>
        <w:tab/>
      </w:r>
      <w:r>
        <w:tab/>
      </w:r>
      <w:r>
        <w:fldChar w:fldCharType="begin"/>
      </w:r>
      <w:r>
        <w:instrText xml:space="preserve"> PAGEREF _Toc87257952 \h </w:instrText>
      </w:r>
      <w:r>
        <w:fldChar w:fldCharType="separate"/>
      </w:r>
      <w:r w:rsidR="00C67449">
        <w:t>29</w:t>
      </w:r>
      <w:r>
        <w:fldChar w:fldCharType="end"/>
      </w:r>
    </w:p>
    <w:p w:rsidR="00B40966" w:rsidRDefault="00B40966">
      <w:pPr>
        <w:pStyle w:val="TOC4"/>
        <w:rPr>
          <w:rFonts w:ascii="Times New Roman" w:hAnsi="Times New Roman"/>
          <w:b w:val="0"/>
          <w:sz w:val="24"/>
          <w:szCs w:val="24"/>
        </w:rPr>
      </w:pPr>
      <w:r>
        <w:rPr>
          <w:szCs w:val="26"/>
        </w:rPr>
        <w:t>Chains</w:t>
      </w:r>
    </w:p>
    <w:p w:rsidR="00B40966" w:rsidRDefault="00B40966">
      <w:pPr>
        <w:pStyle w:val="TOC5"/>
        <w:rPr>
          <w:rFonts w:ascii="Times New Roman" w:hAnsi="Times New Roman"/>
          <w:sz w:val="24"/>
          <w:szCs w:val="24"/>
        </w:rPr>
      </w:pPr>
      <w:r>
        <w:rPr>
          <w:szCs w:val="24"/>
        </w:rPr>
        <w:tab/>
        <w:t>54</w:t>
      </w:r>
      <w:r>
        <w:tab/>
      </w:r>
      <w:r>
        <w:tab/>
      </w:r>
      <w:r>
        <w:fldChar w:fldCharType="begin"/>
      </w:r>
      <w:r>
        <w:instrText xml:space="preserve"> PAGEREF _Toc87257954 \h </w:instrText>
      </w:r>
      <w:r>
        <w:fldChar w:fldCharType="separate"/>
      </w:r>
      <w:r w:rsidR="00C67449">
        <w:t>30</w:t>
      </w:r>
      <w:r>
        <w:fldChar w:fldCharType="end"/>
      </w:r>
    </w:p>
    <w:p w:rsidR="00B40966" w:rsidRDefault="00B40966">
      <w:pPr>
        <w:pStyle w:val="TOC4"/>
        <w:rPr>
          <w:rFonts w:ascii="Times New Roman" w:hAnsi="Times New Roman"/>
          <w:b w:val="0"/>
          <w:sz w:val="24"/>
          <w:szCs w:val="24"/>
        </w:rPr>
      </w:pPr>
      <w:r>
        <w:rPr>
          <w:szCs w:val="26"/>
        </w:rPr>
        <w:t>Automatic brakes</w:t>
      </w:r>
    </w:p>
    <w:p w:rsidR="00B40966" w:rsidRDefault="00B40966">
      <w:pPr>
        <w:pStyle w:val="TOC5"/>
        <w:rPr>
          <w:rFonts w:ascii="Times New Roman" w:hAnsi="Times New Roman"/>
          <w:sz w:val="24"/>
          <w:szCs w:val="24"/>
        </w:rPr>
      </w:pPr>
      <w:r>
        <w:rPr>
          <w:szCs w:val="24"/>
        </w:rPr>
        <w:tab/>
        <w:t>55</w:t>
      </w:r>
      <w:r>
        <w:tab/>
      </w:r>
      <w:r>
        <w:tab/>
      </w:r>
      <w:r>
        <w:fldChar w:fldCharType="begin"/>
      </w:r>
      <w:r>
        <w:instrText xml:space="preserve"> PAGEREF _Toc87257956 \h </w:instrText>
      </w:r>
      <w:r>
        <w:fldChar w:fldCharType="separate"/>
      </w:r>
      <w:r w:rsidR="00C67449">
        <w:t>30</w:t>
      </w:r>
      <w:r>
        <w:fldChar w:fldCharType="end"/>
      </w:r>
    </w:p>
    <w:p w:rsidR="00B40966" w:rsidRDefault="00B40966">
      <w:pPr>
        <w:pStyle w:val="TOC4"/>
        <w:rPr>
          <w:rFonts w:ascii="Times New Roman" w:hAnsi="Times New Roman"/>
          <w:b w:val="0"/>
          <w:sz w:val="24"/>
          <w:szCs w:val="24"/>
        </w:rPr>
      </w:pPr>
      <w:r>
        <w:rPr>
          <w:szCs w:val="26"/>
        </w:rPr>
        <w:t>Starting switch and stop button</w:t>
      </w:r>
    </w:p>
    <w:p w:rsidR="00B40966" w:rsidRDefault="00B40966">
      <w:pPr>
        <w:pStyle w:val="TOC5"/>
        <w:rPr>
          <w:rFonts w:ascii="Times New Roman" w:hAnsi="Times New Roman"/>
          <w:sz w:val="24"/>
          <w:szCs w:val="24"/>
        </w:rPr>
      </w:pPr>
      <w:r>
        <w:rPr>
          <w:szCs w:val="24"/>
        </w:rPr>
        <w:tab/>
        <w:t>56</w:t>
      </w:r>
      <w:r>
        <w:tab/>
      </w:r>
      <w:r>
        <w:tab/>
      </w:r>
      <w:r>
        <w:fldChar w:fldCharType="begin"/>
      </w:r>
      <w:r>
        <w:instrText xml:space="preserve"> PAGEREF _Toc87257958 \h </w:instrText>
      </w:r>
      <w:r>
        <w:fldChar w:fldCharType="separate"/>
      </w:r>
      <w:r w:rsidR="00C67449">
        <w:t>30</w:t>
      </w:r>
      <w:r>
        <w:fldChar w:fldCharType="end"/>
      </w:r>
    </w:p>
    <w:p w:rsidR="00B40966" w:rsidRDefault="00B40966">
      <w:pPr>
        <w:pStyle w:val="TOC4"/>
        <w:rPr>
          <w:rFonts w:ascii="Times New Roman" w:hAnsi="Times New Roman"/>
          <w:b w:val="0"/>
          <w:sz w:val="24"/>
          <w:szCs w:val="24"/>
        </w:rPr>
      </w:pPr>
      <w:r>
        <w:rPr>
          <w:szCs w:val="26"/>
        </w:rPr>
        <w:t>Safety devices</w:t>
      </w:r>
    </w:p>
    <w:p w:rsidR="00B40966" w:rsidRDefault="00B40966">
      <w:pPr>
        <w:pStyle w:val="TOC5"/>
        <w:rPr>
          <w:rFonts w:ascii="Times New Roman" w:hAnsi="Times New Roman"/>
          <w:sz w:val="24"/>
          <w:szCs w:val="24"/>
        </w:rPr>
      </w:pPr>
      <w:r>
        <w:rPr>
          <w:szCs w:val="24"/>
        </w:rPr>
        <w:tab/>
        <w:t>57</w:t>
      </w:r>
      <w:r>
        <w:tab/>
      </w:r>
      <w:r>
        <w:tab/>
      </w:r>
      <w:r>
        <w:fldChar w:fldCharType="begin"/>
      </w:r>
      <w:r>
        <w:instrText xml:space="preserve"> PAGEREF _Toc87257960 \h </w:instrText>
      </w:r>
      <w:r>
        <w:fldChar w:fldCharType="separate"/>
      </w:r>
      <w:r w:rsidR="00C67449">
        <w:t>30</w:t>
      </w:r>
      <w:r>
        <w:fldChar w:fldCharType="end"/>
      </w:r>
    </w:p>
    <w:p w:rsidR="00B40966" w:rsidRDefault="00B40966">
      <w:pPr>
        <w:pStyle w:val="TOC4"/>
        <w:rPr>
          <w:rFonts w:ascii="Times New Roman" w:hAnsi="Times New Roman"/>
          <w:b w:val="0"/>
          <w:sz w:val="24"/>
          <w:szCs w:val="24"/>
        </w:rPr>
      </w:pPr>
      <w:r>
        <w:rPr>
          <w:szCs w:val="26"/>
        </w:rPr>
        <w:t>Reverse phase relay</w:t>
      </w:r>
    </w:p>
    <w:p w:rsidR="00B40966" w:rsidRDefault="00B40966">
      <w:pPr>
        <w:pStyle w:val="TOC5"/>
        <w:rPr>
          <w:rFonts w:ascii="Times New Roman" w:hAnsi="Times New Roman"/>
          <w:sz w:val="24"/>
          <w:szCs w:val="24"/>
        </w:rPr>
      </w:pPr>
      <w:r>
        <w:rPr>
          <w:szCs w:val="24"/>
        </w:rPr>
        <w:tab/>
        <w:t>58</w:t>
      </w:r>
      <w:r>
        <w:tab/>
      </w:r>
      <w:r>
        <w:tab/>
      </w:r>
      <w:r>
        <w:fldChar w:fldCharType="begin"/>
      </w:r>
      <w:r>
        <w:instrText xml:space="preserve"> PAGEREF _Toc87257962 \h </w:instrText>
      </w:r>
      <w:r>
        <w:fldChar w:fldCharType="separate"/>
      </w:r>
      <w:r w:rsidR="00C67449">
        <w:t>31</w:t>
      </w:r>
      <w:r>
        <w:fldChar w:fldCharType="end"/>
      </w:r>
    </w:p>
    <w:p w:rsidR="00B40966" w:rsidRDefault="00B40966">
      <w:pPr>
        <w:pStyle w:val="TOC4"/>
        <w:rPr>
          <w:rFonts w:ascii="Times New Roman" w:hAnsi="Times New Roman"/>
          <w:b w:val="0"/>
          <w:sz w:val="24"/>
          <w:szCs w:val="24"/>
        </w:rPr>
      </w:pPr>
      <w:r>
        <w:rPr>
          <w:szCs w:val="26"/>
        </w:rPr>
        <w:t>Machine room</w:t>
      </w:r>
    </w:p>
    <w:p w:rsidR="00B40966" w:rsidRDefault="00B40966">
      <w:pPr>
        <w:pStyle w:val="TOC5"/>
        <w:rPr>
          <w:rFonts w:ascii="Times New Roman" w:hAnsi="Times New Roman"/>
          <w:sz w:val="24"/>
          <w:szCs w:val="24"/>
        </w:rPr>
      </w:pPr>
      <w:r>
        <w:rPr>
          <w:szCs w:val="24"/>
        </w:rPr>
        <w:tab/>
        <w:t>59</w:t>
      </w:r>
      <w:r>
        <w:tab/>
      </w:r>
      <w:r>
        <w:tab/>
      </w:r>
      <w:r>
        <w:fldChar w:fldCharType="begin"/>
      </w:r>
      <w:r>
        <w:instrText xml:space="preserve"> PAGEREF _Toc87257964 \h </w:instrText>
      </w:r>
      <w:r>
        <w:fldChar w:fldCharType="separate"/>
      </w:r>
      <w:r w:rsidR="00C67449">
        <w:t>31</w:t>
      </w:r>
      <w:r>
        <w:fldChar w:fldCharType="end"/>
      </w:r>
    </w:p>
    <w:p w:rsidR="00B40966" w:rsidRDefault="00B40966">
      <w:pPr>
        <w:pStyle w:val="TOC4"/>
        <w:rPr>
          <w:rFonts w:ascii="Times New Roman" w:hAnsi="Times New Roman"/>
          <w:b w:val="0"/>
          <w:sz w:val="24"/>
          <w:szCs w:val="24"/>
        </w:rPr>
      </w:pPr>
      <w:r>
        <w:rPr>
          <w:szCs w:val="26"/>
        </w:rPr>
        <w:t>Construction of conveyors</w:t>
      </w:r>
    </w:p>
    <w:p w:rsidR="00B40966" w:rsidRDefault="00B40966">
      <w:pPr>
        <w:pStyle w:val="TOC5"/>
        <w:rPr>
          <w:rFonts w:ascii="Times New Roman" w:hAnsi="Times New Roman"/>
          <w:sz w:val="24"/>
          <w:szCs w:val="24"/>
        </w:rPr>
      </w:pPr>
      <w:r>
        <w:rPr>
          <w:szCs w:val="24"/>
        </w:rPr>
        <w:tab/>
        <w:t>60</w:t>
      </w:r>
      <w:r>
        <w:tab/>
      </w:r>
      <w:r>
        <w:tab/>
      </w:r>
      <w:r>
        <w:fldChar w:fldCharType="begin"/>
      </w:r>
      <w:r>
        <w:instrText xml:space="preserve"> PAGEREF _Toc87257966 \h </w:instrText>
      </w:r>
      <w:r>
        <w:fldChar w:fldCharType="separate"/>
      </w:r>
      <w:r w:rsidR="00C67449">
        <w:t>31</w:t>
      </w:r>
      <w:r>
        <w:fldChar w:fldCharType="end"/>
      </w:r>
    </w:p>
    <w:p w:rsidR="00B40966" w:rsidRDefault="00B40966">
      <w:pPr>
        <w:pStyle w:val="TOC4"/>
        <w:rPr>
          <w:rFonts w:ascii="Times New Roman" w:hAnsi="Times New Roman"/>
          <w:b w:val="0"/>
          <w:sz w:val="24"/>
          <w:szCs w:val="24"/>
        </w:rPr>
      </w:pPr>
      <w:r>
        <w:rPr>
          <w:szCs w:val="26"/>
        </w:rPr>
        <w:t>Electrical installation</w:t>
      </w:r>
    </w:p>
    <w:p w:rsidR="00B40966" w:rsidRDefault="00B40966">
      <w:pPr>
        <w:pStyle w:val="TOC5"/>
        <w:rPr>
          <w:rFonts w:ascii="Times New Roman" w:hAnsi="Times New Roman"/>
          <w:sz w:val="24"/>
          <w:szCs w:val="24"/>
        </w:rPr>
      </w:pPr>
      <w:r>
        <w:rPr>
          <w:szCs w:val="24"/>
        </w:rPr>
        <w:tab/>
        <w:t>61</w:t>
      </w:r>
      <w:r>
        <w:tab/>
      </w:r>
      <w:r>
        <w:tab/>
      </w:r>
      <w:r>
        <w:fldChar w:fldCharType="begin"/>
      </w:r>
      <w:r>
        <w:instrText xml:space="preserve"> PAGEREF _Toc87257968 \h </w:instrText>
      </w:r>
      <w:r>
        <w:fldChar w:fldCharType="separate"/>
      </w:r>
      <w:r w:rsidR="00C67449">
        <w:t>32</w:t>
      </w:r>
      <w:r>
        <w:fldChar w:fldCharType="end"/>
      </w:r>
    </w:p>
    <w:p w:rsidR="00B40966" w:rsidRDefault="00B40966">
      <w:pPr>
        <w:pStyle w:val="TOC4"/>
        <w:rPr>
          <w:rFonts w:ascii="Times New Roman" w:hAnsi="Times New Roman"/>
          <w:b w:val="0"/>
          <w:sz w:val="24"/>
          <w:szCs w:val="24"/>
        </w:rPr>
      </w:pPr>
      <w:r>
        <w:rPr>
          <w:szCs w:val="26"/>
        </w:rPr>
        <w:t>Control</w:t>
      </w:r>
    </w:p>
    <w:p w:rsidR="00B40966" w:rsidRDefault="00B40966">
      <w:pPr>
        <w:pStyle w:val="TOC5"/>
        <w:rPr>
          <w:rFonts w:ascii="Times New Roman" w:hAnsi="Times New Roman"/>
          <w:sz w:val="24"/>
          <w:szCs w:val="24"/>
        </w:rPr>
      </w:pPr>
      <w:r>
        <w:rPr>
          <w:szCs w:val="24"/>
        </w:rPr>
        <w:tab/>
        <w:t>62</w:t>
      </w:r>
      <w:r>
        <w:tab/>
      </w:r>
      <w:r>
        <w:tab/>
      </w:r>
      <w:r>
        <w:fldChar w:fldCharType="begin"/>
      </w:r>
      <w:r>
        <w:instrText xml:space="preserve"> PAGEREF _Toc87257970 \h </w:instrText>
      </w:r>
      <w:r>
        <w:fldChar w:fldCharType="separate"/>
      </w:r>
      <w:r w:rsidR="00C67449">
        <w:t>32</w:t>
      </w:r>
      <w:r>
        <w:fldChar w:fldCharType="end"/>
      </w:r>
    </w:p>
    <w:p w:rsidR="00B40966" w:rsidRDefault="00B40966">
      <w:pPr>
        <w:pStyle w:val="TOC4"/>
        <w:rPr>
          <w:rFonts w:ascii="Times New Roman" w:hAnsi="Times New Roman"/>
          <w:b w:val="0"/>
          <w:sz w:val="24"/>
          <w:szCs w:val="24"/>
        </w:rPr>
      </w:pPr>
      <w:r>
        <w:rPr>
          <w:szCs w:val="26"/>
        </w:rPr>
        <w:t>Enclosures</w:t>
      </w:r>
    </w:p>
    <w:p w:rsidR="00B40966" w:rsidRDefault="00B40966">
      <w:pPr>
        <w:pStyle w:val="TOC5"/>
        <w:rPr>
          <w:rFonts w:ascii="Times New Roman" w:hAnsi="Times New Roman"/>
          <w:sz w:val="24"/>
          <w:szCs w:val="24"/>
        </w:rPr>
      </w:pPr>
      <w:r>
        <w:rPr>
          <w:szCs w:val="24"/>
        </w:rPr>
        <w:tab/>
        <w:t>63</w:t>
      </w:r>
      <w:r>
        <w:tab/>
      </w:r>
      <w:r>
        <w:tab/>
      </w:r>
      <w:r>
        <w:fldChar w:fldCharType="begin"/>
      </w:r>
      <w:r>
        <w:instrText xml:space="preserve"> PAGEREF _Toc87257972 \h </w:instrText>
      </w:r>
      <w:r>
        <w:fldChar w:fldCharType="separate"/>
      </w:r>
      <w:r w:rsidR="00C67449">
        <w:t>32</w:t>
      </w:r>
      <w:r>
        <w:fldChar w:fldCharType="end"/>
      </w:r>
    </w:p>
    <w:p w:rsidR="00B40966" w:rsidRDefault="00B40966">
      <w:pPr>
        <w:pStyle w:val="TOC4"/>
        <w:rPr>
          <w:rFonts w:ascii="Times New Roman" w:hAnsi="Times New Roman"/>
          <w:b w:val="0"/>
          <w:sz w:val="24"/>
          <w:szCs w:val="24"/>
        </w:rPr>
      </w:pPr>
      <w:r>
        <w:rPr>
          <w:szCs w:val="26"/>
        </w:rPr>
        <w:t>Provision for maintenance</w:t>
      </w:r>
    </w:p>
    <w:p w:rsidR="00B40966" w:rsidRDefault="00B40966">
      <w:pPr>
        <w:pStyle w:val="TOC5"/>
        <w:rPr>
          <w:rFonts w:ascii="Times New Roman" w:hAnsi="Times New Roman"/>
          <w:sz w:val="24"/>
          <w:szCs w:val="24"/>
        </w:rPr>
      </w:pPr>
      <w:r>
        <w:rPr>
          <w:szCs w:val="24"/>
        </w:rPr>
        <w:tab/>
        <w:t>64</w:t>
      </w:r>
      <w:r>
        <w:tab/>
      </w:r>
      <w:r>
        <w:tab/>
      </w:r>
      <w:r>
        <w:fldChar w:fldCharType="begin"/>
      </w:r>
      <w:r>
        <w:instrText xml:space="preserve"> PAGEREF _Toc87257974 \h </w:instrText>
      </w:r>
      <w:r>
        <w:fldChar w:fldCharType="separate"/>
      </w:r>
      <w:r w:rsidR="00C67449">
        <w:t>33</w:t>
      </w:r>
      <w:r>
        <w:fldChar w:fldCharType="end"/>
      </w:r>
    </w:p>
    <w:p w:rsidR="00B40966" w:rsidRDefault="00B40966">
      <w:pPr>
        <w:pStyle w:val="TOC4"/>
        <w:rPr>
          <w:rFonts w:ascii="Times New Roman" w:hAnsi="Times New Roman"/>
          <w:b w:val="0"/>
          <w:sz w:val="24"/>
          <w:szCs w:val="24"/>
        </w:rPr>
      </w:pPr>
      <w:r>
        <w:rPr>
          <w:szCs w:val="26"/>
        </w:rPr>
        <w:t>No persons permitted to travel</w:t>
      </w:r>
    </w:p>
    <w:p w:rsidR="00B40966" w:rsidRDefault="00B40966">
      <w:pPr>
        <w:pStyle w:val="TOC5"/>
        <w:rPr>
          <w:rFonts w:ascii="Times New Roman" w:hAnsi="Times New Roman"/>
          <w:sz w:val="24"/>
          <w:szCs w:val="24"/>
        </w:rPr>
      </w:pPr>
      <w:r>
        <w:rPr>
          <w:szCs w:val="24"/>
        </w:rPr>
        <w:tab/>
        <w:t>65</w:t>
      </w:r>
      <w:r>
        <w:tab/>
      </w:r>
      <w:r>
        <w:tab/>
      </w:r>
      <w:r>
        <w:fldChar w:fldCharType="begin"/>
      </w:r>
      <w:r>
        <w:instrText xml:space="preserve"> PAGEREF _Toc87257976 \h </w:instrText>
      </w:r>
      <w:r>
        <w:fldChar w:fldCharType="separate"/>
      </w:r>
      <w:r w:rsidR="00C67449">
        <w:t>33</w:t>
      </w:r>
      <w:r>
        <w:fldChar w:fldCharType="end"/>
      </w:r>
    </w:p>
    <w:p w:rsidR="00B40966" w:rsidRDefault="00B40966">
      <w:pPr>
        <w:pStyle w:val="TOC4"/>
        <w:rPr>
          <w:rFonts w:ascii="Times New Roman" w:hAnsi="Times New Roman"/>
          <w:b w:val="0"/>
          <w:sz w:val="24"/>
          <w:szCs w:val="24"/>
        </w:rPr>
      </w:pPr>
      <w:r>
        <w:rPr>
          <w:szCs w:val="26"/>
        </w:rPr>
        <w:t>Load notice</w:t>
      </w:r>
    </w:p>
    <w:p w:rsidR="00B40966" w:rsidRDefault="00B40966">
      <w:pPr>
        <w:pStyle w:val="TOC5"/>
        <w:rPr>
          <w:rFonts w:ascii="Times New Roman" w:hAnsi="Times New Roman"/>
          <w:sz w:val="24"/>
          <w:szCs w:val="24"/>
        </w:rPr>
      </w:pPr>
      <w:r>
        <w:rPr>
          <w:szCs w:val="24"/>
        </w:rPr>
        <w:tab/>
        <w:t>66</w:t>
      </w:r>
      <w:r>
        <w:tab/>
      </w:r>
      <w:r>
        <w:tab/>
      </w:r>
      <w:r>
        <w:fldChar w:fldCharType="begin"/>
      </w:r>
      <w:r>
        <w:instrText xml:space="preserve"> PAGEREF _Toc87257978 \h </w:instrText>
      </w:r>
      <w:r>
        <w:fldChar w:fldCharType="separate"/>
      </w:r>
      <w:r w:rsidR="00C67449">
        <w:t>33</w:t>
      </w:r>
      <w:r>
        <w:fldChar w:fldCharType="end"/>
      </w:r>
    </w:p>
    <w:p w:rsidR="00B40966" w:rsidRDefault="00B40966">
      <w:pPr>
        <w:pStyle w:val="TOC3"/>
        <w:rPr>
          <w:rFonts w:ascii="Times New Roman" w:hAnsi="Times New Roman"/>
          <w:b w:val="0"/>
          <w:sz w:val="24"/>
          <w:szCs w:val="24"/>
        </w:rPr>
      </w:pPr>
      <w:r>
        <w:t>Division 4.3</w:t>
      </w:r>
      <w:r>
        <w:rPr>
          <w:rFonts w:ascii="Times New Roman" w:hAnsi="Times New Roman"/>
          <w:b w:val="0"/>
          <w:sz w:val="24"/>
          <w:szCs w:val="24"/>
        </w:rPr>
        <w:tab/>
      </w:r>
      <w:r>
        <w:t>Maintenance of lifts</w:t>
      </w:r>
    </w:p>
    <w:p w:rsidR="00B40966" w:rsidRDefault="00B40966">
      <w:pPr>
        <w:pStyle w:val="TOC5"/>
        <w:rPr>
          <w:rFonts w:ascii="Times New Roman" w:hAnsi="Times New Roman"/>
          <w:sz w:val="24"/>
          <w:szCs w:val="24"/>
        </w:rPr>
      </w:pPr>
      <w:r>
        <w:rPr>
          <w:szCs w:val="24"/>
        </w:rPr>
        <w:tab/>
        <w:t>67</w:t>
      </w:r>
      <w:r>
        <w:tab/>
      </w:r>
      <w:r>
        <w:tab/>
      </w:r>
      <w:r>
        <w:fldChar w:fldCharType="begin"/>
      </w:r>
      <w:r>
        <w:instrText xml:space="preserve"> PAGEREF _Toc87257980 \h </w:instrText>
      </w:r>
      <w:r>
        <w:fldChar w:fldCharType="separate"/>
      </w:r>
      <w:r w:rsidR="00C67449">
        <w:t>33</w:t>
      </w:r>
      <w:r>
        <w:fldChar w:fldCharType="end"/>
      </w:r>
    </w:p>
    <w:p w:rsidR="00B40966" w:rsidRDefault="00B40966">
      <w:pPr>
        <w:pStyle w:val="TOC3"/>
        <w:rPr>
          <w:rFonts w:ascii="Times New Roman" w:hAnsi="Times New Roman"/>
          <w:b w:val="0"/>
          <w:sz w:val="24"/>
          <w:szCs w:val="24"/>
        </w:rPr>
      </w:pPr>
      <w:r>
        <w:t>Division 4.4</w:t>
      </w:r>
      <w:r>
        <w:rPr>
          <w:rFonts w:ascii="Times New Roman" w:hAnsi="Times New Roman"/>
          <w:b w:val="0"/>
          <w:sz w:val="24"/>
          <w:szCs w:val="24"/>
        </w:rPr>
        <w:tab/>
      </w:r>
      <w:r>
        <w:t>Use of lifts</w:t>
      </w:r>
    </w:p>
    <w:p w:rsidR="00B40966" w:rsidRDefault="00B40966">
      <w:pPr>
        <w:pStyle w:val="TOC5"/>
        <w:rPr>
          <w:rFonts w:ascii="Times New Roman" w:hAnsi="Times New Roman"/>
          <w:sz w:val="24"/>
          <w:szCs w:val="24"/>
        </w:rPr>
      </w:pPr>
      <w:r>
        <w:rPr>
          <w:szCs w:val="24"/>
        </w:rPr>
        <w:tab/>
        <w:t>68</w:t>
      </w:r>
      <w:r>
        <w:tab/>
      </w:r>
      <w:r>
        <w:tab/>
      </w:r>
      <w:r>
        <w:fldChar w:fldCharType="begin"/>
      </w:r>
      <w:r>
        <w:instrText xml:space="preserve"> PAGEREF _Toc87257982 \h </w:instrText>
      </w:r>
      <w:r>
        <w:fldChar w:fldCharType="separate"/>
      </w:r>
      <w:r w:rsidR="00C67449">
        <w:t>35</w:t>
      </w:r>
      <w:r>
        <w:fldChar w:fldCharType="end"/>
      </w:r>
    </w:p>
    <w:p w:rsidR="00B40966" w:rsidRDefault="00B40966">
      <w:pPr>
        <w:pStyle w:val="TOC4"/>
        <w:rPr>
          <w:rFonts w:ascii="Times New Roman" w:hAnsi="Times New Roman"/>
          <w:b w:val="0"/>
          <w:sz w:val="24"/>
          <w:szCs w:val="24"/>
        </w:rPr>
      </w:pPr>
      <w:r>
        <w:rPr>
          <w:szCs w:val="26"/>
        </w:rPr>
        <w:t>Change of ownership</w:t>
      </w:r>
    </w:p>
    <w:p w:rsidR="00B40966" w:rsidRDefault="00B40966">
      <w:pPr>
        <w:pStyle w:val="TOC5"/>
        <w:rPr>
          <w:rFonts w:ascii="Times New Roman" w:hAnsi="Times New Roman"/>
          <w:sz w:val="24"/>
          <w:szCs w:val="24"/>
        </w:rPr>
      </w:pPr>
      <w:r>
        <w:rPr>
          <w:szCs w:val="24"/>
        </w:rPr>
        <w:tab/>
        <w:t>69</w:t>
      </w:r>
      <w:r>
        <w:tab/>
      </w:r>
      <w:r>
        <w:tab/>
      </w:r>
      <w:r>
        <w:fldChar w:fldCharType="begin"/>
      </w:r>
      <w:r>
        <w:instrText xml:space="preserve"> PAGEREF _Toc87257984 \h </w:instrText>
      </w:r>
      <w:r>
        <w:fldChar w:fldCharType="separate"/>
      </w:r>
      <w:r w:rsidR="00C67449">
        <w:t>35</w:t>
      </w:r>
      <w:r>
        <w:fldChar w:fldCharType="end"/>
      </w:r>
    </w:p>
    <w:p w:rsidR="00B40966" w:rsidRDefault="00B40966">
      <w:pPr>
        <w:pStyle w:val="TOC5"/>
        <w:rPr>
          <w:rFonts w:ascii="Times New Roman" w:hAnsi="Times New Roman"/>
          <w:sz w:val="24"/>
          <w:szCs w:val="24"/>
        </w:rPr>
      </w:pPr>
      <w:r>
        <w:rPr>
          <w:szCs w:val="24"/>
        </w:rPr>
        <w:tab/>
        <w:t>70</w:t>
      </w:r>
      <w:r>
        <w:tab/>
      </w:r>
      <w:r>
        <w:tab/>
      </w:r>
      <w:r>
        <w:fldChar w:fldCharType="begin"/>
      </w:r>
      <w:r>
        <w:instrText xml:space="preserve"> PAGEREF _Toc87257985 \h </w:instrText>
      </w:r>
      <w:r>
        <w:fldChar w:fldCharType="separate"/>
      </w:r>
      <w:r w:rsidR="00C67449">
        <w:t>36</w:t>
      </w:r>
      <w:r>
        <w:fldChar w:fldCharType="end"/>
      </w:r>
    </w:p>
    <w:p w:rsidR="00B40966" w:rsidRDefault="00B40966">
      <w:pPr>
        <w:pStyle w:val="TOC5"/>
        <w:rPr>
          <w:rFonts w:ascii="Times New Roman" w:hAnsi="Times New Roman"/>
          <w:sz w:val="24"/>
          <w:szCs w:val="24"/>
        </w:rPr>
      </w:pPr>
      <w:r>
        <w:rPr>
          <w:szCs w:val="24"/>
        </w:rPr>
        <w:tab/>
        <w:t>71</w:t>
      </w:r>
      <w:r>
        <w:tab/>
      </w:r>
      <w:r>
        <w:tab/>
      </w:r>
      <w:r>
        <w:fldChar w:fldCharType="begin"/>
      </w:r>
      <w:r>
        <w:instrText xml:space="preserve"> PAGEREF _Toc87257986 \h </w:instrText>
      </w:r>
      <w:r>
        <w:fldChar w:fldCharType="separate"/>
      </w:r>
      <w:r w:rsidR="00C67449">
        <w:t>36</w:t>
      </w:r>
      <w:r>
        <w:fldChar w:fldCharType="end"/>
      </w:r>
    </w:p>
    <w:p w:rsidR="00B40966" w:rsidRDefault="00B40966">
      <w:pPr>
        <w:pStyle w:val="TOC5"/>
        <w:rPr>
          <w:rFonts w:ascii="Times New Roman" w:hAnsi="Times New Roman"/>
          <w:sz w:val="24"/>
          <w:szCs w:val="24"/>
        </w:rPr>
      </w:pPr>
      <w:r>
        <w:rPr>
          <w:szCs w:val="24"/>
        </w:rPr>
        <w:tab/>
        <w:t>72</w:t>
      </w:r>
      <w:r>
        <w:tab/>
      </w:r>
      <w:r>
        <w:tab/>
      </w:r>
      <w:r>
        <w:fldChar w:fldCharType="begin"/>
      </w:r>
      <w:r>
        <w:instrText xml:space="preserve"> PAGEREF _Toc87257987 \h </w:instrText>
      </w:r>
      <w:r>
        <w:fldChar w:fldCharType="separate"/>
      </w:r>
      <w:r w:rsidR="00C67449">
        <w:t>36</w:t>
      </w:r>
      <w:r>
        <w:fldChar w:fldCharType="end"/>
      </w:r>
    </w:p>
    <w:p w:rsidR="00B40966" w:rsidRDefault="00B40966">
      <w:pPr>
        <w:pStyle w:val="TOC2"/>
        <w:rPr>
          <w:rFonts w:ascii="Times New Roman" w:hAnsi="Times New Roman"/>
          <w:b w:val="0"/>
          <w:szCs w:val="24"/>
        </w:rPr>
      </w:pPr>
      <w:r>
        <w:t>Part 5</w:t>
      </w:r>
      <w:r>
        <w:rPr>
          <w:rFonts w:ascii="Times New Roman" w:hAnsi="Times New Roman"/>
          <w:b w:val="0"/>
          <w:szCs w:val="24"/>
        </w:rPr>
        <w:tab/>
      </w:r>
      <w:r>
        <w:t>Safeguards and measures to be taken for securing the safety and health of persons engaged in building work</w:t>
      </w:r>
    </w:p>
    <w:p w:rsidR="00B40966" w:rsidRDefault="00B40966">
      <w:pPr>
        <w:pStyle w:val="TOC3"/>
        <w:rPr>
          <w:rFonts w:ascii="Times New Roman" w:hAnsi="Times New Roman"/>
          <w:b w:val="0"/>
          <w:sz w:val="24"/>
          <w:szCs w:val="24"/>
        </w:rPr>
      </w:pPr>
      <w:r>
        <w:t>Division 5.1</w:t>
      </w:r>
      <w:r>
        <w:rPr>
          <w:rFonts w:ascii="Times New Roman" w:hAnsi="Times New Roman"/>
          <w:b w:val="0"/>
          <w:sz w:val="24"/>
          <w:szCs w:val="24"/>
        </w:rPr>
        <w:tab/>
      </w:r>
      <w:r>
        <w:t>General</w:t>
      </w:r>
    </w:p>
    <w:p w:rsidR="00B40966" w:rsidRDefault="00B40966">
      <w:pPr>
        <w:pStyle w:val="TOC5"/>
        <w:rPr>
          <w:rFonts w:ascii="Times New Roman" w:hAnsi="Times New Roman"/>
          <w:sz w:val="24"/>
          <w:szCs w:val="24"/>
        </w:rPr>
      </w:pPr>
      <w:r>
        <w:rPr>
          <w:szCs w:val="24"/>
        </w:rPr>
        <w:tab/>
        <w:t>73</w:t>
      </w:r>
      <w:r>
        <w:tab/>
      </w:r>
      <w:r>
        <w:tab/>
      </w:r>
      <w:r>
        <w:fldChar w:fldCharType="begin"/>
      </w:r>
      <w:r>
        <w:instrText xml:space="preserve"> PAGEREF _Toc87257990 \h </w:instrText>
      </w:r>
      <w:r>
        <w:fldChar w:fldCharType="separate"/>
      </w:r>
      <w:r w:rsidR="00C67449">
        <w:t>37</w:t>
      </w:r>
      <w:r>
        <w:fldChar w:fldCharType="end"/>
      </w:r>
    </w:p>
    <w:p w:rsidR="00B40966" w:rsidRDefault="00B40966">
      <w:pPr>
        <w:pStyle w:val="TOC5"/>
        <w:rPr>
          <w:rFonts w:ascii="Times New Roman" w:hAnsi="Times New Roman"/>
          <w:sz w:val="24"/>
          <w:szCs w:val="24"/>
        </w:rPr>
      </w:pPr>
      <w:r>
        <w:rPr>
          <w:szCs w:val="24"/>
        </w:rPr>
        <w:tab/>
        <w:t>74</w:t>
      </w:r>
      <w:r>
        <w:tab/>
      </w:r>
      <w:r>
        <w:tab/>
      </w:r>
      <w:r>
        <w:fldChar w:fldCharType="begin"/>
      </w:r>
      <w:r>
        <w:instrText xml:space="preserve"> PAGEREF _Toc87257991 \h </w:instrText>
      </w:r>
      <w:r>
        <w:fldChar w:fldCharType="separate"/>
      </w:r>
      <w:r w:rsidR="00C67449">
        <w:t>41</w:t>
      </w:r>
      <w:r>
        <w:fldChar w:fldCharType="end"/>
      </w:r>
    </w:p>
    <w:p w:rsidR="00B40966" w:rsidRDefault="00B40966">
      <w:pPr>
        <w:pStyle w:val="TOC4"/>
        <w:rPr>
          <w:rFonts w:ascii="Times New Roman" w:hAnsi="Times New Roman"/>
          <w:b w:val="0"/>
          <w:sz w:val="24"/>
          <w:szCs w:val="24"/>
        </w:rPr>
      </w:pPr>
      <w:r>
        <w:t>Fencing of floors, landings, stairways and the like</w:t>
      </w:r>
    </w:p>
    <w:p w:rsidR="00B40966" w:rsidRDefault="00B40966">
      <w:pPr>
        <w:pStyle w:val="TOC5"/>
        <w:rPr>
          <w:rFonts w:ascii="Times New Roman" w:hAnsi="Times New Roman"/>
          <w:sz w:val="24"/>
          <w:szCs w:val="24"/>
        </w:rPr>
      </w:pPr>
      <w:r>
        <w:rPr>
          <w:szCs w:val="24"/>
        </w:rPr>
        <w:tab/>
        <w:t>75</w:t>
      </w:r>
      <w:r>
        <w:tab/>
      </w:r>
      <w:r>
        <w:tab/>
      </w:r>
      <w:r>
        <w:fldChar w:fldCharType="begin"/>
      </w:r>
      <w:r>
        <w:instrText xml:space="preserve"> PAGEREF _Toc87257993 \h </w:instrText>
      </w:r>
      <w:r>
        <w:fldChar w:fldCharType="separate"/>
      </w:r>
      <w:r w:rsidR="00C67449">
        <w:t>42</w:t>
      </w:r>
      <w:r>
        <w:fldChar w:fldCharType="end"/>
      </w:r>
    </w:p>
    <w:p w:rsidR="00B40966" w:rsidRDefault="00B40966">
      <w:pPr>
        <w:pStyle w:val="TOC3"/>
        <w:rPr>
          <w:rFonts w:ascii="Times New Roman" w:hAnsi="Times New Roman"/>
          <w:b w:val="0"/>
          <w:sz w:val="24"/>
          <w:szCs w:val="24"/>
        </w:rPr>
      </w:pPr>
      <w:r>
        <w:t>Division 5.2</w:t>
      </w:r>
      <w:r>
        <w:rPr>
          <w:rFonts w:ascii="Times New Roman" w:hAnsi="Times New Roman"/>
          <w:b w:val="0"/>
          <w:sz w:val="24"/>
          <w:szCs w:val="24"/>
        </w:rPr>
        <w:tab/>
      </w:r>
      <w:r>
        <w:t>Constructing, erecting, adding to, altering, repairing, finishing, painting and cleaning buildings and structures</w:t>
      </w:r>
    </w:p>
    <w:p w:rsidR="00B40966" w:rsidRDefault="00B40966">
      <w:pPr>
        <w:pStyle w:val="TOC4"/>
        <w:rPr>
          <w:rFonts w:ascii="Times New Roman" w:hAnsi="Times New Roman"/>
          <w:b w:val="0"/>
          <w:sz w:val="24"/>
          <w:szCs w:val="24"/>
        </w:rPr>
      </w:pPr>
      <w:r>
        <w:rPr>
          <w:szCs w:val="26"/>
        </w:rPr>
        <w:t>Stability of walls</w:t>
      </w:r>
    </w:p>
    <w:p w:rsidR="00B40966" w:rsidRDefault="00B40966">
      <w:pPr>
        <w:pStyle w:val="TOC5"/>
        <w:rPr>
          <w:rFonts w:ascii="Times New Roman" w:hAnsi="Times New Roman"/>
          <w:sz w:val="24"/>
          <w:szCs w:val="24"/>
        </w:rPr>
      </w:pPr>
      <w:r>
        <w:rPr>
          <w:szCs w:val="24"/>
        </w:rPr>
        <w:tab/>
        <w:t>77</w:t>
      </w:r>
      <w:r>
        <w:tab/>
      </w:r>
      <w:r>
        <w:tab/>
      </w:r>
      <w:r>
        <w:fldChar w:fldCharType="begin"/>
      </w:r>
      <w:r>
        <w:instrText xml:space="preserve"> PAGEREF _Toc87257996 \h </w:instrText>
      </w:r>
      <w:r>
        <w:fldChar w:fldCharType="separate"/>
      </w:r>
      <w:r w:rsidR="00C67449">
        <w:t>43</w:t>
      </w:r>
      <w:r>
        <w:fldChar w:fldCharType="end"/>
      </w:r>
    </w:p>
    <w:p w:rsidR="00B40966" w:rsidRDefault="00B40966">
      <w:pPr>
        <w:pStyle w:val="TOC4"/>
        <w:rPr>
          <w:rFonts w:ascii="Times New Roman" w:hAnsi="Times New Roman"/>
          <w:b w:val="0"/>
          <w:sz w:val="24"/>
          <w:szCs w:val="24"/>
        </w:rPr>
      </w:pPr>
      <w:r>
        <w:t>Protection in liftwells and stairwells</w:t>
      </w:r>
    </w:p>
    <w:p w:rsidR="00B40966" w:rsidRDefault="00B40966">
      <w:pPr>
        <w:pStyle w:val="TOC5"/>
        <w:rPr>
          <w:rFonts w:ascii="Times New Roman" w:hAnsi="Times New Roman"/>
          <w:sz w:val="24"/>
          <w:szCs w:val="24"/>
        </w:rPr>
      </w:pPr>
      <w:r>
        <w:rPr>
          <w:szCs w:val="24"/>
        </w:rPr>
        <w:tab/>
        <w:t>78</w:t>
      </w:r>
      <w:r>
        <w:tab/>
      </w:r>
      <w:r>
        <w:tab/>
      </w:r>
      <w:r>
        <w:fldChar w:fldCharType="begin"/>
      </w:r>
      <w:r>
        <w:instrText xml:space="preserve"> PAGEREF _Toc87257998 \h </w:instrText>
      </w:r>
      <w:r>
        <w:fldChar w:fldCharType="separate"/>
      </w:r>
      <w:r w:rsidR="00C67449">
        <w:t>43</w:t>
      </w:r>
      <w:r>
        <w:fldChar w:fldCharType="end"/>
      </w:r>
    </w:p>
    <w:p w:rsidR="00B40966" w:rsidRDefault="00B40966">
      <w:pPr>
        <w:pStyle w:val="TOC4"/>
        <w:rPr>
          <w:rFonts w:ascii="Times New Roman" w:hAnsi="Times New Roman"/>
          <w:b w:val="0"/>
          <w:sz w:val="24"/>
          <w:szCs w:val="24"/>
        </w:rPr>
      </w:pPr>
      <w:r>
        <w:rPr>
          <w:szCs w:val="26"/>
        </w:rPr>
        <w:t>Temporary ramps</w:t>
      </w:r>
    </w:p>
    <w:p w:rsidR="00B40966" w:rsidRDefault="00B40966">
      <w:pPr>
        <w:pStyle w:val="TOC5"/>
        <w:rPr>
          <w:rFonts w:ascii="Times New Roman" w:hAnsi="Times New Roman"/>
          <w:sz w:val="24"/>
          <w:szCs w:val="24"/>
        </w:rPr>
      </w:pPr>
      <w:r>
        <w:rPr>
          <w:szCs w:val="24"/>
        </w:rPr>
        <w:tab/>
        <w:t>79</w:t>
      </w:r>
      <w:r>
        <w:tab/>
      </w:r>
      <w:r>
        <w:tab/>
      </w:r>
      <w:r>
        <w:fldChar w:fldCharType="begin"/>
      </w:r>
      <w:r>
        <w:instrText xml:space="preserve"> PAGEREF _Toc87258000 \h </w:instrText>
      </w:r>
      <w:r>
        <w:fldChar w:fldCharType="separate"/>
      </w:r>
      <w:r w:rsidR="00C67449">
        <w:t>43</w:t>
      </w:r>
      <w:r>
        <w:fldChar w:fldCharType="end"/>
      </w:r>
    </w:p>
    <w:p w:rsidR="00B40966" w:rsidRDefault="00B40966">
      <w:pPr>
        <w:pStyle w:val="TOC4"/>
        <w:rPr>
          <w:rFonts w:ascii="Times New Roman" w:hAnsi="Times New Roman"/>
          <w:b w:val="0"/>
          <w:sz w:val="24"/>
          <w:szCs w:val="24"/>
        </w:rPr>
      </w:pPr>
      <w:r>
        <w:t>Provision and use of ladders and stepladders</w:t>
      </w:r>
    </w:p>
    <w:p w:rsidR="00B40966" w:rsidRDefault="00B40966">
      <w:pPr>
        <w:pStyle w:val="TOC5"/>
        <w:rPr>
          <w:rFonts w:ascii="Times New Roman" w:hAnsi="Times New Roman"/>
          <w:sz w:val="24"/>
          <w:szCs w:val="24"/>
        </w:rPr>
      </w:pPr>
      <w:r>
        <w:rPr>
          <w:szCs w:val="24"/>
        </w:rPr>
        <w:tab/>
        <w:t>80</w:t>
      </w:r>
      <w:r>
        <w:tab/>
      </w:r>
      <w:r>
        <w:tab/>
      </w:r>
      <w:r>
        <w:fldChar w:fldCharType="begin"/>
      </w:r>
      <w:r>
        <w:instrText xml:space="preserve"> PAGEREF _Toc87258002 \h </w:instrText>
      </w:r>
      <w:r>
        <w:fldChar w:fldCharType="separate"/>
      </w:r>
      <w:r w:rsidR="00C67449">
        <w:t>44</w:t>
      </w:r>
      <w:r>
        <w:fldChar w:fldCharType="end"/>
      </w:r>
    </w:p>
    <w:p w:rsidR="00B40966" w:rsidRDefault="00B40966">
      <w:pPr>
        <w:pStyle w:val="TOC4"/>
        <w:rPr>
          <w:rFonts w:ascii="Times New Roman" w:hAnsi="Times New Roman"/>
          <w:b w:val="0"/>
          <w:sz w:val="24"/>
          <w:szCs w:val="24"/>
        </w:rPr>
      </w:pPr>
      <w:r>
        <w:t>Cleaning and maintenance of roof monitors, gutters, windows, louvres and ventilators</w:t>
      </w:r>
    </w:p>
    <w:p w:rsidR="00B40966" w:rsidRDefault="00B40966">
      <w:pPr>
        <w:pStyle w:val="TOC5"/>
        <w:rPr>
          <w:rFonts w:ascii="Times New Roman" w:hAnsi="Times New Roman"/>
          <w:sz w:val="24"/>
          <w:szCs w:val="24"/>
        </w:rPr>
      </w:pPr>
      <w:r>
        <w:rPr>
          <w:szCs w:val="24"/>
        </w:rPr>
        <w:tab/>
        <w:t>81</w:t>
      </w:r>
      <w:r>
        <w:tab/>
      </w:r>
      <w:r>
        <w:tab/>
      </w:r>
      <w:r>
        <w:fldChar w:fldCharType="begin"/>
      </w:r>
      <w:r>
        <w:instrText xml:space="preserve"> PAGEREF _Toc87258004 \h </w:instrText>
      </w:r>
      <w:r>
        <w:fldChar w:fldCharType="separate"/>
      </w:r>
      <w:r w:rsidR="00C67449">
        <w:t>48</w:t>
      </w:r>
      <w:r>
        <w:fldChar w:fldCharType="end"/>
      </w:r>
    </w:p>
    <w:p w:rsidR="00B40966" w:rsidRDefault="00B40966">
      <w:pPr>
        <w:pStyle w:val="TOC4"/>
        <w:rPr>
          <w:rFonts w:ascii="Times New Roman" w:hAnsi="Times New Roman"/>
          <w:b w:val="0"/>
          <w:sz w:val="24"/>
          <w:szCs w:val="24"/>
        </w:rPr>
      </w:pPr>
      <w:r>
        <w:rPr>
          <w:szCs w:val="26"/>
        </w:rPr>
        <w:t>Window cleaning</w:t>
      </w:r>
    </w:p>
    <w:p w:rsidR="00B40966" w:rsidRDefault="00B40966">
      <w:pPr>
        <w:pStyle w:val="TOC5"/>
        <w:rPr>
          <w:rFonts w:ascii="Times New Roman" w:hAnsi="Times New Roman"/>
          <w:sz w:val="24"/>
          <w:szCs w:val="24"/>
        </w:rPr>
      </w:pPr>
      <w:r>
        <w:rPr>
          <w:szCs w:val="24"/>
        </w:rPr>
        <w:tab/>
        <w:t>82</w:t>
      </w:r>
      <w:r>
        <w:tab/>
      </w:r>
      <w:r>
        <w:tab/>
      </w:r>
      <w:r>
        <w:fldChar w:fldCharType="begin"/>
      </w:r>
      <w:r>
        <w:instrText xml:space="preserve"> PAGEREF _Toc87258006 \h </w:instrText>
      </w:r>
      <w:r>
        <w:fldChar w:fldCharType="separate"/>
      </w:r>
      <w:r w:rsidR="00C67449">
        <w:t>49</w:t>
      </w:r>
      <w:r>
        <w:fldChar w:fldCharType="end"/>
      </w:r>
    </w:p>
    <w:p w:rsidR="00B40966" w:rsidRDefault="00B40966">
      <w:pPr>
        <w:pStyle w:val="TOC4"/>
        <w:rPr>
          <w:rFonts w:ascii="Times New Roman" w:hAnsi="Times New Roman"/>
          <w:b w:val="0"/>
          <w:sz w:val="24"/>
          <w:szCs w:val="24"/>
        </w:rPr>
      </w:pPr>
      <w:r>
        <w:rPr>
          <w:szCs w:val="26"/>
        </w:rPr>
        <w:t>Spray painting</w:t>
      </w:r>
    </w:p>
    <w:p w:rsidR="00B40966" w:rsidRDefault="00B40966">
      <w:pPr>
        <w:pStyle w:val="TOC5"/>
        <w:rPr>
          <w:rFonts w:ascii="Times New Roman" w:hAnsi="Times New Roman"/>
          <w:sz w:val="24"/>
          <w:szCs w:val="24"/>
        </w:rPr>
      </w:pPr>
      <w:r>
        <w:rPr>
          <w:szCs w:val="24"/>
        </w:rPr>
        <w:tab/>
        <w:t>83</w:t>
      </w:r>
      <w:r>
        <w:tab/>
      </w:r>
      <w:r>
        <w:tab/>
      </w:r>
      <w:r>
        <w:fldChar w:fldCharType="begin"/>
      </w:r>
      <w:r>
        <w:instrText xml:space="preserve"> PAGEREF _Toc87258008 \h </w:instrText>
      </w:r>
      <w:r>
        <w:fldChar w:fldCharType="separate"/>
      </w:r>
      <w:r w:rsidR="00C67449">
        <w:t>63</w:t>
      </w:r>
      <w:r>
        <w:fldChar w:fldCharType="end"/>
      </w:r>
    </w:p>
    <w:p w:rsidR="00B40966" w:rsidRDefault="00B40966">
      <w:pPr>
        <w:pStyle w:val="TOC3"/>
        <w:rPr>
          <w:rFonts w:ascii="Times New Roman" w:hAnsi="Times New Roman"/>
          <w:b w:val="0"/>
          <w:sz w:val="24"/>
          <w:szCs w:val="24"/>
        </w:rPr>
      </w:pPr>
      <w:r>
        <w:t>Division 5.3</w:t>
      </w:r>
      <w:r>
        <w:rPr>
          <w:rFonts w:ascii="Times New Roman" w:hAnsi="Times New Roman"/>
          <w:b w:val="0"/>
          <w:sz w:val="24"/>
          <w:szCs w:val="24"/>
        </w:rPr>
        <w:tab/>
      </w:r>
      <w:r>
        <w:t>Demolition of buildings and structures</w:t>
      </w:r>
    </w:p>
    <w:p w:rsidR="00B40966" w:rsidRDefault="00B40966">
      <w:pPr>
        <w:pStyle w:val="TOC5"/>
        <w:rPr>
          <w:rFonts w:ascii="Times New Roman" w:hAnsi="Times New Roman"/>
          <w:sz w:val="24"/>
          <w:szCs w:val="24"/>
        </w:rPr>
      </w:pPr>
      <w:r>
        <w:rPr>
          <w:szCs w:val="24"/>
        </w:rPr>
        <w:tab/>
        <w:t>84</w:t>
      </w:r>
      <w:r>
        <w:tab/>
      </w:r>
      <w:r>
        <w:tab/>
      </w:r>
      <w:r>
        <w:fldChar w:fldCharType="begin"/>
      </w:r>
      <w:r>
        <w:instrText xml:space="preserve"> PAGEREF _Toc87258010 \h </w:instrText>
      </w:r>
      <w:r>
        <w:fldChar w:fldCharType="separate"/>
      </w:r>
      <w:r w:rsidR="00C67449">
        <w:t>69</w:t>
      </w:r>
      <w:r>
        <w:fldChar w:fldCharType="end"/>
      </w:r>
    </w:p>
    <w:p w:rsidR="00B40966" w:rsidRDefault="00B40966">
      <w:pPr>
        <w:pStyle w:val="TOC2"/>
        <w:rPr>
          <w:rFonts w:ascii="Times New Roman" w:hAnsi="Times New Roman"/>
          <w:b w:val="0"/>
          <w:szCs w:val="24"/>
        </w:rPr>
      </w:pPr>
      <w:r>
        <w:t>Part 6</w:t>
      </w:r>
      <w:r>
        <w:rPr>
          <w:rFonts w:ascii="Times New Roman" w:hAnsi="Times New Roman"/>
          <w:b w:val="0"/>
          <w:szCs w:val="24"/>
        </w:rPr>
        <w:tab/>
      </w:r>
      <w:r>
        <w:t>The proper design, construction, erection and use of scaffolding</w:t>
      </w:r>
    </w:p>
    <w:p w:rsidR="00B40966" w:rsidRDefault="00B40966">
      <w:pPr>
        <w:pStyle w:val="TOC5"/>
        <w:rPr>
          <w:rFonts w:ascii="Times New Roman" w:hAnsi="Times New Roman"/>
          <w:sz w:val="24"/>
          <w:szCs w:val="24"/>
        </w:rPr>
      </w:pPr>
      <w:r>
        <w:rPr>
          <w:szCs w:val="24"/>
        </w:rPr>
        <w:tab/>
        <w:t>85</w:t>
      </w:r>
      <w:r>
        <w:rPr>
          <w:rFonts w:ascii="Times New Roman" w:hAnsi="Times New Roman"/>
          <w:sz w:val="24"/>
          <w:szCs w:val="24"/>
        </w:rPr>
        <w:tab/>
      </w:r>
      <w:r>
        <w:rPr>
          <w:szCs w:val="24"/>
        </w:rPr>
        <w:t>Definitions for pt 6</w:t>
      </w:r>
      <w:r>
        <w:tab/>
      </w:r>
      <w:r>
        <w:fldChar w:fldCharType="begin"/>
      </w:r>
      <w:r>
        <w:instrText xml:space="preserve"> PAGEREF _Toc87258012 \h </w:instrText>
      </w:r>
      <w:r>
        <w:fldChar w:fldCharType="separate"/>
      </w:r>
      <w:r w:rsidR="00C67449">
        <w:t>72</w:t>
      </w:r>
      <w:r>
        <w:fldChar w:fldCharType="end"/>
      </w:r>
    </w:p>
    <w:p w:rsidR="00B40966" w:rsidRDefault="00B40966">
      <w:pPr>
        <w:pStyle w:val="TOC3"/>
        <w:rPr>
          <w:rFonts w:ascii="Times New Roman" w:hAnsi="Times New Roman"/>
          <w:b w:val="0"/>
          <w:sz w:val="24"/>
          <w:szCs w:val="24"/>
        </w:rPr>
      </w:pPr>
      <w:r>
        <w:rPr>
          <w:szCs w:val="28"/>
        </w:rPr>
        <w:t>General</w:t>
      </w:r>
    </w:p>
    <w:p w:rsidR="00B40966" w:rsidRDefault="00B40966">
      <w:pPr>
        <w:pStyle w:val="TOC5"/>
        <w:rPr>
          <w:rFonts w:ascii="Times New Roman" w:hAnsi="Times New Roman"/>
          <w:sz w:val="24"/>
          <w:szCs w:val="24"/>
        </w:rPr>
      </w:pPr>
      <w:r>
        <w:rPr>
          <w:szCs w:val="24"/>
        </w:rPr>
        <w:tab/>
        <w:t>86</w:t>
      </w:r>
      <w:r>
        <w:tab/>
      </w:r>
      <w:r>
        <w:tab/>
      </w:r>
      <w:r>
        <w:fldChar w:fldCharType="begin"/>
      </w:r>
      <w:r>
        <w:instrText xml:space="preserve"> PAGEREF _Toc87258014 \h </w:instrText>
      </w:r>
      <w:r>
        <w:fldChar w:fldCharType="separate"/>
      </w:r>
      <w:r w:rsidR="00C67449">
        <w:t>73</w:t>
      </w:r>
      <w:r>
        <w:fldChar w:fldCharType="end"/>
      </w:r>
    </w:p>
    <w:p w:rsidR="00B40966" w:rsidRDefault="00B40966">
      <w:pPr>
        <w:pStyle w:val="TOC4"/>
        <w:rPr>
          <w:rFonts w:ascii="Times New Roman" w:hAnsi="Times New Roman"/>
          <w:b w:val="0"/>
          <w:sz w:val="24"/>
          <w:szCs w:val="24"/>
        </w:rPr>
      </w:pPr>
      <w:r>
        <w:t>Construction of single and independent pole scaffolding</w:t>
      </w:r>
    </w:p>
    <w:p w:rsidR="00B40966" w:rsidRDefault="00B40966">
      <w:pPr>
        <w:pStyle w:val="TOC5"/>
        <w:rPr>
          <w:rFonts w:ascii="Times New Roman" w:hAnsi="Times New Roman"/>
          <w:sz w:val="24"/>
          <w:szCs w:val="24"/>
        </w:rPr>
      </w:pPr>
      <w:r>
        <w:rPr>
          <w:szCs w:val="24"/>
        </w:rPr>
        <w:tab/>
        <w:t>87</w:t>
      </w:r>
      <w:r>
        <w:tab/>
      </w:r>
      <w:r>
        <w:tab/>
      </w:r>
      <w:r>
        <w:fldChar w:fldCharType="begin"/>
      </w:r>
      <w:r>
        <w:instrText xml:space="preserve"> PAGEREF _Toc87258016 \h </w:instrText>
      </w:r>
      <w:r>
        <w:fldChar w:fldCharType="separate"/>
      </w:r>
      <w:r w:rsidR="00C67449">
        <w:t>77</w:t>
      </w:r>
      <w:r>
        <w:fldChar w:fldCharType="end"/>
      </w:r>
    </w:p>
    <w:p w:rsidR="00B40966" w:rsidRDefault="00B40966">
      <w:pPr>
        <w:pStyle w:val="TOC4"/>
        <w:rPr>
          <w:rFonts w:ascii="Times New Roman" w:hAnsi="Times New Roman"/>
          <w:b w:val="0"/>
          <w:sz w:val="24"/>
          <w:szCs w:val="24"/>
        </w:rPr>
      </w:pPr>
      <w:r>
        <w:rPr>
          <w:szCs w:val="26"/>
        </w:rPr>
        <w:t>Cantilever scaffolding</w:t>
      </w:r>
    </w:p>
    <w:p w:rsidR="00B40966" w:rsidRDefault="00B40966">
      <w:pPr>
        <w:pStyle w:val="TOC5"/>
        <w:rPr>
          <w:rFonts w:ascii="Times New Roman" w:hAnsi="Times New Roman"/>
          <w:sz w:val="24"/>
          <w:szCs w:val="24"/>
        </w:rPr>
      </w:pPr>
      <w:r>
        <w:rPr>
          <w:szCs w:val="24"/>
        </w:rPr>
        <w:tab/>
        <w:t>88</w:t>
      </w:r>
      <w:r>
        <w:tab/>
      </w:r>
      <w:r>
        <w:tab/>
      </w:r>
      <w:r>
        <w:fldChar w:fldCharType="begin"/>
      </w:r>
      <w:r>
        <w:instrText xml:space="preserve"> PAGEREF _Toc87258018 \h </w:instrText>
      </w:r>
      <w:r>
        <w:fldChar w:fldCharType="separate"/>
      </w:r>
      <w:r w:rsidR="00C67449">
        <w:t>92</w:t>
      </w:r>
      <w:r>
        <w:fldChar w:fldCharType="end"/>
      </w:r>
    </w:p>
    <w:p w:rsidR="00B40966" w:rsidRDefault="00B40966">
      <w:pPr>
        <w:pStyle w:val="TOC4"/>
        <w:rPr>
          <w:rFonts w:ascii="Times New Roman" w:hAnsi="Times New Roman"/>
          <w:b w:val="0"/>
          <w:sz w:val="24"/>
          <w:szCs w:val="24"/>
        </w:rPr>
      </w:pPr>
      <w:r>
        <w:rPr>
          <w:szCs w:val="26"/>
        </w:rPr>
        <w:t>Bracket scaffolding</w:t>
      </w:r>
    </w:p>
    <w:p w:rsidR="00B40966" w:rsidRDefault="00B40966">
      <w:pPr>
        <w:pStyle w:val="TOC5"/>
        <w:rPr>
          <w:rFonts w:ascii="Times New Roman" w:hAnsi="Times New Roman"/>
          <w:sz w:val="24"/>
          <w:szCs w:val="24"/>
        </w:rPr>
      </w:pPr>
      <w:r>
        <w:rPr>
          <w:szCs w:val="24"/>
        </w:rPr>
        <w:tab/>
        <w:t>89</w:t>
      </w:r>
      <w:r>
        <w:tab/>
      </w:r>
      <w:r>
        <w:tab/>
      </w:r>
      <w:r>
        <w:fldChar w:fldCharType="begin"/>
      </w:r>
      <w:r>
        <w:instrText xml:space="preserve"> PAGEREF _Toc87258020 \h </w:instrText>
      </w:r>
      <w:r>
        <w:fldChar w:fldCharType="separate"/>
      </w:r>
      <w:r w:rsidR="00C67449">
        <w:t>94</w:t>
      </w:r>
      <w:r>
        <w:fldChar w:fldCharType="end"/>
      </w:r>
    </w:p>
    <w:p w:rsidR="00B40966" w:rsidRDefault="00B40966">
      <w:pPr>
        <w:pStyle w:val="TOC4"/>
        <w:rPr>
          <w:rFonts w:ascii="Times New Roman" w:hAnsi="Times New Roman"/>
          <w:b w:val="0"/>
          <w:sz w:val="24"/>
          <w:szCs w:val="24"/>
        </w:rPr>
      </w:pPr>
      <w:r>
        <w:rPr>
          <w:szCs w:val="26"/>
        </w:rPr>
        <w:t>Suspended scaffolding</w:t>
      </w:r>
    </w:p>
    <w:p w:rsidR="00B40966" w:rsidRDefault="00B40966">
      <w:pPr>
        <w:pStyle w:val="TOC5"/>
        <w:rPr>
          <w:rFonts w:ascii="Times New Roman" w:hAnsi="Times New Roman"/>
          <w:sz w:val="24"/>
          <w:szCs w:val="24"/>
        </w:rPr>
      </w:pPr>
      <w:r>
        <w:rPr>
          <w:szCs w:val="24"/>
        </w:rPr>
        <w:tab/>
        <w:t>90</w:t>
      </w:r>
      <w:r>
        <w:tab/>
      </w:r>
      <w:r>
        <w:tab/>
      </w:r>
      <w:r>
        <w:fldChar w:fldCharType="begin"/>
      </w:r>
      <w:r>
        <w:instrText xml:space="preserve"> PAGEREF _Toc87258022 \h </w:instrText>
      </w:r>
      <w:r>
        <w:fldChar w:fldCharType="separate"/>
      </w:r>
      <w:r w:rsidR="00C67449">
        <w:t>98</w:t>
      </w:r>
      <w:r>
        <w:fldChar w:fldCharType="end"/>
      </w:r>
    </w:p>
    <w:p w:rsidR="00B40966" w:rsidRDefault="00B40966">
      <w:pPr>
        <w:pStyle w:val="TOC4"/>
        <w:rPr>
          <w:rFonts w:ascii="Times New Roman" w:hAnsi="Times New Roman"/>
          <w:b w:val="0"/>
          <w:sz w:val="24"/>
          <w:szCs w:val="24"/>
        </w:rPr>
      </w:pPr>
      <w:r>
        <w:rPr>
          <w:szCs w:val="26"/>
        </w:rPr>
        <w:t>Light swinging stages</w:t>
      </w:r>
    </w:p>
    <w:p w:rsidR="00B40966" w:rsidRDefault="00B40966">
      <w:pPr>
        <w:pStyle w:val="TOC5"/>
        <w:rPr>
          <w:rFonts w:ascii="Times New Roman" w:hAnsi="Times New Roman"/>
          <w:sz w:val="24"/>
          <w:szCs w:val="24"/>
        </w:rPr>
      </w:pPr>
      <w:r>
        <w:rPr>
          <w:szCs w:val="24"/>
        </w:rPr>
        <w:tab/>
        <w:t>91</w:t>
      </w:r>
      <w:r>
        <w:tab/>
      </w:r>
      <w:r>
        <w:tab/>
      </w:r>
      <w:r>
        <w:fldChar w:fldCharType="begin"/>
      </w:r>
      <w:r>
        <w:instrText xml:space="preserve"> PAGEREF _Toc87258024 \h </w:instrText>
      </w:r>
      <w:r>
        <w:fldChar w:fldCharType="separate"/>
      </w:r>
      <w:r w:rsidR="00C67449">
        <w:t>105</w:t>
      </w:r>
      <w:r>
        <w:fldChar w:fldCharType="end"/>
      </w:r>
    </w:p>
    <w:p w:rsidR="00B40966" w:rsidRDefault="00B40966">
      <w:pPr>
        <w:pStyle w:val="TOC4"/>
        <w:rPr>
          <w:rFonts w:ascii="Times New Roman" w:hAnsi="Times New Roman"/>
          <w:b w:val="0"/>
          <w:sz w:val="24"/>
          <w:szCs w:val="24"/>
        </w:rPr>
      </w:pPr>
      <w:r>
        <w:rPr>
          <w:szCs w:val="26"/>
        </w:rPr>
        <w:t>Boatswain’s chairs</w:t>
      </w:r>
    </w:p>
    <w:p w:rsidR="00B40966" w:rsidRDefault="00B40966">
      <w:pPr>
        <w:pStyle w:val="TOC5"/>
        <w:rPr>
          <w:rFonts w:ascii="Times New Roman" w:hAnsi="Times New Roman"/>
          <w:sz w:val="24"/>
          <w:szCs w:val="24"/>
        </w:rPr>
      </w:pPr>
      <w:r>
        <w:rPr>
          <w:szCs w:val="24"/>
        </w:rPr>
        <w:tab/>
        <w:t>92</w:t>
      </w:r>
      <w:r>
        <w:tab/>
      </w:r>
      <w:r>
        <w:tab/>
      </w:r>
      <w:r>
        <w:fldChar w:fldCharType="begin"/>
      </w:r>
      <w:r>
        <w:instrText xml:space="preserve"> PAGEREF _Toc87258026 \h </w:instrText>
      </w:r>
      <w:r>
        <w:fldChar w:fldCharType="separate"/>
      </w:r>
      <w:r w:rsidR="00C67449">
        <w:t>110</w:t>
      </w:r>
      <w:r>
        <w:fldChar w:fldCharType="end"/>
      </w:r>
    </w:p>
    <w:p w:rsidR="00B40966" w:rsidRDefault="00B40966">
      <w:pPr>
        <w:pStyle w:val="TOC4"/>
        <w:rPr>
          <w:rFonts w:ascii="Times New Roman" w:hAnsi="Times New Roman"/>
          <w:b w:val="0"/>
          <w:sz w:val="24"/>
          <w:szCs w:val="24"/>
        </w:rPr>
      </w:pPr>
      <w:r>
        <w:t>Scaffolding for use on ships in dock or on slips</w:t>
      </w:r>
    </w:p>
    <w:p w:rsidR="00B40966" w:rsidRDefault="00B40966">
      <w:pPr>
        <w:pStyle w:val="TOC5"/>
        <w:rPr>
          <w:rFonts w:ascii="Times New Roman" w:hAnsi="Times New Roman"/>
          <w:sz w:val="24"/>
          <w:szCs w:val="24"/>
        </w:rPr>
      </w:pPr>
      <w:r>
        <w:rPr>
          <w:szCs w:val="24"/>
        </w:rPr>
        <w:tab/>
        <w:t>93</w:t>
      </w:r>
      <w:r>
        <w:tab/>
      </w:r>
      <w:r>
        <w:tab/>
      </w:r>
      <w:r>
        <w:fldChar w:fldCharType="begin"/>
      </w:r>
      <w:r>
        <w:instrText xml:space="preserve"> PAGEREF _Toc87258028 \h </w:instrText>
      </w:r>
      <w:r>
        <w:fldChar w:fldCharType="separate"/>
      </w:r>
      <w:r w:rsidR="00C67449">
        <w:t>112</w:t>
      </w:r>
      <w:r>
        <w:fldChar w:fldCharType="end"/>
      </w:r>
    </w:p>
    <w:p w:rsidR="00B40966" w:rsidRDefault="00B40966">
      <w:pPr>
        <w:pStyle w:val="TOC4"/>
        <w:rPr>
          <w:rFonts w:ascii="Times New Roman" w:hAnsi="Times New Roman"/>
          <w:b w:val="0"/>
          <w:sz w:val="24"/>
          <w:szCs w:val="24"/>
        </w:rPr>
      </w:pPr>
      <w:r>
        <w:rPr>
          <w:szCs w:val="26"/>
        </w:rPr>
        <w:t>Runs and ramps</w:t>
      </w:r>
    </w:p>
    <w:p w:rsidR="00B40966" w:rsidRDefault="00B40966">
      <w:pPr>
        <w:pStyle w:val="TOC5"/>
        <w:rPr>
          <w:rFonts w:ascii="Times New Roman" w:hAnsi="Times New Roman"/>
          <w:sz w:val="24"/>
          <w:szCs w:val="24"/>
        </w:rPr>
      </w:pPr>
      <w:r>
        <w:rPr>
          <w:szCs w:val="24"/>
        </w:rPr>
        <w:tab/>
        <w:t>94</w:t>
      </w:r>
      <w:r>
        <w:tab/>
      </w:r>
      <w:r>
        <w:tab/>
      </w:r>
      <w:r>
        <w:fldChar w:fldCharType="begin"/>
      </w:r>
      <w:r>
        <w:instrText xml:space="preserve"> PAGEREF _Toc87258030 \h </w:instrText>
      </w:r>
      <w:r>
        <w:fldChar w:fldCharType="separate"/>
      </w:r>
      <w:r w:rsidR="00C67449">
        <w:t>116</w:t>
      </w:r>
      <w:r>
        <w:fldChar w:fldCharType="end"/>
      </w:r>
    </w:p>
    <w:p w:rsidR="00B40966" w:rsidRDefault="00B40966">
      <w:pPr>
        <w:pStyle w:val="TOC2"/>
        <w:rPr>
          <w:rFonts w:ascii="Times New Roman" w:hAnsi="Times New Roman"/>
          <w:b w:val="0"/>
          <w:szCs w:val="24"/>
        </w:rPr>
      </w:pPr>
      <w:r>
        <w:t>Part 7</w:t>
      </w:r>
      <w:r>
        <w:rPr>
          <w:rFonts w:ascii="Times New Roman" w:hAnsi="Times New Roman"/>
          <w:b w:val="0"/>
          <w:szCs w:val="24"/>
        </w:rPr>
        <w:tab/>
      </w:r>
      <w:r>
        <w:t>Safeguards and measures to be taken for securing the safety and health of persons engaged in excavation work</w:t>
      </w:r>
    </w:p>
    <w:p w:rsidR="00B40966" w:rsidRDefault="00B40966">
      <w:pPr>
        <w:pStyle w:val="TOC3"/>
        <w:rPr>
          <w:rFonts w:ascii="Times New Roman" w:hAnsi="Times New Roman"/>
          <w:b w:val="0"/>
          <w:sz w:val="24"/>
          <w:szCs w:val="24"/>
        </w:rPr>
      </w:pPr>
      <w:r>
        <w:t>Division 7.1</w:t>
      </w:r>
      <w:r>
        <w:rPr>
          <w:rFonts w:ascii="Times New Roman" w:hAnsi="Times New Roman"/>
          <w:b w:val="0"/>
          <w:sz w:val="24"/>
          <w:szCs w:val="24"/>
        </w:rPr>
        <w:tab/>
      </w:r>
      <w:r>
        <w:t>General</w:t>
      </w:r>
    </w:p>
    <w:p w:rsidR="00B40966" w:rsidRDefault="00B40966">
      <w:pPr>
        <w:pStyle w:val="TOC5"/>
        <w:rPr>
          <w:rFonts w:ascii="Times New Roman" w:hAnsi="Times New Roman"/>
          <w:sz w:val="24"/>
          <w:szCs w:val="24"/>
        </w:rPr>
      </w:pPr>
      <w:r>
        <w:rPr>
          <w:szCs w:val="24"/>
        </w:rPr>
        <w:tab/>
        <w:t>95</w:t>
      </w:r>
      <w:r>
        <w:tab/>
      </w:r>
      <w:r>
        <w:tab/>
      </w:r>
      <w:r>
        <w:fldChar w:fldCharType="begin"/>
      </w:r>
      <w:r>
        <w:instrText xml:space="preserve"> PAGEREF _Toc87258033 \h </w:instrText>
      </w:r>
      <w:r>
        <w:fldChar w:fldCharType="separate"/>
      </w:r>
      <w:r w:rsidR="00C67449">
        <w:t>118</w:t>
      </w:r>
      <w:r>
        <w:fldChar w:fldCharType="end"/>
      </w:r>
    </w:p>
    <w:p w:rsidR="00B40966" w:rsidRDefault="00B40966">
      <w:pPr>
        <w:pStyle w:val="TOC3"/>
        <w:rPr>
          <w:rFonts w:ascii="Times New Roman" w:hAnsi="Times New Roman"/>
          <w:b w:val="0"/>
          <w:sz w:val="24"/>
          <w:szCs w:val="24"/>
        </w:rPr>
      </w:pPr>
      <w:r>
        <w:t>Division 7.2</w:t>
      </w:r>
      <w:r>
        <w:rPr>
          <w:rFonts w:ascii="Times New Roman" w:hAnsi="Times New Roman"/>
          <w:b w:val="0"/>
          <w:sz w:val="24"/>
          <w:szCs w:val="24"/>
        </w:rPr>
        <w:tab/>
      </w:r>
      <w:r>
        <w:t>Cofferdams and caissons</w:t>
      </w:r>
    </w:p>
    <w:p w:rsidR="00B40966" w:rsidRDefault="00B40966">
      <w:pPr>
        <w:pStyle w:val="TOC5"/>
        <w:rPr>
          <w:rFonts w:ascii="Times New Roman" w:hAnsi="Times New Roman"/>
          <w:sz w:val="24"/>
          <w:szCs w:val="24"/>
        </w:rPr>
      </w:pPr>
      <w:r>
        <w:rPr>
          <w:szCs w:val="24"/>
        </w:rPr>
        <w:tab/>
        <w:t>96</w:t>
      </w:r>
      <w:r>
        <w:tab/>
      </w:r>
      <w:r>
        <w:tab/>
      </w:r>
      <w:r>
        <w:fldChar w:fldCharType="begin"/>
      </w:r>
      <w:r>
        <w:instrText xml:space="preserve"> PAGEREF _Toc87258035 \h </w:instrText>
      </w:r>
      <w:r>
        <w:fldChar w:fldCharType="separate"/>
      </w:r>
      <w:r w:rsidR="00C67449">
        <w:t>121</w:t>
      </w:r>
      <w:r>
        <w:fldChar w:fldCharType="end"/>
      </w:r>
    </w:p>
    <w:p w:rsidR="00B40966" w:rsidRDefault="00B40966">
      <w:pPr>
        <w:pStyle w:val="TOC3"/>
        <w:rPr>
          <w:rFonts w:ascii="Times New Roman" w:hAnsi="Times New Roman"/>
          <w:b w:val="0"/>
          <w:sz w:val="24"/>
          <w:szCs w:val="24"/>
        </w:rPr>
      </w:pPr>
      <w:r>
        <w:t>Division 7.3</w:t>
      </w:r>
      <w:r>
        <w:rPr>
          <w:rFonts w:ascii="Times New Roman" w:hAnsi="Times New Roman"/>
          <w:b w:val="0"/>
          <w:sz w:val="24"/>
          <w:szCs w:val="24"/>
        </w:rPr>
        <w:tab/>
      </w:r>
      <w:r>
        <w:t>Trenches</w:t>
      </w:r>
    </w:p>
    <w:p w:rsidR="00B40966" w:rsidRDefault="00B40966">
      <w:pPr>
        <w:pStyle w:val="TOC5"/>
        <w:rPr>
          <w:rFonts w:ascii="Times New Roman" w:hAnsi="Times New Roman"/>
          <w:sz w:val="24"/>
          <w:szCs w:val="24"/>
        </w:rPr>
      </w:pPr>
      <w:r>
        <w:rPr>
          <w:szCs w:val="24"/>
        </w:rPr>
        <w:tab/>
        <w:t>97</w:t>
      </w:r>
      <w:r>
        <w:tab/>
      </w:r>
      <w:r>
        <w:tab/>
      </w:r>
      <w:r>
        <w:fldChar w:fldCharType="begin"/>
      </w:r>
      <w:r>
        <w:instrText xml:space="preserve"> PAGEREF _Toc87258037 \h </w:instrText>
      </w:r>
      <w:r>
        <w:fldChar w:fldCharType="separate"/>
      </w:r>
      <w:r w:rsidR="00C67449">
        <w:t>122</w:t>
      </w:r>
      <w:r>
        <w:fldChar w:fldCharType="end"/>
      </w:r>
    </w:p>
    <w:p w:rsidR="00B40966" w:rsidRDefault="00B40966">
      <w:pPr>
        <w:pStyle w:val="TOC3"/>
        <w:rPr>
          <w:rFonts w:ascii="Times New Roman" w:hAnsi="Times New Roman"/>
          <w:b w:val="0"/>
          <w:sz w:val="24"/>
          <w:szCs w:val="24"/>
        </w:rPr>
      </w:pPr>
      <w:r>
        <w:t>Division 7.4</w:t>
      </w:r>
      <w:r>
        <w:rPr>
          <w:rFonts w:ascii="Times New Roman" w:hAnsi="Times New Roman"/>
          <w:b w:val="0"/>
          <w:sz w:val="24"/>
          <w:szCs w:val="24"/>
        </w:rPr>
        <w:tab/>
      </w:r>
      <w:r>
        <w:t>Shafts, wells and tunnels</w:t>
      </w:r>
    </w:p>
    <w:p w:rsidR="00B40966" w:rsidRDefault="00B40966">
      <w:pPr>
        <w:pStyle w:val="TOC5"/>
        <w:rPr>
          <w:rFonts w:ascii="Times New Roman" w:hAnsi="Times New Roman"/>
          <w:sz w:val="24"/>
          <w:szCs w:val="24"/>
        </w:rPr>
      </w:pPr>
      <w:r>
        <w:rPr>
          <w:szCs w:val="24"/>
        </w:rPr>
        <w:tab/>
        <w:t>98</w:t>
      </w:r>
      <w:r>
        <w:tab/>
      </w:r>
      <w:r>
        <w:tab/>
      </w:r>
      <w:r>
        <w:fldChar w:fldCharType="begin"/>
      </w:r>
      <w:r>
        <w:instrText xml:space="preserve"> PAGEREF _Toc87258039 \h </w:instrText>
      </w:r>
      <w:r>
        <w:fldChar w:fldCharType="separate"/>
      </w:r>
      <w:r w:rsidR="00C67449">
        <w:t>124</w:t>
      </w:r>
      <w:r>
        <w:fldChar w:fldCharType="end"/>
      </w:r>
    </w:p>
    <w:p w:rsidR="00B40966" w:rsidRDefault="00B40966">
      <w:pPr>
        <w:pStyle w:val="TOC2"/>
        <w:rPr>
          <w:rFonts w:ascii="Times New Roman" w:hAnsi="Times New Roman"/>
          <w:b w:val="0"/>
          <w:szCs w:val="24"/>
        </w:rPr>
      </w:pPr>
      <w:r>
        <w:t>Part 8</w:t>
      </w:r>
      <w:r>
        <w:rPr>
          <w:rFonts w:ascii="Times New Roman" w:hAnsi="Times New Roman"/>
          <w:b w:val="0"/>
          <w:szCs w:val="24"/>
        </w:rPr>
        <w:tab/>
      </w:r>
      <w:r>
        <w:t>Safeguards and measures to be taken for securing the safety and health of persons engaged in compressed air work</w:t>
      </w:r>
    </w:p>
    <w:p w:rsidR="00B40966" w:rsidRDefault="00B40966">
      <w:pPr>
        <w:pStyle w:val="TOC3"/>
        <w:rPr>
          <w:rFonts w:ascii="Times New Roman" w:hAnsi="Times New Roman"/>
          <w:b w:val="0"/>
          <w:sz w:val="24"/>
          <w:szCs w:val="24"/>
        </w:rPr>
      </w:pPr>
      <w:r>
        <w:t>Division 8.1</w:t>
      </w:r>
      <w:r>
        <w:rPr>
          <w:rFonts w:ascii="Times New Roman" w:hAnsi="Times New Roman"/>
          <w:b w:val="0"/>
          <w:sz w:val="24"/>
          <w:szCs w:val="24"/>
        </w:rPr>
        <w:tab/>
      </w:r>
      <w:r>
        <w:t>Diving</w:t>
      </w:r>
    </w:p>
    <w:p w:rsidR="00B40966" w:rsidRDefault="00B40966">
      <w:pPr>
        <w:pStyle w:val="TOC5"/>
        <w:rPr>
          <w:rFonts w:ascii="Times New Roman" w:hAnsi="Times New Roman"/>
          <w:sz w:val="24"/>
          <w:szCs w:val="24"/>
        </w:rPr>
      </w:pPr>
      <w:r>
        <w:rPr>
          <w:szCs w:val="24"/>
        </w:rPr>
        <w:tab/>
        <w:t>99</w:t>
      </w:r>
      <w:r>
        <w:tab/>
      </w:r>
      <w:r>
        <w:tab/>
      </w:r>
      <w:r>
        <w:fldChar w:fldCharType="begin"/>
      </w:r>
      <w:r>
        <w:instrText xml:space="preserve"> PAGEREF _Toc87258042 \h </w:instrText>
      </w:r>
      <w:r>
        <w:fldChar w:fldCharType="separate"/>
      </w:r>
      <w:r w:rsidR="00C67449">
        <w:t>126</w:t>
      </w:r>
      <w:r>
        <w:fldChar w:fldCharType="end"/>
      </w:r>
    </w:p>
    <w:p w:rsidR="00B40966" w:rsidRDefault="00B40966">
      <w:pPr>
        <w:pStyle w:val="TOC3"/>
        <w:rPr>
          <w:rFonts w:ascii="Times New Roman" w:hAnsi="Times New Roman"/>
          <w:b w:val="0"/>
          <w:sz w:val="24"/>
          <w:szCs w:val="24"/>
        </w:rPr>
      </w:pPr>
      <w:r>
        <w:t>Division 8.2</w:t>
      </w:r>
      <w:r>
        <w:rPr>
          <w:rFonts w:ascii="Times New Roman" w:hAnsi="Times New Roman"/>
          <w:b w:val="0"/>
          <w:sz w:val="24"/>
          <w:szCs w:val="24"/>
        </w:rPr>
        <w:tab/>
      </w:r>
      <w:r>
        <w:t>Tunnelling</w:t>
      </w:r>
    </w:p>
    <w:p w:rsidR="00B40966" w:rsidRDefault="00B40966">
      <w:pPr>
        <w:pStyle w:val="TOC5"/>
        <w:rPr>
          <w:rFonts w:ascii="Times New Roman" w:hAnsi="Times New Roman"/>
          <w:sz w:val="24"/>
          <w:szCs w:val="24"/>
        </w:rPr>
      </w:pPr>
      <w:r>
        <w:rPr>
          <w:szCs w:val="24"/>
        </w:rPr>
        <w:tab/>
        <w:t>100</w:t>
      </w:r>
      <w:r>
        <w:tab/>
      </w:r>
      <w:r>
        <w:tab/>
      </w:r>
      <w:r>
        <w:fldChar w:fldCharType="begin"/>
      </w:r>
      <w:r>
        <w:instrText xml:space="preserve"> PAGEREF _Toc87258044 \h </w:instrText>
      </w:r>
      <w:r>
        <w:fldChar w:fldCharType="separate"/>
      </w:r>
      <w:r w:rsidR="00C67449">
        <w:t>142</w:t>
      </w:r>
      <w:r>
        <w:fldChar w:fldCharType="end"/>
      </w:r>
    </w:p>
    <w:p w:rsidR="00B40966" w:rsidRDefault="00B40966">
      <w:pPr>
        <w:pStyle w:val="TOC3"/>
        <w:rPr>
          <w:rFonts w:ascii="Times New Roman" w:hAnsi="Times New Roman"/>
          <w:b w:val="0"/>
          <w:sz w:val="24"/>
          <w:szCs w:val="24"/>
        </w:rPr>
      </w:pPr>
      <w:r>
        <w:t>Division 8.3</w:t>
      </w:r>
      <w:r>
        <w:rPr>
          <w:rFonts w:ascii="Times New Roman" w:hAnsi="Times New Roman"/>
          <w:b w:val="0"/>
          <w:sz w:val="24"/>
          <w:szCs w:val="24"/>
        </w:rPr>
        <w:tab/>
      </w:r>
      <w:r>
        <w:t>Caissons</w:t>
      </w:r>
    </w:p>
    <w:p w:rsidR="00B40966" w:rsidRDefault="00B40966">
      <w:pPr>
        <w:pStyle w:val="TOC5"/>
        <w:rPr>
          <w:rFonts w:ascii="Times New Roman" w:hAnsi="Times New Roman"/>
          <w:sz w:val="24"/>
          <w:szCs w:val="24"/>
        </w:rPr>
      </w:pPr>
      <w:r>
        <w:rPr>
          <w:szCs w:val="24"/>
        </w:rPr>
        <w:tab/>
        <w:t>101</w:t>
      </w:r>
      <w:r>
        <w:tab/>
      </w:r>
      <w:r>
        <w:tab/>
      </w:r>
      <w:r>
        <w:fldChar w:fldCharType="begin"/>
      </w:r>
      <w:r>
        <w:instrText xml:space="preserve"> PAGEREF _Toc87258046 \h </w:instrText>
      </w:r>
      <w:r>
        <w:fldChar w:fldCharType="separate"/>
      </w:r>
      <w:r w:rsidR="00C67449">
        <w:t>156</w:t>
      </w:r>
      <w:r>
        <w:fldChar w:fldCharType="end"/>
      </w:r>
    </w:p>
    <w:p w:rsidR="00B40966" w:rsidRDefault="00B40966">
      <w:pPr>
        <w:pStyle w:val="TOC2"/>
        <w:rPr>
          <w:rFonts w:ascii="Times New Roman" w:hAnsi="Times New Roman"/>
          <w:b w:val="0"/>
          <w:szCs w:val="24"/>
        </w:rPr>
      </w:pPr>
      <w:r>
        <w:t>Part 9A</w:t>
      </w:r>
      <w:r>
        <w:rPr>
          <w:rFonts w:ascii="Times New Roman" w:hAnsi="Times New Roman"/>
          <w:b w:val="0"/>
          <w:szCs w:val="24"/>
        </w:rPr>
        <w:tab/>
      </w:r>
      <w:r>
        <w:t>Safeguards and measures to be taken for securing the safety and health of persons in connection with the use of explosive-powered tools in building work, excavation work and compressed air work</w:t>
      </w:r>
    </w:p>
    <w:p w:rsidR="00B40966" w:rsidRDefault="00B40966">
      <w:pPr>
        <w:pStyle w:val="TOC4"/>
        <w:rPr>
          <w:rFonts w:ascii="Times New Roman" w:hAnsi="Times New Roman"/>
          <w:b w:val="0"/>
          <w:sz w:val="24"/>
          <w:szCs w:val="24"/>
        </w:rPr>
      </w:pPr>
      <w:r>
        <w:rPr>
          <w:szCs w:val="26"/>
        </w:rPr>
        <w:t>Application and interpretation</w:t>
      </w:r>
    </w:p>
    <w:p w:rsidR="00B40966" w:rsidRDefault="00B40966">
      <w:pPr>
        <w:pStyle w:val="TOC5"/>
        <w:rPr>
          <w:rFonts w:ascii="Times New Roman" w:hAnsi="Times New Roman"/>
          <w:sz w:val="24"/>
          <w:szCs w:val="24"/>
        </w:rPr>
      </w:pPr>
      <w:r>
        <w:rPr>
          <w:szCs w:val="24"/>
        </w:rPr>
        <w:tab/>
        <w:t>118A</w:t>
      </w:r>
      <w:r>
        <w:tab/>
      </w:r>
      <w:r>
        <w:tab/>
      </w:r>
      <w:r>
        <w:fldChar w:fldCharType="begin"/>
      </w:r>
      <w:r>
        <w:instrText xml:space="preserve"> PAGEREF _Toc87258049 \h </w:instrText>
      </w:r>
      <w:r>
        <w:fldChar w:fldCharType="separate"/>
      </w:r>
      <w:r w:rsidR="00C67449">
        <w:t>170</w:t>
      </w:r>
      <w:r>
        <w:fldChar w:fldCharType="end"/>
      </w:r>
    </w:p>
    <w:p w:rsidR="00B40966" w:rsidRDefault="00B40966">
      <w:pPr>
        <w:pStyle w:val="TOC4"/>
        <w:rPr>
          <w:rFonts w:ascii="Times New Roman" w:hAnsi="Times New Roman"/>
          <w:b w:val="0"/>
          <w:sz w:val="24"/>
          <w:szCs w:val="24"/>
        </w:rPr>
      </w:pPr>
      <w:r>
        <w:t>Operators of explosive-powered tools</w:t>
      </w:r>
    </w:p>
    <w:p w:rsidR="00B40966" w:rsidRDefault="00B40966">
      <w:pPr>
        <w:pStyle w:val="TOC5"/>
        <w:rPr>
          <w:rFonts w:ascii="Times New Roman" w:hAnsi="Times New Roman"/>
          <w:sz w:val="24"/>
          <w:szCs w:val="24"/>
        </w:rPr>
      </w:pPr>
      <w:r>
        <w:rPr>
          <w:szCs w:val="24"/>
        </w:rPr>
        <w:tab/>
        <w:t>118B</w:t>
      </w:r>
      <w:r>
        <w:tab/>
      </w:r>
      <w:r>
        <w:tab/>
      </w:r>
      <w:r>
        <w:fldChar w:fldCharType="begin"/>
      </w:r>
      <w:r>
        <w:instrText xml:space="preserve"> PAGEREF _Toc87258051 \h </w:instrText>
      </w:r>
      <w:r>
        <w:fldChar w:fldCharType="separate"/>
      </w:r>
      <w:r w:rsidR="00C67449">
        <w:t>171</w:t>
      </w:r>
      <w:r>
        <w:fldChar w:fldCharType="end"/>
      </w:r>
    </w:p>
    <w:p w:rsidR="00B40966" w:rsidRDefault="00B40966">
      <w:pPr>
        <w:pStyle w:val="TOC4"/>
        <w:rPr>
          <w:rFonts w:ascii="Times New Roman" w:hAnsi="Times New Roman"/>
          <w:b w:val="0"/>
          <w:sz w:val="24"/>
          <w:szCs w:val="24"/>
        </w:rPr>
      </w:pPr>
      <w:r>
        <w:t>General requirements for explosive-powered tools and projectiles</w:t>
      </w:r>
    </w:p>
    <w:p w:rsidR="00B40966" w:rsidRDefault="00B40966">
      <w:pPr>
        <w:pStyle w:val="TOC5"/>
        <w:rPr>
          <w:rFonts w:ascii="Times New Roman" w:hAnsi="Times New Roman"/>
          <w:sz w:val="24"/>
          <w:szCs w:val="24"/>
        </w:rPr>
      </w:pPr>
      <w:r>
        <w:rPr>
          <w:szCs w:val="24"/>
        </w:rPr>
        <w:tab/>
        <w:t>118C</w:t>
      </w:r>
      <w:r>
        <w:tab/>
      </w:r>
      <w:r>
        <w:tab/>
      </w:r>
      <w:r>
        <w:fldChar w:fldCharType="begin"/>
      </w:r>
      <w:r>
        <w:instrText xml:space="preserve"> PAGEREF _Toc87258053 \h </w:instrText>
      </w:r>
      <w:r>
        <w:fldChar w:fldCharType="separate"/>
      </w:r>
      <w:r w:rsidR="00C67449">
        <w:t>172</w:t>
      </w:r>
      <w:r>
        <w:fldChar w:fldCharType="end"/>
      </w:r>
    </w:p>
    <w:p w:rsidR="00B40966" w:rsidRDefault="00B40966">
      <w:pPr>
        <w:pStyle w:val="TOC4"/>
        <w:rPr>
          <w:rFonts w:ascii="Times New Roman" w:hAnsi="Times New Roman"/>
          <w:b w:val="0"/>
          <w:sz w:val="24"/>
          <w:szCs w:val="24"/>
        </w:rPr>
      </w:pPr>
      <w:r>
        <w:t>Inspection and repair of explosive-powered tools</w:t>
      </w:r>
    </w:p>
    <w:p w:rsidR="00B40966" w:rsidRDefault="00B40966">
      <w:pPr>
        <w:pStyle w:val="TOC5"/>
        <w:rPr>
          <w:rFonts w:ascii="Times New Roman" w:hAnsi="Times New Roman"/>
          <w:sz w:val="24"/>
          <w:szCs w:val="24"/>
        </w:rPr>
      </w:pPr>
      <w:r>
        <w:rPr>
          <w:szCs w:val="24"/>
        </w:rPr>
        <w:tab/>
        <w:t>118D</w:t>
      </w:r>
      <w:r>
        <w:tab/>
      </w:r>
      <w:r>
        <w:tab/>
      </w:r>
      <w:r>
        <w:fldChar w:fldCharType="begin"/>
      </w:r>
      <w:r>
        <w:instrText xml:space="preserve"> PAGEREF _Toc87258055 \h </w:instrText>
      </w:r>
      <w:r>
        <w:fldChar w:fldCharType="separate"/>
      </w:r>
      <w:r w:rsidR="00C67449">
        <w:t>173</w:t>
      </w:r>
      <w:r>
        <w:fldChar w:fldCharType="end"/>
      </w:r>
    </w:p>
    <w:p w:rsidR="00B40966" w:rsidRDefault="00B40966">
      <w:pPr>
        <w:pStyle w:val="TOC4"/>
        <w:rPr>
          <w:rFonts w:ascii="Times New Roman" w:hAnsi="Times New Roman"/>
          <w:b w:val="0"/>
          <w:sz w:val="24"/>
          <w:szCs w:val="24"/>
        </w:rPr>
      </w:pPr>
      <w:r>
        <w:rPr>
          <w:szCs w:val="26"/>
        </w:rPr>
        <w:t>Use of explosive-powered tools</w:t>
      </w:r>
    </w:p>
    <w:p w:rsidR="00B40966" w:rsidRDefault="00B40966">
      <w:pPr>
        <w:pStyle w:val="TOC5"/>
        <w:rPr>
          <w:rFonts w:ascii="Times New Roman" w:hAnsi="Times New Roman"/>
          <w:sz w:val="24"/>
          <w:szCs w:val="24"/>
        </w:rPr>
      </w:pPr>
      <w:r>
        <w:rPr>
          <w:szCs w:val="24"/>
        </w:rPr>
        <w:tab/>
        <w:t>118E</w:t>
      </w:r>
      <w:r>
        <w:tab/>
      </w:r>
      <w:r>
        <w:tab/>
      </w:r>
      <w:r>
        <w:fldChar w:fldCharType="begin"/>
      </w:r>
      <w:r>
        <w:instrText xml:space="preserve"> PAGEREF _Toc87258057 \h </w:instrText>
      </w:r>
      <w:r>
        <w:fldChar w:fldCharType="separate"/>
      </w:r>
      <w:r w:rsidR="00C67449">
        <w:t>175</w:t>
      </w:r>
      <w:r>
        <w:fldChar w:fldCharType="end"/>
      </w:r>
    </w:p>
    <w:p w:rsidR="00B40966" w:rsidRDefault="00B40966">
      <w:pPr>
        <w:pStyle w:val="TOC4"/>
        <w:rPr>
          <w:rFonts w:ascii="Times New Roman" w:hAnsi="Times New Roman"/>
          <w:b w:val="0"/>
          <w:sz w:val="24"/>
          <w:szCs w:val="24"/>
        </w:rPr>
      </w:pPr>
      <w:r>
        <w:t>Care and storage of explosive-powered tools and cartridges</w:t>
      </w:r>
    </w:p>
    <w:p w:rsidR="00B40966" w:rsidRDefault="00B40966">
      <w:pPr>
        <w:pStyle w:val="TOC5"/>
        <w:rPr>
          <w:rFonts w:ascii="Times New Roman" w:hAnsi="Times New Roman"/>
          <w:sz w:val="24"/>
          <w:szCs w:val="24"/>
        </w:rPr>
      </w:pPr>
      <w:r>
        <w:rPr>
          <w:szCs w:val="24"/>
        </w:rPr>
        <w:tab/>
        <w:t>118F</w:t>
      </w:r>
      <w:r>
        <w:tab/>
      </w:r>
      <w:r>
        <w:tab/>
      </w:r>
      <w:r>
        <w:fldChar w:fldCharType="begin"/>
      </w:r>
      <w:r>
        <w:instrText xml:space="preserve"> PAGEREF _Toc87258059 \h </w:instrText>
      </w:r>
      <w:r>
        <w:fldChar w:fldCharType="separate"/>
      </w:r>
      <w:r w:rsidR="00C67449">
        <w:t>178</w:t>
      </w:r>
      <w:r>
        <w:fldChar w:fldCharType="end"/>
      </w:r>
    </w:p>
    <w:p w:rsidR="00B40966" w:rsidRDefault="00B40966">
      <w:pPr>
        <w:pStyle w:val="TOC4"/>
        <w:rPr>
          <w:rFonts w:ascii="Times New Roman" w:hAnsi="Times New Roman"/>
          <w:b w:val="0"/>
          <w:sz w:val="24"/>
          <w:szCs w:val="24"/>
        </w:rPr>
      </w:pPr>
      <w:r>
        <w:rPr>
          <w:szCs w:val="26"/>
        </w:rPr>
        <w:t>Protective devices</w:t>
      </w:r>
    </w:p>
    <w:p w:rsidR="00B40966" w:rsidRDefault="00B40966">
      <w:pPr>
        <w:pStyle w:val="TOC5"/>
        <w:rPr>
          <w:rFonts w:ascii="Times New Roman" w:hAnsi="Times New Roman"/>
          <w:sz w:val="24"/>
          <w:szCs w:val="24"/>
        </w:rPr>
      </w:pPr>
      <w:r>
        <w:rPr>
          <w:szCs w:val="24"/>
        </w:rPr>
        <w:tab/>
        <w:t>118G</w:t>
      </w:r>
      <w:r>
        <w:tab/>
      </w:r>
      <w:r>
        <w:tab/>
      </w:r>
      <w:r>
        <w:fldChar w:fldCharType="begin"/>
      </w:r>
      <w:r>
        <w:instrText xml:space="preserve"> PAGEREF _Toc87258061 \h </w:instrText>
      </w:r>
      <w:r>
        <w:fldChar w:fldCharType="separate"/>
      </w:r>
      <w:r w:rsidR="00C67449">
        <w:t>180</w:t>
      </w:r>
      <w:r>
        <w:fldChar w:fldCharType="end"/>
      </w:r>
    </w:p>
    <w:p w:rsidR="00B40966" w:rsidRDefault="00B40966">
      <w:pPr>
        <w:pStyle w:val="TOC4"/>
        <w:rPr>
          <w:rFonts w:ascii="Times New Roman" w:hAnsi="Times New Roman"/>
          <w:b w:val="0"/>
          <w:sz w:val="24"/>
          <w:szCs w:val="24"/>
        </w:rPr>
      </w:pPr>
      <w:r>
        <w:rPr>
          <w:szCs w:val="26"/>
        </w:rPr>
        <w:t>Warning notices</w:t>
      </w:r>
    </w:p>
    <w:p w:rsidR="00B40966" w:rsidRDefault="00B40966">
      <w:pPr>
        <w:pStyle w:val="TOC5"/>
        <w:rPr>
          <w:rFonts w:ascii="Times New Roman" w:hAnsi="Times New Roman"/>
          <w:sz w:val="24"/>
          <w:szCs w:val="24"/>
        </w:rPr>
      </w:pPr>
      <w:r>
        <w:rPr>
          <w:szCs w:val="24"/>
        </w:rPr>
        <w:tab/>
        <w:t>118H</w:t>
      </w:r>
      <w:r>
        <w:tab/>
      </w:r>
      <w:r>
        <w:tab/>
      </w:r>
      <w:r>
        <w:fldChar w:fldCharType="begin"/>
      </w:r>
      <w:r>
        <w:instrText xml:space="preserve"> PAGEREF _Toc87258063 \h </w:instrText>
      </w:r>
      <w:r>
        <w:fldChar w:fldCharType="separate"/>
      </w:r>
      <w:r w:rsidR="00C67449">
        <w:t>180</w:t>
      </w:r>
      <w:r>
        <w:fldChar w:fldCharType="end"/>
      </w:r>
    </w:p>
    <w:p w:rsidR="00B40966" w:rsidRDefault="00B40966">
      <w:pPr>
        <w:pStyle w:val="TOC2"/>
        <w:rPr>
          <w:rFonts w:ascii="Times New Roman" w:hAnsi="Times New Roman"/>
          <w:b w:val="0"/>
          <w:szCs w:val="24"/>
        </w:rPr>
      </w:pPr>
      <w:r>
        <w:t>Part 10</w:t>
      </w:r>
      <w:r>
        <w:rPr>
          <w:rFonts w:ascii="Times New Roman" w:hAnsi="Times New Roman"/>
          <w:b w:val="0"/>
          <w:szCs w:val="24"/>
        </w:rPr>
        <w:tab/>
      </w:r>
      <w:r>
        <w:t>Measures to be taken for securing the health of persons in building work, excavation work and compressed air work by provision of first-aid equipment, shelter, change and dining accommodation, sanitary conveniences and washing facilities</w:t>
      </w:r>
    </w:p>
    <w:p w:rsidR="00B40966" w:rsidRDefault="00B40966">
      <w:pPr>
        <w:pStyle w:val="TOC3"/>
        <w:rPr>
          <w:rFonts w:ascii="Times New Roman" w:hAnsi="Times New Roman"/>
          <w:b w:val="0"/>
          <w:sz w:val="24"/>
          <w:szCs w:val="24"/>
        </w:rPr>
      </w:pPr>
      <w:r>
        <w:t>Division 10.1</w:t>
      </w:r>
      <w:r>
        <w:rPr>
          <w:rFonts w:ascii="Times New Roman" w:hAnsi="Times New Roman"/>
          <w:b w:val="0"/>
          <w:sz w:val="24"/>
          <w:szCs w:val="24"/>
        </w:rPr>
        <w:tab/>
      </w:r>
      <w:r>
        <w:t>First-aid equipment</w:t>
      </w:r>
    </w:p>
    <w:p w:rsidR="00B40966" w:rsidRDefault="00B40966">
      <w:pPr>
        <w:pStyle w:val="TOC5"/>
        <w:rPr>
          <w:rFonts w:ascii="Times New Roman" w:hAnsi="Times New Roman"/>
          <w:sz w:val="24"/>
          <w:szCs w:val="24"/>
        </w:rPr>
      </w:pPr>
      <w:r>
        <w:rPr>
          <w:szCs w:val="24"/>
        </w:rPr>
        <w:tab/>
        <w:t>119</w:t>
      </w:r>
      <w:r>
        <w:tab/>
      </w:r>
      <w:r>
        <w:tab/>
      </w:r>
      <w:r>
        <w:fldChar w:fldCharType="begin"/>
      </w:r>
      <w:r>
        <w:instrText xml:space="preserve"> PAGEREF _Toc87258066 \h </w:instrText>
      </w:r>
      <w:r>
        <w:fldChar w:fldCharType="separate"/>
      </w:r>
      <w:r w:rsidR="00C67449">
        <w:t>181</w:t>
      </w:r>
      <w:r>
        <w:fldChar w:fldCharType="end"/>
      </w:r>
    </w:p>
    <w:p w:rsidR="00B40966" w:rsidRDefault="00B40966">
      <w:pPr>
        <w:pStyle w:val="TOC3"/>
        <w:rPr>
          <w:rFonts w:ascii="Times New Roman" w:hAnsi="Times New Roman"/>
          <w:b w:val="0"/>
          <w:sz w:val="24"/>
          <w:szCs w:val="24"/>
        </w:rPr>
      </w:pPr>
      <w:r>
        <w:t>Division 10.2</w:t>
      </w:r>
      <w:r>
        <w:rPr>
          <w:rFonts w:ascii="Times New Roman" w:hAnsi="Times New Roman"/>
          <w:b w:val="0"/>
          <w:sz w:val="24"/>
          <w:szCs w:val="24"/>
        </w:rPr>
        <w:tab/>
      </w:r>
      <w:r>
        <w:t>Shelter, change and dining accommodation</w:t>
      </w:r>
    </w:p>
    <w:p w:rsidR="00B40966" w:rsidRDefault="00B40966">
      <w:pPr>
        <w:pStyle w:val="TOC5"/>
        <w:rPr>
          <w:rFonts w:ascii="Times New Roman" w:hAnsi="Times New Roman"/>
          <w:sz w:val="24"/>
          <w:szCs w:val="24"/>
        </w:rPr>
      </w:pPr>
      <w:r>
        <w:rPr>
          <w:szCs w:val="24"/>
        </w:rPr>
        <w:tab/>
        <w:t>120</w:t>
      </w:r>
      <w:r>
        <w:tab/>
      </w:r>
      <w:r>
        <w:tab/>
      </w:r>
      <w:r>
        <w:fldChar w:fldCharType="begin"/>
      </w:r>
      <w:r>
        <w:instrText xml:space="preserve"> PAGEREF _Toc87258068 \h </w:instrText>
      </w:r>
      <w:r>
        <w:fldChar w:fldCharType="separate"/>
      </w:r>
      <w:r w:rsidR="00C67449">
        <w:t>188</w:t>
      </w:r>
      <w:r>
        <w:fldChar w:fldCharType="end"/>
      </w:r>
    </w:p>
    <w:p w:rsidR="00B40966" w:rsidRDefault="00B40966">
      <w:pPr>
        <w:pStyle w:val="TOC3"/>
        <w:rPr>
          <w:rFonts w:ascii="Times New Roman" w:hAnsi="Times New Roman"/>
          <w:b w:val="0"/>
          <w:sz w:val="24"/>
          <w:szCs w:val="24"/>
        </w:rPr>
      </w:pPr>
      <w:r>
        <w:t>Division 10.3</w:t>
      </w:r>
      <w:r>
        <w:rPr>
          <w:rFonts w:ascii="Times New Roman" w:hAnsi="Times New Roman"/>
          <w:b w:val="0"/>
          <w:sz w:val="24"/>
          <w:szCs w:val="24"/>
        </w:rPr>
        <w:tab/>
      </w:r>
      <w:r>
        <w:t>Sanitary conveniences and washing facilities</w:t>
      </w:r>
    </w:p>
    <w:p w:rsidR="00B40966" w:rsidRDefault="00B40966">
      <w:pPr>
        <w:pStyle w:val="TOC5"/>
        <w:rPr>
          <w:rFonts w:ascii="Times New Roman" w:hAnsi="Times New Roman"/>
          <w:sz w:val="24"/>
          <w:szCs w:val="24"/>
        </w:rPr>
      </w:pPr>
      <w:r>
        <w:rPr>
          <w:szCs w:val="24"/>
        </w:rPr>
        <w:tab/>
        <w:t>121</w:t>
      </w:r>
      <w:r>
        <w:tab/>
      </w:r>
      <w:r>
        <w:tab/>
      </w:r>
      <w:r>
        <w:fldChar w:fldCharType="begin"/>
      </w:r>
      <w:r>
        <w:instrText xml:space="preserve"> PAGEREF _Toc87258070 \h </w:instrText>
      </w:r>
      <w:r>
        <w:fldChar w:fldCharType="separate"/>
      </w:r>
      <w:r w:rsidR="00C67449">
        <w:t>191</w:t>
      </w:r>
      <w:r>
        <w:fldChar w:fldCharType="end"/>
      </w:r>
    </w:p>
    <w:p w:rsidR="00B40966" w:rsidRDefault="00B40966">
      <w:pPr>
        <w:pStyle w:val="TOC2"/>
        <w:rPr>
          <w:rFonts w:ascii="Times New Roman" w:hAnsi="Times New Roman"/>
          <w:b w:val="0"/>
          <w:szCs w:val="24"/>
        </w:rPr>
      </w:pPr>
      <w:r>
        <w:t>Part 11</w:t>
      </w:r>
      <w:r>
        <w:rPr>
          <w:rFonts w:ascii="Times New Roman" w:hAnsi="Times New Roman"/>
          <w:b w:val="0"/>
          <w:szCs w:val="24"/>
        </w:rPr>
        <w:tab/>
      </w:r>
      <w:r>
        <w:t>Basic requirements about design and construction, erection, use, maintenance, inspection and testing with particular reference to cranes, lifts, hoists, scaffolding and plant</w:t>
      </w:r>
    </w:p>
    <w:p w:rsidR="00B40966" w:rsidRDefault="00B40966">
      <w:pPr>
        <w:pStyle w:val="TOC5"/>
        <w:rPr>
          <w:rFonts w:ascii="Times New Roman" w:hAnsi="Times New Roman"/>
          <w:sz w:val="24"/>
          <w:szCs w:val="24"/>
        </w:rPr>
      </w:pPr>
      <w:r>
        <w:rPr>
          <w:szCs w:val="24"/>
        </w:rPr>
        <w:tab/>
        <w:t>122</w:t>
      </w:r>
      <w:r>
        <w:tab/>
      </w:r>
      <w:r>
        <w:tab/>
      </w:r>
      <w:r>
        <w:fldChar w:fldCharType="begin"/>
      </w:r>
      <w:r>
        <w:instrText xml:space="preserve"> PAGEREF _Toc87258072 \h </w:instrText>
      </w:r>
      <w:r>
        <w:fldChar w:fldCharType="separate"/>
      </w:r>
      <w:r w:rsidR="00C67449">
        <w:t>194</w:t>
      </w:r>
      <w:r>
        <w:fldChar w:fldCharType="end"/>
      </w:r>
    </w:p>
    <w:p w:rsidR="00B40966" w:rsidRDefault="00B40966">
      <w:pPr>
        <w:pStyle w:val="TOC4"/>
        <w:rPr>
          <w:rFonts w:ascii="Times New Roman" w:hAnsi="Times New Roman"/>
          <w:b w:val="0"/>
          <w:sz w:val="24"/>
          <w:szCs w:val="24"/>
        </w:rPr>
      </w:pPr>
      <w:r>
        <w:rPr>
          <w:szCs w:val="26"/>
        </w:rPr>
        <w:t>Wind loads</w:t>
      </w:r>
    </w:p>
    <w:p w:rsidR="00B40966" w:rsidRDefault="00B40966">
      <w:pPr>
        <w:pStyle w:val="TOC5"/>
        <w:rPr>
          <w:rFonts w:ascii="Times New Roman" w:hAnsi="Times New Roman"/>
          <w:sz w:val="24"/>
          <w:szCs w:val="24"/>
        </w:rPr>
      </w:pPr>
      <w:r>
        <w:rPr>
          <w:szCs w:val="24"/>
        </w:rPr>
        <w:tab/>
        <w:t>123</w:t>
      </w:r>
      <w:r>
        <w:tab/>
      </w:r>
      <w:r>
        <w:tab/>
      </w:r>
      <w:r>
        <w:fldChar w:fldCharType="begin"/>
      </w:r>
      <w:r>
        <w:instrText xml:space="preserve"> PAGEREF _Toc87258074 \h </w:instrText>
      </w:r>
      <w:r>
        <w:fldChar w:fldCharType="separate"/>
      </w:r>
      <w:r w:rsidR="00C67449">
        <w:t>206</w:t>
      </w:r>
      <w:r>
        <w:fldChar w:fldCharType="end"/>
      </w:r>
    </w:p>
    <w:p w:rsidR="00B40966" w:rsidRDefault="00B40966">
      <w:pPr>
        <w:pStyle w:val="TOC4"/>
        <w:rPr>
          <w:rFonts w:ascii="Times New Roman" w:hAnsi="Times New Roman"/>
          <w:b w:val="0"/>
          <w:sz w:val="24"/>
          <w:szCs w:val="24"/>
        </w:rPr>
      </w:pPr>
      <w:r>
        <w:t>Horizontal forces (other than those due to wind)</w:t>
      </w:r>
      <w:r>
        <w:rPr>
          <w:rFonts w:ascii="Times New Roman" w:hAnsi="Times New Roman"/>
          <w:b w:val="0"/>
          <w:sz w:val="24"/>
          <w:szCs w:val="24"/>
        </w:rPr>
        <w:t xml:space="preserve"> </w:t>
      </w:r>
    </w:p>
    <w:p w:rsidR="00B40966" w:rsidRDefault="00B40966">
      <w:pPr>
        <w:pStyle w:val="TOC5"/>
        <w:rPr>
          <w:rFonts w:ascii="Times New Roman" w:hAnsi="Times New Roman"/>
          <w:sz w:val="24"/>
          <w:szCs w:val="24"/>
        </w:rPr>
      </w:pPr>
      <w:r>
        <w:rPr>
          <w:szCs w:val="24"/>
        </w:rPr>
        <w:tab/>
        <w:t>124</w:t>
      </w:r>
      <w:r>
        <w:tab/>
      </w:r>
      <w:r>
        <w:tab/>
      </w:r>
      <w:r>
        <w:fldChar w:fldCharType="begin"/>
      </w:r>
      <w:r>
        <w:instrText xml:space="preserve"> PAGEREF _Toc87258076 \h </w:instrText>
      </w:r>
      <w:r>
        <w:fldChar w:fldCharType="separate"/>
      </w:r>
      <w:r w:rsidR="00C67449">
        <w:t>210</w:t>
      </w:r>
      <w:r>
        <w:fldChar w:fldCharType="end"/>
      </w:r>
    </w:p>
    <w:p w:rsidR="00B40966" w:rsidRDefault="00B40966">
      <w:pPr>
        <w:pStyle w:val="TOC4"/>
        <w:rPr>
          <w:rFonts w:ascii="Times New Roman" w:hAnsi="Times New Roman"/>
          <w:b w:val="0"/>
          <w:sz w:val="24"/>
          <w:szCs w:val="24"/>
        </w:rPr>
      </w:pPr>
      <w:r>
        <w:rPr>
          <w:szCs w:val="26"/>
        </w:rPr>
        <w:t>Dynamic and repealed loadings</w:t>
      </w:r>
    </w:p>
    <w:p w:rsidR="00B40966" w:rsidRDefault="00B40966">
      <w:pPr>
        <w:pStyle w:val="TOC5"/>
        <w:rPr>
          <w:rFonts w:ascii="Times New Roman" w:hAnsi="Times New Roman"/>
          <w:sz w:val="24"/>
          <w:szCs w:val="24"/>
        </w:rPr>
      </w:pPr>
      <w:r>
        <w:rPr>
          <w:szCs w:val="24"/>
        </w:rPr>
        <w:tab/>
        <w:t>125</w:t>
      </w:r>
      <w:r>
        <w:tab/>
      </w:r>
      <w:r>
        <w:tab/>
      </w:r>
      <w:r>
        <w:fldChar w:fldCharType="begin"/>
      </w:r>
      <w:r>
        <w:instrText xml:space="preserve"> PAGEREF _Toc87258078 \h </w:instrText>
      </w:r>
      <w:r>
        <w:fldChar w:fldCharType="separate"/>
      </w:r>
      <w:r w:rsidR="00C67449">
        <w:t>211</w:t>
      </w:r>
      <w:r>
        <w:fldChar w:fldCharType="end"/>
      </w:r>
    </w:p>
    <w:p w:rsidR="00B40966" w:rsidRDefault="00B40966">
      <w:pPr>
        <w:pStyle w:val="TOC4"/>
        <w:rPr>
          <w:rFonts w:ascii="Times New Roman" w:hAnsi="Times New Roman"/>
          <w:b w:val="0"/>
          <w:sz w:val="24"/>
          <w:szCs w:val="24"/>
        </w:rPr>
      </w:pPr>
      <w:r>
        <w:rPr>
          <w:szCs w:val="26"/>
        </w:rPr>
        <w:t>Maximum permissible stresses</w:t>
      </w:r>
    </w:p>
    <w:p w:rsidR="00B40966" w:rsidRDefault="00B40966">
      <w:pPr>
        <w:pStyle w:val="TOC5"/>
        <w:rPr>
          <w:rFonts w:ascii="Times New Roman" w:hAnsi="Times New Roman"/>
          <w:sz w:val="24"/>
          <w:szCs w:val="24"/>
        </w:rPr>
      </w:pPr>
      <w:r>
        <w:rPr>
          <w:szCs w:val="24"/>
        </w:rPr>
        <w:tab/>
        <w:t>126</w:t>
      </w:r>
      <w:r>
        <w:tab/>
      </w:r>
      <w:r>
        <w:tab/>
      </w:r>
      <w:r>
        <w:fldChar w:fldCharType="begin"/>
      </w:r>
      <w:r>
        <w:instrText xml:space="preserve"> PAGEREF _Toc87258080 \h </w:instrText>
      </w:r>
      <w:r>
        <w:fldChar w:fldCharType="separate"/>
      </w:r>
      <w:r w:rsidR="00C67449">
        <w:t>212</w:t>
      </w:r>
      <w:r>
        <w:fldChar w:fldCharType="end"/>
      </w:r>
    </w:p>
    <w:p w:rsidR="00B40966" w:rsidRDefault="00B40966">
      <w:pPr>
        <w:pStyle w:val="TOC4"/>
        <w:rPr>
          <w:rFonts w:ascii="Times New Roman" w:hAnsi="Times New Roman"/>
          <w:b w:val="0"/>
          <w:sz w:val="24"/>
          <w:szCs w:val="24"/>
        </w:rPr>
      </w:pPr>
      <w:r>
        <w:rPr>
          <w:szCs w:val="26"/>
        </w:rPr>
        <w:t>General</w:t>
      </w:r>
    </w:p>
    <w:p w:rsidR="00B40966" w:rsidRDefault="00B40966">
      <w:pPr>
        <w:pStyle w:val="TOC5"/>
        <w:rPr>
          <w:rFonts w:ascii="Times New Roman" w:hAnsi="Times New Roman"/>
          <w:sz w:val="24"/>
          <w:szCs w:val="24"/>
        </w:rPr>
      </w:pPr>
      <w:r>
        <w:rPr>
          <w:szCs w:val="24"/>
        </w:rPr>
        <w:tab/>
        <w:t>127</w:t>
      </w:r>
      <w:r>
        <w:tab/>
      </w:r>
      <w:r>
        <w:tab/>
      </w:r>
      <w:r>
        <w:fldChar w:fldCharType="begin"/>
      </w:r>
      <w:r>
        <w:instrText xml:space="preserve"> PAGEREF _Toc87258082 \h </w:instrText>
      </w:r>
      <w:r>
        <w:fldChar w:fldCharType="separate"/>
      </w:r>
      <w:r w:rsidR="00C67449">
        <w:t>236</w:t>
      </w:r>
      <w:r>
        <w:fldChar w:fldCharType="end"/>
      </w:r>
    </w:p>
    <w:p w:rsidR="00B40966" w:rsidRDefault="00B40966">
      <w:pPr>
        <w:pStyle w:val="TOC4"/>
        <w:rPr>
          <w:rFonts w:ascii="Times New Roman" w:hAnsi="Times New Roman"/>
          <w:b w:val="0"/>
          <w:sz w:val="24"/>
          <w:szCs w:val="24"/>
        </w:rPr>
      </w:pPr>
      <w:r>
        <w:rPr>
          <w:szCs w:val="26"/>
        </w:rPr>
        <w:t>Stability</w:t>
      </w:r>
    </w:p>
    <w:p w:rsidR="00B40966" w:rsidRDefault="00B40966">
      <w:pPr>
        <w:pStyle w:val="TOC5"/>
        <w:rPr>
          <w:rFonts w:ascii="Times New Roman" w:hAnsi="Times New Roman"/>
          <w:sz w:val="24"/>
          <w:szCs w:val="24"/>
        </w:rPr>
      </w:pPr>
      <w:r>
        <w:rPr>
          <w:szCs w:val="24"/>
        </w:rPr>
        <w:tab/>
        <w:t>128</w:t>
      </w:r>
      <w:r>
        <w:tab/>
      </w:r>
      <w:r>
        <w:tab/>
      </w:r>
      <w:r>
        <w:fldChar w:fldCharType="begin"/>
      </w:r>
      <w:r>
        <w:instrText xml:space="preserve"> PAGEREF _Toc87258084 \h </w:instrText>
      </w:r>
      <w:r>
        <w:fldChar w:fldCharType="separate"/>
      </w:r>
      <w:r w:rsidR="00C67449">
        <w:t>270</w:t>
      </w:r>
      <w:r>
        <w:fldChar w:fldCharType="end"/>
      </w:r>
    </w:p>
    <w:p w:rsidR="00B40966" w:rsidRDefault="00B40966">
      <w:pPr>
        <w:pStyle w:val="TOC4"/>
        <w:rPr>
          <w:rFonts w:ascii="Times New Roman" w:hAnsi="Times New Roman"/>
          <w:b w:val="0"/>
          <w:sz w:val="24"/>
          <w:szCs w:val="24"/>
        </w:rPr>
      </w:pPr>
      <w:r>
        <w:rPr>
          <w:szCs w:val="26"/>
        </w:rPr>
        <w:t>Test loads</w:t>
      </w:r>
    </w:p>
    <w:p w:rsidR="00B40966" w:rsidRDefault="00B40966">
      <w:pPr>
        <w:pStyle w:val="TOC5"/>
        <w:rPr>
          <w:rFonts w:ascii="Times New Roman" w:hAnsi="Times New Roman"/>
          <w:sz w:val="24"/>
          <w:szCs w:val="24"/>
        </w:rPr>
      </w:pPr>
      <w:r>
        <w:rPr>
          <w:szCs w:val="24"/>
        </w:rPr>
        <w:tab/>
        <w:t>129</w:t>
      </w:r>
      <w:r>
        <w:tab/>
      </w:r>
      <w:r>
        <w:tab/>
      </w:r>
      <w:r>
        <w:fldChar w:fldCharType="begin"/>
      </w:r>
      <w:r>
        <w:instrText xml:space="preserve"> PAGEREF _Toc87258086 \h </w:instrText>
      </w:r>
      <w:r>
        <w:fldChar w:fldCharType="separate"/>
      </w:r>
      <w:r w:rsidR="00C67449">
        <w:t>274</w:t>
      </w:r>
      <w:r>
        <w:fldChar w:fldCharType="end"/>
      </w:r>
    </w:p>
    <w:p w:rsidR="00B40966" w:rsidRDefault="00B40966">
      <w:pPr>
        <w:pStyle w:val="TOC4"/>
        <w:rPr>
          <w:rFonts w:ascii="Times New Roman" w:hAnsi="Times New Roman"/>
          <w:b w:val="0"/>
          <w:sz w:val="24"/>
          <w:szCs w:val="24"/>
        </w:rPr>
      </w:pPr>
      <w:r>
        <w:rPr>
          <w:szCs w:val="26"/>
        </w:rPr>
        <w:t>Mechanical</w:t>
      </w:r>
    </w:p>
    <w:p w:rsidR="00B40966" w:rsidRDefault="00B40966">
      <w:pPr>
        <w:pStyle w:val="TOC5"/>
        <w:rPr>
          <w:rFonts w:ascii="Times New Roman" w:hAnsi="Times New Roman"/>
          <w:sz w:val="24"/>
          <w:szCs w:val="24"/>
        </w:rPr>
      </w:pPr>
      <w:r>
        <w:rPr>
          <w:szCs w:val="24"/>
        </w:rPr>
        <w:tab/>
        <w:t>130</w:t>
      </w:r>
      <w:r>
        <w:tab/>
      </w:r>
      <w:r>
        <w:tab/>
      </w:r>
      <w:r>
        <w:fldChar w:fldCharType="begin"/>
      </w:r>
      <w:r>
        <w:instrText xml:space="preserve"> PAGEREF _Toc87258088 \h </w:instrText>
      </w:r>
      <w:r>
        <w:fldChar w:fldCharType="separate"/>
      </w:r>
      <w:r w:rsidR="00C67449">
        <w:t>275</w:t>
      </w:r>
      <w:r>
        <w:fldChar w:fldCharType="end"/>
      </w:r>
    </w:p>
    <w:p w:rsidR="00B40966" w:rsidRDefault="00B40966">
      <w:pPr>
        <w:pStyle w:val="TOC4"/>
        <w:rPr>
          <w:rFonts w:ascii="Times New Roman" w:hAnsi="Times New Roman"/>
          <w:b w:val="0"/>
          <w:sz w:val="24"/>
          <w:szCs w:val="24"/>
        </w:rPr>
      </w:pPr>
      <w:r>
        <w:rPr>
          <w:szCs w:val="26"/>
        </w:rPr>
        <w:t>Materials</w:t>
      </w:r>
    </w:p>
    <w:p w:rsidR="00B40966" w:rsidRDefault="00B40966">
      <w:pPr>
        <w:pStyle w:val="TOC5"/>
        <w:rPr>
          <w:rFonts w:ascii="Times New Roman" w:hAnsi="Times New Roman"/>
          <w:sz w:val="24"/>
          <w:szCs w:val="24"/>
        </w:rPr>
      </w:pPr>
      <w:r>
        <w:rPr>
          <w:szCs w:val="24"/>
        </w:rPr>
        <w:tab/>
        <w:t>131</w:t>
      </w:r>
      <w:r>
        <w:tab/>
      </w:r>
      <w:r>
        <w:tab/>
      </w:r>
      <w:r>
        <w:fldChar w:fldCharType="begin"/>
      </w:r>
      <w:r>
        <w:instrText xml:space="preserve"> PAGEREF _Toc87258090 \h </w:instrText>
      </w:r>
      <w:r>
        <w:fldChar w:fldCharType="separate"/>
      </w:r>
      <w:r w:rsidR="00C67449">
        <w:t>295</w:t>
      </w:r>
      <w:r>
        <w:fldChar w:fldCharType="end"/>
      </w:r>
    </w:p>
    <w:p w:rsidR="00B40966" w:rsidRDefault="00B40966">
      <w:pPr>
        <w:pStyle w:val="TOC3"/>
        <w:rPr>
          <w:rFonts w:ascii="Times New Roman" w:hAnsi="Times New Roman"/>
          <w:b w:val="0"/>
          <w:sz w:val="24"/>
          <w:szCs w:val="24"/>
        </w:rPr>
      </w:pPr>
      <w:r>
        <w:rPr>
          <w:szCs w:val="28"/>
        </w:rPr>
        <w:t>Fencing—general</w:t>
      </w:r>
    </w:p>
    <w:p w:rsidR="00B40966" w:rsidRDefault="00B40966">
      <w:pPr>
        <w:pStyle w:val="TOC5"/>
        <w:rPr>
          <w:rFonts w:ascii="Times New Roman" w:hAnsi="Times New Roman"/>
          <w:sz w:val="24"/>
          <w:szCs w:val="24"/>
        </w:rPr>
      </w:pPr>
      <w:r>
        <w:rPr>
          <w:szCs w:val="24"/>
        </w:rPr>
        <w:tab/>
        <w:t>132</w:t>
      </w:r>
      <w:r>
        <w:tab/>
      </w:r>
      <w:r>
        <w:tab/>
      </w:r>
      <w:r>
        <w:fldChar w:fldCharType="begin"/>
      </w:r>
      <w:r>
        <w:instrText xml:space="preserve"> PAGEREF _Toc87258092 \h </w:instrText>
      </w:r>
      <w:r>
        <w:fldChar w:fldCharType="separate"/>
      </w:r>
      <w:r w:rsidR="00C67449">
        <w:t>298</w:t>
      </w:r>
      <w:r>
        <w:fldChar w:fldCharType="end"/>
      </w:r>
    </w:p>
    <w:p w:rsidR="00B40966" w:rsidRDefault="00B40966">
      <w:pPr>
        <w:pStyle w:val="TOC4"/>
        <w:rPr>
          <w:rFonts w:ascii="Times New Roman" w:hAnsi="Times New Roman"/>
          <w:b w:val="0"/>
          <w:sz w:val="24"/>
          <w:szCs w:val="24"/>
        </w:rPr>
      </w:pPr>
      <w:r>
        <w:rPr>
          <w:szCs w:val="26"/>
        </w:rPr>
        <w:t>Jointers</w:t>
      </w:r>
    </w:p>
    <w:p w:rsidR="00B40966" w:rsidRDefault="00B40966">
      <w:pPr>
        <w:pStyle w:val="TOC5"/>
        <w:rPr>
          <w:rFonts w:ascii="Times New Roman" w:hAnsi="Times New Roman"/>
          <w:sz w:val="24"/>
          <w:szCs w:val="24"/>
        </w:rPr>
      </w:pPr>
      <w:r>
        <w:rPr>
          <w:szCs w:val="24"/>
        </w:rPr>
        <w:tab/>
        <w:t>132A</w:t>
      </w:r>
      <w:r>
        <w:tab/>
      </w:r>
      <w:r>
        <w:tab/>
      </w:r>
      <w:r>
        <w:fldChar w:fldCharType="begin"/>
      </w:r>
      <w:r>
        <w:instrText xml:space="preserve"> PAGEREF _Toc87258094 \h </w:instrText>
      </w:r>
      <w:r>
        <w:fldChar w:fldCharType="separate"/>
      </w:r>
      <w:r w:rsidR="00C67449">
        <w:t>300</w:t>
      </w:r>
      <w:r>
        <w:fldChar w:fldCharType="end"/>
      </w:r>
    </w:p>
    <w:p w:rsidR="00B40966" w:rsidRDefault="00B40966">
      <w:pPr>
        <w:pStyle w:val="TOC4"/>
        <w:rPr>
          <w:rFonts w:ascii="Times New Roman" w:hAnsi="Times New Roman"/>
          <w:b w:val="0"/>
          <w:sz w:val="24"/>
          <w:szCs w:val="24"/>
        </w:rPr>
      </w:pPr>
      <w:r>
        <w:rPr>
          <w:szCs w:val="26"/>
        </w:rPr>
        <w:t>Electrical</w:t>
      </w:r>
    </w:p>
    <w:p w:rsidR="00B40966" w:rsidRDefault="00B40966">
      <w:pPr>
        <w:pStyle w:val="TOC5"/>
        <w:rPr>
          <w:rFonts w:ascii="Times New Roman" w:hAnsi="Times New Roman"/>
          <w:sz w:val="24"/>
          <w:szCs w:val="24"/>
        </w:rPr>
      </w:pPr>
      <w:r>
        <w:rPr>
          <w:szCs w:val="24"/>
        </w:rPr>
        <w:tab/>
        <w:t>133</w:t>
      </w:r>
      <w:r>
        <w:tab/>
      </w:r>
      <w:r>
        <w:tab/>
      </w:r>
      <w:r>
        <w:fldChar w:fldCharType="begin"/>
      </w:r>
      <w:r>
        <w:instrText xml:space="preserve"> PAGEREF _Toc87258096 \h </w:instrText>
      </w:r>
      <w:r>
        <w:fldChar w:fldCharType="separate"/>
      </w:r>
      <w:r w:rsidR="00C67449">
        <w:t>301</w:t>
      </w:r>
      <w:r>
        <w:fldChar w:fldCharType="end"/>
      </w:r>
    </w:p>
    <w:p w:rsidR="00B40966" w:rsidRDefault="00B40966">
      <w:pPr>
        <w:pStyle w:val="TOC4"/>
        <w:rPr>
          <w:rFonts w:ascii="Times New Roman" w:hAnsi="Times New Roman"/>
          <w:b w:val="0"/>
          <w:sz w:val="24"/>
          <w:szCs w:val="24"/>
        </w:rPr>
      </w:pPr>
      <w:r>
        <w:rPr>
          <w:szCs w:val="26"/>
        </w:rPr>
        <w:t>Stiff-leg derrick cranes</w:t>
      </w:r>
    </w:p>
    <w:p w:rsidR="00B40966" w:rsidRDefault="00B40966">
      <w:pPr>
        <w:pStyle w:val="TOC5"/>
        <w:rPr>
          <w:rFonts w:ascii="Times New Roman" w:hAnsi="Times New Roman"/>
          <w:sz w:val="24"/>
          <w:szCs w:val="24"/>
        </w:rPr>
      </w:pPr>
      <w:r>
        <w:rPr>
          <w:szCs w:val="24"/>
        </w:rPr>
        <w:tab/>
        <w:t>134</w:t>
      </w:r>
      <w:r>
        <w:tab/>
      </w:r>
      <w:r>
        <w:tab/>
      </w:r>
      <w:r>
        <w:fldChar w:fldCharType="begin"/>
      </w:r>
      <w:r>
        <w:instrText xml:space="preserve"> PAGEREF _Toc87258098 \h </w:instrText>
      </w:r>
      <w:r>
        <w:fldChar w:fldCharType="separate"/>
      </w:r>
      <w:r w:rsidR="00C67449">
        <w:t>308</w:t>
      </w:r>
      <w:r>
        <w:fldChar w:fldCharType="end"/>
      </w:r>
    </w:p>
    <w:p w:rsidR="00B40966" w:rsidRDefault="00B40966">
      <w:pPr>
        <w:pStyle w:val="TOC4"/>
        <w:rPr>
          <w:rFonts w:ascii="Times New Roman" w:hAnsi="Times New Roman"/>
          <w:b w:val="0"/>
          <w:sz w:val="24"/>
          <w:szCs w:val="24"/>
        </w:rPr>
      </w:pPr>
      <w:r>
        <w:t>Caterpillar cranes and mobile cranes</w:t>
      </w:r>
    </w:p>
    <w:p w:rsidR="00B40966" w:rsidRDefault="00B40966">
      <w:pPr>
        <w:pStyle w:val="TOC5"/>
        <w:rPr>
          <w:rFonts w:ascii="Times New Roman" w:hAnsi="Times New Roman"/>
          <w:sz w:val="24"/>
          <w:szCs w:val="24"/>
        </w:rPr>
      </w:pPr>
      <w:r>
        <w:rPr>
          <w:szCs w:val="24"/>
        </w:rPr>
        <w:tab/>
        <w:t>135</w:t>
      </w:r>
      <w:r>
        <w:tab/>
      </w:r>
      <w:r>
        <w:tab/>
      </w:r>
      <w:r>
        <w:fldChar w:fldCharType="begin"/>
      </w:r>
      <w:r>
        <w:instrText xml:space="preserve"> PAGEREF _Toc87258100 \h </w:instrText>
      </w:r>
      <w:r>
        <w:fldChar w:fldCharType="separate"/>
      </w:r>
      <w:r w:rsidR="00C67449">
        <w:t>311</w:t>
      </w:r>
      <w:r>
        <w:fldChar w:fldCharType="end"/>
      </w:r>
    </w:p>
    <w:p w:rsidR="00B40966" w:rsidRDefault="00B40966">
      <w:pPr>
        <w:pStyle w:val="TOC3"/>
        <w:rPr>
          <w:rFonts w:ascii="Times New Roman" w:hAnsi="Times New Roman"/>
          <w:b w:val="0"/>
          <w:sz w:val="24"/>
          <w:szCs w:val="24"/>
        </w:rPr>
      </w:pPr>
      <w:r>
        <w:t>Gravity operated overwinding limit devices</w:t>
      </w:r>
    </w:p>
    <w:p w:rsidR="00B40966" w:rsidRDefault="00B40966">
      <w:pPr>
        <w:pStyle w:val="TOC4"/>
        <w:rPr>
          <w:rFonts w:ascii="Times New Roman" w:hAnsi="Times New Roman"/>
          <w:b w:val="0"/>
          <w:sz w:val="24"/>
          <w:szCs w:val="24"/>
        </w:rPr>
      </w:pPr>
      <w:r>
        <w:rPr>
          <w:szCs w:val="26"/>
        </w:rPr>
        <w:t>Electrical</w:t>
      </w:r>
    </w:p>
    <w:p w:rsidR="00B40966" w:rsidRDefault="00B40966">
      <w:pPr>
        <w:pStyle w:val="TOC5"/>
        <w:rPr>
          <w:rFonts w:ascii="Times New Roman" w:hAnsi="Times New Roman"/>
          <w:sz w:val="24"/>
          <w:szCs w:val="24"/>
        </w:rPr>
      </w:pPr>
      <w:r>
        <w:rPr>
          <w:szCs w:val="24"/>
        </w:rPr>
        <w:tab/>
        <w:t>136</w:t>
      </w:r>
      <w:r>
        <w:tab/>
      </w:r>
      <w:r>
        <w:tab/>
      </w:r>
      <w:r>
        <w:fldChar w:fldCharType="begin"/>
      </w:r>
      <w:r>
        <w:instrText xml:space="preserve"> PAGEREF _Toc87258103 \h </w:instrText>
      </w:r>
      <w:r>
        <w:fldChar w:fldCharType="separate"/>
      </w:r>
      <w:r w:rsidR="00C67449">
        <w:t>312</w:t>
      </w:r>
      <w:r>
        <w:fldChar w:fldCharType="end"/>
      </w:r>
    </w:p>
    <w:p w:rsidR="00B40966" w:rsidRDefault="00B40966">
      <w:pPr>
        <w:pStyle w:val="TOC4"/>
        <w:rPr>
          <w:rFonts w:ascii="Times New Roman" w:hAnsi="Times New Roman"/>
          <w:b w:val="0"/>
          <w:sz w:val="24"/>
          <w:szCs w:val="24"/>
        </w:rPr>
      </w:pPr>
      <w:r>
        <w:rPr>
          <w:szCs w:val="26"/>
        </w:rPr>
        <w:t>Fork-lift trucks</w:t>
      </w:r>
    </w:p>
    <w:p w:rsidR="00B40966" w:rsidRDefault="00B40966">
      <w:pPr>
        <w:pStyle w:val="TOC5"/>
        <w:rPr>
          <w:rFonts w:ascii="Times New Roman" w:hAnsi="Times New Roman"/>
          <w:sz w:val="24"/>
          <w:szCs w:val="24"/>
        </w:rPr>
      </w:pPr>
      <w:r>
        <w:rPr>
          <w:szCs w:val="24"/>
        </w:rPr>
        <w:tab/>
        <w:t>137</w:t>
      </w:r>
      <w:r>
        <w:tab/>
      </w:r>
      <w:r>
        <w:tab/>
      </w:r>
      <w:r>
        <w:fldChar w:fldCharType="begin"/>
      </w:r>
      <w:r>
        <w:instrText xml:space="preserve"> PAGEREF _Toc87258105 \h </w:instrText>
      </w:r>
      <w:r>
        <w:fldChar w:fldCharType="separate"/>
      </w:r>
      <w:r w:rsidR="00C67449">
        <w:t>315</w:t>
      </w:r>
      <w:r>
        <w:fldChar w:fldCharType="end"/>
      </w:r>
    </w:p>
    <w:p w:rsidR="00B40966" w:rsidRDefault="00B40966">
      <w:pPr>
        <w:pStyle w:val="TOC4"/>
        <w:rPr>
          <w:rFonts w:ascii="Times New Roman" w:hAnsi="Times New Roman"/>
          <w:b w:val="0"/>
          <w:sz w:val="24"/>
          <w:szCs w:val="24"/>
        </w:rPr>
      </w:pPr>
      <w:r>
        <w:rPr>
          <w:szCs w:val="26"/>
        </w:rPr>
        <w:t>Commercial type hoists</w:t>
      </w:r>
    </w:p>
    <w:p w:rsidR="00B40966" w:rsidRDefault="00B40966">
      <w:pPr>
        <w:pStyle w:val="TOC5"/>
        <w:rPr>
          <w:rFonts w:ascii="Times New Roman" w:hAnsi="Times New Roman"/>
          <w:sz w:val="24"/>
          <w:szCs w:val="24"/>
        </w:rPr>
      </w:pPr>
      <w:r>
        <w:rPr>
          <w:szCs w:val="24"/>
        </w:rPr>
        <w:tab/>
        <w:t>138</w:t>
      </w:r>
      <w:r>
        <w:tab/>
      </w:r>
      <w:r>
        <w:tab/>
      </w:r>
      <w:r>
        <w:fldChar w:fldCharType="begin"/>
      </w:r>
      <w:r>
        <w:instrText xml:space="preserve"> PAGEREF _Toc87258107 \h </w:instrText>
      </w:r>
      <w:r>
        <w:fldChar w:fldCharType="separate"/>
      </w:r>
      <w:r w:rsidR="00C67449">
        <w:t>317</w:t>
      </w:r>
      <w:r>
        <w:fldChar w:fldCharType="end"/>
      </w:r>
    </w:p>
    <w:p w:rsidR="00B40966" w:rsidRDefault="00B40966">
      <w:pPr>
        <w:pStyle w:val="TOC4"/>
        <w:rPr>
          <w:rFonts w:ascii="Times New Roman" w:hAnsi="Times New Roman"/>
          <w:b w:val="0"/>
          <w:sz w:val="24"/>
          <w:szCs w:val="24"/>
        </w:rPr>
      </w:pPr>
      <w:r>
        <w:t>Tower hoists for constructional, building, demolition, or excavation works</w:t>
      </w:r>
    </w:p>
    <w:p w:rsidR="00B40966" w:rsidRDefault="00B40966">
      <w:pPr>
        <w:pStyle w:val="TOC5"/>
        <w:rPr>
          <w:rFonts w:ascii="Times New Roman" w:hAnsi="Times New Roman"/>
          <w:sz w:val="24"/>
          <w:szCs w:val="24"/>
        </w:rPr>
      </w:pPr>
      <w:r>
        <w:rPr>
          <w:szCs w:val="24"/>
        </w:rPr>
        <w:tab/>
        <w:t>139</w:t>
      </w:r>
      <w:r>
        <w:tab/>
      </w:r>
      <w:r>
        <w:tab/>
      </w:r>
      <w:r>
        <w:fldChar w:fldCharType="begin"/>
      </w:r>
      <w:r>
        <w:instrText xml:space="preserve"> PAGEREF _Toc87258109 \h </w:instrText>
      </w:r>
      <w:r>
        <w:fldChar w:fldCharType="separate"/>
      </w:r>
      <w:r w:rsidR="00C67449">
        <w:t>319</w:t>
      </w:r>
      <w:r>
        <w:fldChar w:fldCharType="end"/>
      </w:r>
    </w:p>
    <w:p w:rsidR="00B40966" w:rsidRDefault="00B40966">
      <w:pPr>
        <w:pStyle w:val="TOC4"/>
        <w:rPr>
          <w:rFonts w:ascii="Times New Roman" w:hAnsi="Times New Roman"/>
          <w:b w:val="0"/>
          <w:sz w:val="24"/>
          <w:szCs w:val="24"/>
        </w:rPr>
      </w:pPr>
      <w:r>
        <w:t>Whip or sheerleg hoists for constructional, building, demolition, or excavation works</w:t>
      </w:r>
    </w:p>
    <w:p w:rsidR="00B40966" w:rsidRDefault="00B40966">
      <w:pPr>
        <w:pStyle w:val="TOC5"/>
        <w:rPr>
          <w:rFonts w:ascii="Times New Roman" w:hAnsi="Times New Roman"/>
          <w:sz w:val="24"/>
          <w:szCs w:val="24"/>
        </w:rPr>
      </w:pPr>
      <w:r>
        <w:rPr>
          <w:szCs w:val="24"/>
        </w:rPr>
        <w:tab/>
        <w:t>140</w:t>
      </w:r>
      <w:r>
        <w:tab/>
      </w:r>
      <w:r>
        <w:tab/>
      </w:r>
      <w:r>
        <w:fldChar w:fldCharType="begin"/>
      </w:r>
      <w:r>
        <w:instrText xml:space="preserve"> PAGEREF _Toc87258111 \h </w:instrText>
      </w:r>
      <w:r>
        <w:fldChar w:fldCharType="separate"/>
      </w:r>
      <w:r w:rsidR="00C67449">
        <w:t>327</w:t>
      </w:r>
      <w:r>
        <w:fldChar w:fldCharType="end"/>
      </w:r>
    </w:p>
    <w:p w:rsidR="00B40966" w:rsidRDefault="00B40966">
      <w:pPr>
        <w:pStyle w:val="TOC2"/>
        <w:rPr>
          <w:rFonts w:ascii="Times New Roman" w:hAnsi="Times New Roman"/>
          <w:b w:val="0"/>
          <w:szCs w:val="24"/>
        </w:rPr>
      </w:pPr>
      <w:r>
        <w:t>Part 12</w:t>
      </w:r>
      <w:r>
        <w:rPr>
          <w:rFonts w:ascii="Times New Roman" w:hAnsi="Times New Roman"/>
          <w:b w:val="0"/>
          <w:szCs w:val="24"/>
        </w:rPr>
        <w:tab/>
      </w:r>
      <w:r>
        <w:t>Plant and gear</w:t>
      </w:r>
    </w:p>
    <w:p w:rsidR="00B40966" w:rsidRDefault="00B40966">
      <w:pPr>
        <w:pStyle w:val="TOC4"/>
        <w:rPr>
          <w:rFonts w:ascii="Times New Roman" w:hAnsi="Times New Roman"/>
          <w:b w:val="0"/>
          <w:sz w:val="24"/>
          <w:szCs w:val="24"/>
        </w:rPr>
      </w:pPr>
      <w:r>
        <w:rPr>
          <w:szCs w:val="26"/>
        </w:rPr>
        <w:t>General</w:t>
      </w:r>
    </w:p>
    <w:p w:rsidR="00B40966" w:rsidRDefault="00B40966">
      <w:pPr>
        <w:pStyle w:val="TOC5"/>
        <w:rPr>
          <w:rFonts w:ascii="Times New Roman" w:hAnsi="Times New Roman"/>
          <w:sz w:val="24"/>
          <w:szCs w:val="24"/>
        </w:rPr>
      </w:pPr>
      <w:r>
        <w:rPr>
          <w:szCs w:val="24"/>
        </w:rPr>
        <w:tab/>
        <w:t>141</w:t>
      </w:r>
      <w:r>
        <w:tab/>
      </w:r>
      <w:r>
        <w:tab/>
      </w:r>
      <w:r>
        <w:fldChar w:fldCharType="begin"/>
      </w:r>
      <w:r>
        <w:instrText xml:space="preserve"> PAGEREF _Toc87258114 \h </w:instrText>
      </w:r>
      <w:r>
        <w:fldChar w:fldCharType="separate"/>
      </w:r>
      <w:r w:rsidR="00C67449">
        <w:t>330</w:t>
      </w:r>
      <w:r>
        <w:fldChar w:fldCharType="end"/>
      </w:r>
    </w:p>
    <w:p w:rsidR="00B40966" w:rsidRDefault="00B40966">
      <w:pPr>
        <w:pStyle w:val="TOC3"/>
        <w:rPr>
          <w:rFonts w:ascii="Times New Roman" w:hAnsi="Times New Roman"/>
          <w:b w:val="0"/>
          <w:sz w:val="24"/>
          <w:szCs w:val="24"/>
        </w:rPr>
      </w:pPr>
      <w:r>
        <w:rPr>
          <w:szCs w:val="28"/>
        </w:rPr>
        <w:t>Ladders</w:t>
      </w:r>
    </w:p>
    <w:p w:rsidR="00B40966" w:rsidRDefault="00B40966">
      <w:pPr>
        <w:pStyle w:val="TOC4"/>
        <w:rPr>
          <w:rFonts w:ascii="Times New Roman" w:hAnsi="Times New Roman"/>
          <w:b w:val="0"/>
          <w:sz w:val="24"/>
          <w:szCs w:val="24"/>
        </w:rPr>
      </w:pPr>
      <w:r>
        <w:rPr>
          <w:szCs w:val="26"/>
        </w:rPr>
        <w:t>Definitions</w:t>
      </w:r>
    </w:p>
    <w:p w:rsidR="00B40966" w:rsidRDefault="00B40966">
      <w:pPr>
        <w:pStyle w:val="TOC5"/>
        <w:rPr>
          <w:rFonts w:ascii="Times New Roman" w:hAnsi="Times New Roman"/>
          <w:sz w:val="24"/>
          <w:szCs w:val="24"/>
        </w:rPr>
      </w:pPr>
      <w:r>
        <w:rPr>
          <w:szCs w:val="24"/>
        </w:rPr>
        <w:tab/>
        <w:t>142</w:t>
      </w:r>
      <w:r>
        <w:tab/>
      </w:r>
      <w:r>
        <w:tab/>
      </w:r>
      <w:r>
        <w:fldChar w:fldCharType="begin"/>
      </w:r>
      <w:r>
        <w:instrText xml:space="preserve"> PAGEREF _Toc87258117 \h </w:instrText>
      </w:r>
      <w:r>
        <w:fldChar w:fldCharType="separate"/>
      </w:r>
      <w:r w:rsidR="00C67449">
        <w:t>330</w:t>
      </w:r>
      <w:r>
        <w:fldChar w:fldCharType="end"/>
      </w:r>
    </w:p>
    <w:p w:rsidR="00B40966" w:rsidRDefault="00B40966">
      <w:pPr>
        <w:pStyle w:val="TOC4"/>
        <w:rPr>
          <w:rFonts w:ascii="Times New Roman" w:hAnsi="Times New Roman"/>
          <w:b w:val="0"/>
          <w:sz w:val="24"/>
          <w:szCs w:val="24"/>
        </w:rPr>
      </w:pPr>
      <w:r>
        <w:t>Chain for use in connection with cranes, lifts, hoists, scaffolding, plant, gear, or building work, excavation work, or compressed air work</w:t>
      </w:r>
    </w:p>
    <w:p w:rsidR="00B40966" w:rsidRDefault="00B40966">
      <w:pPr>
        <w:pStyle w:val="TOC5"/>
        <w:rPr>
          <w:rFonts w:ascii="Times New Roman" w:hAnsi="Times New Roman"/>
          <w:sz w:val="24"/>
          <w:szCs w:val="24"/>
        </w:rPr>
      </w:pPr>
      <w:r>
        <w:rPr>
          <w:szCs w:val="24"/>
        </w:rPr>
        <w:tab/>
        <w:t>143</w:t>
      </w:r>
      <w:r>
        <w:tab/>
      </w:r>
      <w:r>
        <w:tab/>
      </w:r>
      <w:r>
        <w:fldChar w:fldCharType="begin"/>
      </w:r>
      <w:r>
        <w:instrText xml:space="preserve"> PAGEREF _Toc87258119 \h </w:instrText>
      </w:r>
      <w:r>
        <w:fldChar w:fldCharType="separate"/>
      </w:r>
      <w:r w:rsidR="00C67449">
        <w:t>350</w:t>
      </w:r>
      <w:r>
        <w:fldChar w:fldCharType="end"/>
      </w:r>
    </w:p>
    <w:p w:rsidR="00B40966" w:rsidRDefault="00B40966">
      <w:pPr>
        <w:pStyle w:val="TOC4"/>
        <w:rPr>
          <w:rFonts w:ascii="Times New Roman" w:hAnsi="Times New Roman"/>
          <w:b w:val="0"/>
          <w:sz w:val="24"/>
          <w:szCs w:val="24"/>
        </w:rPr>
      </w:pPr>
      <w:r>
        <w:t>Steel wire ropes for use in connection with cranes, lifts, hoists, scaffolding, plant, gear, or building work, excavation work, or compressed air work</w:t>
      </w:r>
    </w:p>
    <w:p w:rsidR="00B40966" w:rsidRDefault="00B40966">
      <w:pPr>
        <w:pStyle w:val="TOC5"/>
        <w:rPr>
          <w:rFonts w:ascii="Times New Roman" w:hAnsi="Times New Roman"/>
          <w:sz w:val="24"/>
          <w:szCs w:val="24"/>
        </w:rPr>
      </w:pPr>
      <w:r>
        <w:rPr>
          <w:szCs w:val="24"/>
        </w:rPr>
        <w:tab/>
        <w:t>144</w:t>
      </w:r>
      <w:r>
        <w:tab/>
      </w:r>
      <w:r>
        <w:tab/>
      </w:r>
      <w:r>
        <w:fldChar w:fldCharType="begin"/>
      </w:r>
      <w:r>
        <w:instrText xml:space="preserve"> PAGEREF _Toc87258121 \h </w:instrText>
      </w:r>
      <w:r>
        <w:fldChar w:fldCharType="separate"/>
      </w:r>
      <w:r w:rsidR="00C67449">
        <w:t>363</w:t>
      </w:r>
      <w:r>
        <w:fldChar w:fldCharType="end"/>
      </w:r>
    </w:p>
    <w:p w:rsidR="00B40966" w:rsidRDefault="00B40966">
      <w:pPr>
        <w:pStyle w:val="TOC4"/>
        <w:rPr>
          <w:rFonts w:ascii="Times New Roman" w:hAnsi="Times New Roman"/>
          <w:b w:val="0"/>
          <w:sz w:val="24"/>
          <w:szCs w:val="24"/>
        </w:rPr>
      </w:pPr>
      <w:r>
        <w:t>Fibre rope for use in connection with cranes, lifts, hoists, scaffolding, plant, gear, or building work, excavation work, or compressed air work</w:t>
      </w:r>
    </w:p>
    <w:p w:rsidR="00B40966" w:rsidRDefault="00B40966">
      <w:pPr>
        <w:pStyle w:val="TOC5"/>
        <w:rPr>
          <w:rFonts w:ascii="Times New Roman" w:hAnsi="Times New Roman"/>
          <w:sz w:val="24"/>
          <w:szCs w:val="24"/>
        </w:rPr>
      </w:pPr>
      <w:r>
        <w:rPr>
          <w:szCs w:val="24"/>
        </w:rPr>
        <w:tab/>
        <w:t>145</w:t>
      </w:r>
      <w:r>
        <w:tab/>
      </w:r>
      <w:r>
        <w:tab/>
      </w:r>
      <w:r>
        <w:fldChar w:fldCharType="begin"/>
      </w:r>
      <w:r>
        <w:instrText xml:space="preserve"> PAGEREF _Toc87258123 \h </w:instrText>
      </w:r>
      <w:r>
        <w:fldChar w:fldCharType="separate"/>
      </w:r>
      <w:r w:rsidR="00C67449">
        <w:t>402</w:t>
      </w:r>
      <w:r>
        <w:fldChar w:fldCharType="end"/>
      </w:r>
    </w:p>
    <w:p w:rsidR="00B40966" w:rsidRDefault="00B40966">
      <w:pPr>
        <w:pStyle w:val="TOC4"/>
        <w:rPr>
          <w:rFonts w:ascii="Times New Roman" w:hAnsi="Times New Roman"/>
          <w:b w:val="0"/>
          <w:sz w:val="24"/>
          <w:szCs w:val="24"/>
        </w:rPr>
      </w:pPr>
      <w:r>
        <w:rPr>
          <w:szCs w:val="26"/>
        </w:rPr>
        <w:t>Airlocks</w:t>
      </w:r>
    </w:p>
    <w:p w:rsidR="00B40966" w:rsidRDefault="00B40966">
      <w:pPr>
        <w:pStyle w:val="TOC5"/>
        <w:rPr>
          <w:rFonts w:ascii="Times New Roman" w:hAnsi="Times New Roman"/>
          <w:sz w:val="24"/>
          <w:szCs w:val="24"/>
        </w:rPr>
      </w:pPr>
      <w:r>
        <w:rPr>
          <w:szCs w:val="24"/>
        </w:rPr>
        <w:tab/>
        <w:t>146</w:t>
      </w:r>
      <w:r>
        <w:tab/>
      </w:r>
      <w:r>
        <w:tab/>
      </w:r>
      <w:r>
        <w:fldChar w:fldCharType="begin"/>
      </w:r>
      <w:r>
        <w:instrText xml:space="preserve"> PAGEREF _Toc87258125 \h </w:instrText>
      </w:r>
      <w:r>
        <w:fldChar w:fldCharType="separate"/>
      </w:r>
      <w:r w:rsidR="00C67449">
        <w:t>406</w:t>
      </w:r>
      <w:r>
        <w:fldChar w:fldCharType="end"/>
      </w:r>
    </w:p>
    <w:p w:rsidR="00B40966" w:rsidRDefault="00B40966">
      <w:pPr>
        <w:pStyle w:val="TOC4"/>
        <w:rPr>
          <w:rFonts w:ascii="Times New Roman" w:hAnsi="Times New Roman"/>
          <w:b w:val="0"/>
          <w:sz w:val="24"/>
          <w:szCs w:val="24"/>
        </w:rPr>
      </w:pPr>
      <w:r>
        <w:rPr>
          <w:szCs w:val="26"/>
        </w:rPr>
        <w:t>Bordeaux connections</w:t>
      </w:r>
    </w:p>
    <w:p w:rsidR="00B40966" w:rsidRDefault="00B40966">
      <w:pPr>
        <w:pStyle w:val="TOC5"/>
        <w:rPr>
          <w:rFonts w:ascii="Times New Roman" w:hAnsi="Times New Roman"/>
          <w:sz w:val="24"/>
          <w:szCs w:val="24"/>
        </w:rPr>
      </w:pPr>
      <w:r>
        <w:rPr>
          <w:szCs w:val="24"/>
        </w:rPr>
        <w:tab/>
        <w:t>147</w:t>
      </w:r>
      <w:r>
        <w:tab/>
      </w:r>
      <w:r>
        <w:tab/>
      </w:r>
      <w:r>
        <w:fldChar w:fldCharType="begin"/>
      </w:r>
      <w:r>
        <w:instrText xml:space="preserve"> PAGEREF _Toc87258127 \h </w:instrText>
      </w:r>
      <w:r>
        <w:fldChar w:fldCharType="separate"/>
      </w:r>
      <w:r w:rsidR="00C67449">
        <w:t>406</w:t>
      </w:r>
      <w:r>
        <w:fldChar w:fldCharType="end"/>
      </w:r>
    </w:p>
    <w:p w:rsidR="00B40966" w:rsidRDefault="00B40966">
      <w:pPr>
        <w:pStyle w:val="TOC4"/>
        <w:rPr>
          <w:rFonts w:ascii="Times New Roman" w:hAnsi="Times New Roman"/>
          <w:b w:val="0"/>
          <w:sz w:val="24"/>
          <w:szCs w:val="24"/>
        </w:rPr>
      </w:pPr>
      <w:r>
        <w:rPr>
          <w:szCs w:val="26"/>
        </w:rPr>
        <w:t>Sockets for wire ropes</w:t>
      </w:r>
    </w:p>
    <w:p w:rsidR="00B40966" w:rsidRDefault="00B40966">
      <w:pPr>
        <w:pStyle w:val="TOC5"/>
        <w:rPr>
          <w:rFonts w:ascii="Times New Roman" w:hAnsi="Times New Roman"/>
          <w:sz w:val="24"/>
          <w:szCs w:val="24"/>
        </w:rPr>
      </w:pPr>
      <w:r>
        <w:rPr>
          <w:szCs w:val="24"/>
        </w:rPr>
        <w:tab/>
        <w:t>148</w:t>
      </w:r>
      <w:r>
        <w:tab/>
      </w:r>
      <w:r>
        <w:tab/>
      </w:r>
      <w:r>
        <w:fldChar w:fldCharType="begin"/>
      </w:r>
      <w:r>
        <w:instrText xml:space="preserve"> PAGEREF _Toc87258129 \h </w:instrText>
      </w:r>
      <w:r>
        <w:fldChar w:fldCharType="separate"/>
      </w:r>
      <w:r w:rsidR="00C67449">
        <w:t>406</w:t>
      </w:r>
      <w:r>
        <w:fldChar w:fldCharType="end"/>
      </w:r>
    </w:p>
    <w:p w:rsidR="00B40966" w:rsidRDefault="00B40966">
      <w:pPr>
        <w:pStyle w:val="TOC4"/>
        <w:rPr>
          <w:rFonts w:ascii="Times New Roman" w:hAnsi="Times New Roman"/>
          <w:b w:val="0"/>
          <w:sz w:val="24"/>
          <w:szCs w:val="24"/>
        </w:rPr>
      </w:pPr>
      <w:r>
        <w:rPr>
          <w:szCs w:val="26"/>
        </w:rPr>
        <w:t>Thimbles for wire and fibre rope</w:t>
      </w:r>
    </w:p>
    <w:p w:rsidR="00B40966" w:rsidRDefault="00B40966">
      <w:pPr>
        <w:pStyle w:val="TOC5"/>
        <w:rPr>
          <w:rFonts w:ascii="Times New Roman" w:hAnsi="Times New Roman"/>
          <w:sz w:val="24"/>
          <w:szCs w:val="24"/>
        </w:rPr>
      </w:pPr>
      <w:r>
        <w:rPr>
          <w:szCs w:val="24"/>
        </w:rPr>
        <w:tab/>
        <w:t>149</w:t>
      </w:r>
      <w:r>
        <w:tab/>
      </w:r>
      <w:r>
        <w:tab/>
      </w:r>
      <w:r>
        <w:fldChar w:fldCharType="begin"/>
      </w:r>
      <w:r>
        <w:instrText xml:space="preserve"> PAGEREF _Toc87258131 \h </w:instrText>
      </w:r>
      <w:r>
        <w:fldChar w:fldCharType="separate"/>
      </w:r>
      <w:r w:rsidR="00C67449">
        <w:t>406</w:t>
      </w:r>
      <w:r>
        <w:fldChar w:fldCharType="end"/>
      </w:r>
    </w:p>
    <w:p w:rsidR="00B40966" w:rsidRDefault="00B40966">
      <w:pPr>
        <w:pStyle w:val="TOC4"/>
        <w:rPr>
          <w:rFonts w:ascii="Times New Roman" w:hAnsi="Times New Roman"/>
          <w:b w:val="0"/>
          <w:sz w:val="24"/>
          <w:szCs w:val="24"/>
        </w:rPr>
      </w:pPr>
      <w:r>
        <w:rPr>
          <w:szCs w:val="26"/>
        </w:rPr>
        <w:t>Steel eye bolts</w:t>
      </w:r>
    </w:p>
    <w:p w:rsidR="00B40966" w:rsidRDefault="00B40966">
      <w:pPr>
        <w:pStyle w:val="TOC5"/>
        <w:rPr>
          <w:rFonts w:ascii="Times New Roman" w:hAnsi="Times New Roman"/>
          <w:sz w:val="24"/>
          <w:szCs w:val="24"/>
        </w:rPr>
      </w:pPr>
      <w:r>
        <w:rPr>
          <w:szCs w:val="24"/>
        </w:rPr>
        <w:tab/>
        <w:t>150</w:t>
      </w:r>
      <w:r>
        <w:tab/>
      </w:r>
      <w:r>
        <w:tab/>
      </w:r>
      <w:r>
        <w:fldChar w:fldCharType="begin"/>
      </w:r>
      <w:r>
        <w:instrText xml:space="preserve"> PAGEREF _Toc87258133 \h </w:instrText>
      </w:r>
      <w:r>
        <w:fldChar w:fldCharType="separate"/>
      </w:r>
      <w:r w:rsidR="00C67449">
        <w:t>407</w:t>
      </w:r>
      <w:r>
        <w:fldChar w:fldCharType="end"/>
      </w:r>
    </w:p>
    <w:p w:rsidR="00B40966" w:rsidRDefault="00B40966">
      <w:pPr>
        <w:pStyle w:val="TOC4"/>
        <w:rPr>
          <w:rFonts w:ascii="Times New Roman" w:hAnsi="Times New Roman"/>
          <w:b w:val="0"/>
          <w:sz w:val="24"/>
          <w:szCs w:val="24"/>
        </w:rPr>
      </w:pPr>
      <w:r>
        <w:t>Mild steel rigging screws, and stretching screws and turnbuckles</w:t>
      </w:r>
    </w:p>
    <w:p w:rsidR="00B40966" w:rsidRDefault="00B40966">
      <w:pPr>
        <w:pStyle w:val="TOC5"/>
        <w:rPr>
          <w:rFonts w:ascii="Times New Roman" w:hAnsi="Times New Roman"/>
          <w:sz w:val="24"/>
          <w:szCs w:val="24"/>
        </w:rPr>
      </w:pPr>
      <w:r>
        <w:rPr>
          <w:szCs w:val="24"/>
        </w:rPr>
        <w:tab/>
        <w:t>151</w:t>
      </w:r>
      <w:r>
        <w:tab/>
      </w:r>
      <w:r>
        <w:tab/>
      </w:r>
      <w:r>
        <w:fldChar w:fldCharType="begin"/>
      </w:r>
      <w:r>
        <w:instrText xml:space="preserve"> PAGEREF _Toc87258135 \h </w:instrText>
      </w:r>
      <w:r>
        <w:fldChar w:fldCharType="separate"/>
      </w:r>
      <w:r w:rsidR="00C67449">
        <w:t>407</w:t>
      </w:r>
      <w:r>
        <w:fldChar w:fldCharType="end"/>
      </w:r>
    </w:p>
    <w:p w:rsidR="00B40966" w:rsidRDefault="00B40966">
      <w:pPr>
        <w:pStyle w:val="TOC4"/>
        <w:rPr>
          <w:rFonts w:ascii="Times New Roman" w:hAnsi="Times New Roman"/>
          <w:b w:val="0"/>
          <w:sz w:val="24"/>
          <w:szCs w:val="24"/>
        </w:rPr>
      </w:pPr>
      <w:r>
        <w:rPr>
          <w:szCs w:val="26"/>
        </w:rPr>
        <w:t>Mild steel shackles</w:t>
      </w:r>
    </w:p>
    <w:p w:rsidR="00B40966" w:rsidRDefault="00B40966">
      <w:pPr>
        <w:pStyle w:val="TOC5"/>
        <w:rPr>
          <w:rFonts w:ascii="Times New Roman" w:hAnsi="Times New Roman"/>
          <w:sz w:val="24"/>
          <w:szCs w:val="24"/>
        </w:rPr>
      </w:pPr>
      <w:r>
        <w:rPr>
          <w:szCs w:val="24"/>
        </w:rPr>
        <w:tab/>
        <w:t>152</w:t>
      </w:r>
      <w:r>
        <w:tab/>
      </w:r>
      <w:r>
        <w:tab/>
      </w:r>
      <w:r>
        <w:fldChar w:fldCharType="begin"/>
      </w:r>
      <w:r>
        <w:instrText xml:space="preserve"> PAGEREF _Toc87258137 \h </w:instrText>
      </w:r>
      <w:r>
        <w:fldChar w:fldCharType="separate"/>
      </w:r>
      <w:r w:rsidR="00C67449">
        <w:t>407</w:t>
      </w:r>
      <w:r>
        <w:fldChar w:fldCharType="end"/>
      </w:r>
    </w:p>
    <w:p w:rsidR="00B40966" w:rsidRDefault="00B40966">
      <w:pPr>
        <w:pStyle w:val="TOC4"/>
        <w:rPr>
          <w:rFonts w:ascii="Times New Roman" w:hAnsi="Times New Roman"/>
          <w:b w:val="0"/>
          <w:sz w:val="24"/>
          <w:szCs w:val="24"/>
        </w:rPr>
      </w:pPr>
      <w:r>
        <w:t>Rings, links alternative to rings, egg links and Intermediate links</w:t>
      </w:r>
    </w:p>
    <w:p w:rsidR="00B40966" w:rsidRDefault="00B40966">
      <w:pPr>
        <w:pStyle w:val="TOC5"/>
        <w:rPr>
          <w:rFonts w:ascii="Times New Roman" w:hAnsi="Times New Roman"/>
          <w:sz w:val="24"/>
          <w:szCs w:val="24"/>
        </w:rPr>
      </w:pPr>
      <w:r>
        <w:rPr>
          <w:szCs w:val="24"/>
        </w:rPr>
        <w:tab/>
        <w:t>153</w:t>
      </w:r>
      <w:r>
        <w:tab/>
      </w:r>
      <w:r>
        <w:tab/>
      </w:r>
      <w:r>
        <w:fldChar w:fldCharType="begin"/>
      </w:r>
      <w:r>
        <w:instrText xml:space="preserve"> PAGEREF _Toc87258139 \h </w:instrText>
      </w:r>
      <w:r>
        <w:fldChar w:fldCharType="separate"/>
      </w:r>
      <w:r w:rsidR="00C67449">
        <w:t>408</w:t>
      </w:r>
      <w:r>
        <w:fldChar w:fldCharType="end"/>
      </w:r>
    </w:p>
    <w:p w:rsidR="00B40966" w:rsidRDefault="00B40966">
      <w:pPr>
        <w:pStyle w:val="TOC4"/>
        <w:rPr>
          <w:rFonts w:ascii="Times New Roman" w:hAnsi="Times New Roman"/>
          <w:b w:val="0"/>
          <w:sz w:val="24"/>
          <w:szCs w:val="24"/>
        </w:rPr>
      </w:pPr>
      <w:r>
        <w:rPr>
          <w:szCs w:val="26"/>
        </w:rPr>
        <w:t>Handrails</w:t>
      </w:r>
    </w:p>
    <w:p w:rsidR="00B40966" w:rsidRDefault="00B40966">
      <w:pPr>
        <w:pStyle w:val="TOC5"/>
        <w:rPr>
          <w:rFonts w:ascii="Times New Roman" w:hAnsi="Times New Roman"/>
          <w:sz w:val="24"/>
          <w:szCs w:val="24"/>
        </w:rPr>
      </w:pPr>
      <w:r>
        <w:rPr>
          <w:szCs w:val="24"/>
        </w:rPr>
        <w:tab/>
        <w:t>154</w:t>
      </w:r>
      <w:r>
        <w:tab/>
      </w:r>
      <w:r>
        <w:tab/>
      </w:r>
      <w:r>
        <w:fldChar w:fldCharType="begin"/>
      </w:r>
      <w:r>
        <w:instrText xml:space="preserve"> PAGEREF _Toc87258141 \h </w:instrText>
      </w:r>
      <w:r>
        <w:fldChar w:fldCharType="separate"/>
      </w:r>
      <w:r w:rsidR="00C67449">
        <w:t>408</w:t>
      </w:r>
      <w:r>
        <w:fldChar w:fldCharType="end"/>
      </w:r>
    </w:p>
    <w:p w:rsidR="00B40966" w:rsidRDefault="00B40966">
      <w:pPr>
        <w:pStyle w:val="TOC4"/>
        <w:rPr>
          <w:rFonts w:ascii="Times New Roman" w:hAnsi="Times New Roman"/>
          <w:b w:val="0"/>
          <w:sz w:val="24"/>
          <w:szCs w:val="24"/>
        </w:rPr>
      </w:pPr>
      <w:r>
        <w:rPr>
          <w:szCs w:val="26"/>
        </w:rPr>
        <w:t>Rope clips</w:t>
      </w:r>
    </w:p>
    <w:p w:rsidR="00B40966" w:rsidRDefault="00B40966">
      <w:pPr>
        <w:pStyle w:val="TOC5"/>
        <w:rPr>
          <w:rFonts w:ascii="Times New Roman" w:hAnsi="Times New Roman"/>
          <w:sz w:val="24"/>
          <w:szCs w:val="24"/>
        </w:rPr>
      </w:pPr>
      <w:r>
        <w:rPr>
          <w:szCs w:val="24"/>
        </w:rPr>
        <w:tab/>
        <w:t>155</w:t>
      </w:r>
      <w:r>
        <w:tab/>
      </w:r>
      <w:r>
        <w:tab/>
      </w:r>
      <w:r>
        <w:fldChar w:fldCharType="begin"/>
      </w:r>
      <w:r>
        <w:instrText xml:space="preserve"> PAGEREF _Toc87258143 \h </w:instrText>
      </w:r>
      <w:r>
        <w:fldChar w:fldCharType="separate"/>
      </w:r>
      <w:r w:rsidR="00C67449">
        <w:t>409</w:t>
      </w:r>
      <w:r>
        <w:fldChar w:fldCharType="end"/>
      </w:r>
    </w:p>
    <w:p w:rsidR="00B40966" w:rsidRDefault="00B40966">
      <w:pPr>
        <w:pStyle w:val="TOC4"/>
        <w:rPr>
          <w:rFonts w:ascii="Times New Roman" w:hAnsi="Times New Roman"/>
          <w:b w:val="0"/>
          <w:sz w:val="24"/>
          <w:szCs w:val="24"/>
        </w:rPr>
      </w:pPr>
      <w:r>
        <w:rPr>
          <w:szCs w:val="26"/>
        </w:rPr>
        <w:t>Gin blocks used with fibre rope</w:t>
      </w:r>
    </w:p>
    <w:p w:rsidR="00B40966" w:rsidRDefault="00B40966">
      <w:pPr>
        <w:pStyle w:val="TOC5"/>
        <w:rPr>
          <w:rFonts w:ascii="Times New Roman" w:hAnsi="Times New Roman"/>
          <w:sz w:val="24"/>
          <w:szCs w:val="24"/>
        </w:rPr>
      </w:pPr>
      <w:r>
        <w:rPr>
          <w:szCs w:val="24"/>
        </w:rPr>
        <w:tab/>
        <w:t>156</w:t>
      </w:r>
      <w:r>
        <w:tab/>
      </w:r>
      <w:r>
        <w:tab/>
      </w:r>
      <w:r>
        <w:fldChar w:fldCharType="begin"/>
      </w:r>
      <w:r>
        <w:instrText xml:space="preserve"> PAGEREF _Toc87258145 \h </w:instrText>
      </w:r>
      <w:r>
        <w:fldChar w:fldCharType="separate"/>
      </w:r>
      <w:r w:rsidR="00C67449">
        <w:t>409</w:t>
      </w:r>
      <w:r>
        <w:fldChar w:fldCharType="end"/>
      </w:r>
    </w:p>
    <w:p w:rsidR="00B40966" w:rsidRDefault="00B40966">
      <w:pPr>
        <w:pStyle w:val="TOC4"/>
        <w:rPr>
          <w:rFonts w:ascii="Times New Roman" w:hAnsi="Times New Roman"/>
          <w:b w:val="0"/>
          <w:sz w:val="24"/>
          <w:szCs w:val="24"/>
        </w:rPr>
      </w:pPr>
      <w:r>
        <w:rPr>
          <w:szCs w:val="26"/>
        </w:rPr>
        <w:t>Lift boxes</w:t>
      </w:r>
    </w:p>
    <w:p w:rsidR="00B40966" w:rsidRDefault="00B40966">
      <w:pPr>
        <w:pStyle w:val="TOC5"/>
        <w:rPr>
          <w:rFonts w:ascii="Times New Roman" w:hAnsi="Times New Roman"/>
          <w:sz w:val="24"/>
          <w:szCs w:val="24"/>
        </w:rPr>
      </w:pPr>
      <w:r>
        <w:rPr>
          <w:szCs w:val="24"/>
        </w:rPr>
        <w:tab/>
        <w:t>157</w:t>
      </w:r>
      <w:r>
        <w:tab/>
      </w:r>
      <w:r>
        <w:tab/>
      </w:r>
      <w:r>
        <w:fldChar w:fldCharType="begin"/>
      </w:r>
      <w:r>
        <w:instrText xml:space="preserve"> PAGEREF _Toc87258147 \h </w:instrText>
      </w:r>
      <w:r>
        <w:fldChar w:fldCharType="separate"/>
      </w:r>
      <w:r w:rsidR="00C67449">
        <w:t>410</w:t>
      </w:r>
      <w:r>
        <w:fldChar w:fldCharType="end"/>
      </w:r>
    </w:p>
    <w:p w:rsidR="00B40966" w:rsidRDefault="00B40966">
      <w:pPr>
        <w:pStyle w:val="TOC2"/>
        <w:rPr>
          <w:rFonts w:ascii="Times New Roman" w:hAnsi="Times New Roman"/>
          <w:b w:val="0"/>
          <w:szCs w:val="24"/>
        </w:rPr>
      </w:pPr>
      <w:r>
        <w:t>Part 13</w:t>
      </w:r>
      <w:r>
        <w:rPr>
          <w:rFonts w:ascii="Times New Roman" w:hAnsi="Times New Roman"/>
          <w:b w:val="0"/>
          <w:szCs w:val="24"/>
        </w:rPr>
        <w:tab/>
      </w:r>
      <w:r>
        <w:t>Precautions and measures to be taken for securing the safety of persons in connection with roofs sheathed with asbestos cement or other brittle material</w:t>
      </w:r>
    </w:p>
    <w:p w:rsidR="00B40966" w:rsidRDefault="00B40966">
      <w:pPr>
        <w:pStyle w:val="TOC5"/>
        <w:rPr>
          <w:rFonts w:ascii="Times New Roman" w:hAnsi="Times New Roman"/>
          <w:sz w:val="24"/>
          <w:szCs w:val="24"/>
        </w:rPr>
      </w:pPr>
      <w:r>
        <w:rPr>
          <w:szCs w:val="24"/>
        </w:rPr>
        <w:tab/>
        <w:t>158</w:t>
      </w:r>
      <w:r>
        <w:tab/>
      </w:r>
      <w:r>
        <w:tab/>
      </w:r>
      <w:r>
        <w:fldChar w:fldCharType="begin"/>
      </w:r>
      <w:r>
        <w:instrText xml:space="preserve"> PAGEREF _Toc87258149 \h </w:instrText>
      </w:r>
      <w:r>
        <w:fldChar w:fldCharType="separate"/>
      </w:r>
      <w:r w:rsidR="00C67449">
        <w:t>411</w:t>
      </w:r>
      <w:r>
        <w:fldChar w:fldCharType="end"/>
      </w:r>
    </w:p>
    <w:p w:rsidR="00B40966" w:rsidRDefault="00B40966">
      <w:pPr>
        <w:pStyle w:val="TOC2"/>
        <w:rPr>
          <w:rFonts w:ascii="Times New Roman" w:hAnsi="Times New Roman"/>
          <w:b w:val="0"/>
          <w:szCs w:val="24"/>
        </w:rPr>
      </w:pPr>
      <w:r>
        <w:t>Part 16</w:t>
      </w:r>
      <w:r>
        <w:rPr>
          <w:rFonts w:ascii="Times New Roman" w:hAnsi="Times New Roman"/>
          <w:b w:val="0"/>
          <w:szCs w:val="24"/>
        </w:rPr>
        <w:tab/>
      </w:r>
      <w:r>
        <w:t>Miscellaneous and penalties</w:t>
      </w:r>
    </w:p>
    <w:p w:rsidR="00B40966" w:rsidRDefault="00B40966">
      <w:pPr>
        <w:pStyle w:val="TOC4"/>
        <w:rPr>
          <w:rFonts w:ascii="Times New Roman" w:hAnsi="Times New Roman"/>
          <w:b w:val="0"/>
          <w:sz w:val="24"/>
          <w:szCs w:val="24"/>
        </w:rPr>
      </w:pPr>
      <w:r>
        <w:rPr>
          <w:szCs w:val="26"/>
        </w:rPr>
        <w:t>General penalty</w:t>
      </w:r>
    </w:p>
    <w:p w:rsidR="00B40966" w:rsidRDefault="00B40966">
      <w:pPr>
        <w:pStyle w:val="TOC5"/>
        <w:rPr>
          <w:rFonts w:ascii="Times New Roman" w:hAnsi="Times New Roman"/>
          <w:sz w:val="24"/>
          <w:szCs w:val="24"/>
        </w:rPr>
      </w:pPr>
      <w:r>
        <w:rPr>
          <w:szCs w:val="24"/>
        </w:rPr>
        <w:tab/>
        <w:t>164</w:t>
      </w:r>
      <w:r>
        <w:tab/>
      </w:r>
      <w:r>
        <w:tab/>
      </w:r>
      <w:r>
        <w:fldChar w:fldCharType="begin"/>
      </w:r>
      <w:r>
        <w:instrText xml:space="preserve"> PAGEREF _Toc87258152 \h </w:instrText>
      </w:r>
      <w:r>
        <w:fldChar w:fldCharType="separate"/>
      </w:r>
      <w:r w:rsidR="00C67449">
        <w:t>420</w:t>
      </w:r>
      <w:r>
        <w:fldChar w:fldCharType="end"/>
      </w:r>
    </w:p>
    <w:p w:rsidR="00B40966" w:rsidRDefault="00B40966">
      <w:pPr>
        <w:pStyle w:val="TOC6"/>
        <w:rPr>
          <w:rFonts w:ascii="Times New Roman" w:hAnsi="Times New Roman"/>
          <w:b w:val="0"/>
          <w:szCs w:val="24"/>
        </w:rPr>
      </w:pPr>
      <w:r>
        <w:t>Schedule 3</w:t>
      </w:r>
      <w:r>
        <w:rPr>
          <w:rFonts w:ascii="Times New Roman" w:hAnsi="Times New Roman"/>
          <w:b w:val="0"/>
          <w:szCs w:val="24"/>
        </w:rPr>
        <w:tab/>
      </w:r>
      <w:r>
        <w:t>Method of treatment of silica paint for the purpose of ascertaining the percentage of free silica present</w:t>
      </w:r>
      <w:r>
        <w:tab/>
      </w:r>
      <w:r>
        <w:rPr>
          <w:b w:val="0"/>
          <w:sz w:val="20"/>
        </w:rPr>
        <w:fldChar w:fldCharType="begin"/>
      </w:r>
      <w:r>
        <w:rPr>
          <w:b w:val="0"/>
          <w:sz w:val="20"/>
        </w:rPr>
        <w:instrText xml:space="preserve"> PAGEREF _Toc87258153 \h </w:instrText>
      </w:r>
      <w:r>
        <w:rPr>
          <w:b w:val="0"/>
          <w:sz w:val="20"/>
        </w:rPr>
      </w:r>
      <w:r>
        <w:rPr>
          <w:b w:val="0"/>
          <w:sz w:val="20"/>
        </w:rPr>
        <w:fldChar w:fldCharType="separate"/>
      </w:r>
      <w:r w:rsidR="00C67449">
        <w:rPr>
          <w:b w:val="0"/>
          <w:sz w:val="20"/>
        </w:rPr>
        <w:t>421</w:t>
      </w:r>
      <w:r>
        <w:rPr>
          <w:b w:val="0"/>
          <w:sz w:val="20"/>
        </w:rPr>
        <w:fldChar w:fldCharType="end"/>
      </w:r>
    </w:p>
    <w:p w:rsidR="00B40966" w:rsidRDefault="00B40966">
      <w:pPr>
        <w:pStyle w:val="TOC6"/>
        <w:rPr>
          <w:rFonts w:ascii="Times New Roman" w:hAnsi="Times New Roman"/>
          <w:b w:val="0"/>
          <w:szCs w:val="24"/>
        </w:rPr>
      </w:pPr>
      <w:r>
        <w:t>Schedule 4</w:t>
      </w:r>
      <w:r>
        <w:rPr>
          <w:rFonts w:ascii="Times New Roman" w:hAnsi="Times New Roman"/>
          <w:b w:val="0"/>
          <w:szCs w:val="24"/>
        </w:rPr>
        <w:tab/>
      </w:r>
      <w:r>
        <w:t>Processes to which s 73 (1) (o) applies</w:t>
      </w:r>
      <w:r>
        <w:tab/>
      </w:r>
      <w:r>
        <w:rPr>
          <w:b w:val="0"/>
          <w:sz w:val="20"/>
        </w:rPr>
        <w:fldChar w:fldCharType="begin"/>
      </w:r>
      <w:r>
        <w:rPr>
          <w:b w:val="0"/>
          <w:sz w:val="20"/>
        </w:rPr>
        <w:instrText xml:space="preserve"> PAGEREF _Toc87258154 \h </w:instrText>
      </w:r>
      <w:r>
        <w:rPr>
          <w:b w:val="0"/>
          <w:sz w:val="20"/>
        </w:rPr>
      </w:r>
      <w:r>
        <w:rPr>
          <w:b w:val="0"/>
          <w:sz w:val="20"/>
        </w:rPr>
        <w:fldChar w:fldCharType="separate"/>
      </w:r>
      <w:r w:rsidR="00C67449">
        <w:rPr>
          <w:b w:val="0"/>
          <w:sz w:val="20"/>
        </w:rPr>
        <w:t>422</w:t>
      </w:r>
      <w:r>
        <w:rPr>
          <w:b w:val="0"/>
          <w:sz w:val="20"/>
        </w:rPr>
        <w:fldChar w:fldCharType="end"/>
      </w:r>
    </w:p>
    <w:p w:rsidR="00B40966" w:rsidRDefault="00B40966">
      <w:pPr>
        <w:pStyle w:val="TOC6"/>
        <w:rPr>
          <w:rFonts w:ascii="Times New Roman" w:hAnsi="Times New Roman"/>
          <w:b w:val="0"/>
          <w:szCs w:val="24"/>
        </w:rPr>
      </w:pPr>
      <w:r>
        <w:t>Schedule 5</w:t>
      </w:r>
      <w:r>
        <w:rPr>
          <w:rFonts w:ascii="Times New Roman" w:hAnsi="Times New Roman"/>
          <w:b w:val="0"/>
          <w:szCs w:val="24"/>
        </w:rPr>
        <w:tab/>
      </w:r>
      <w:r>
        <w:t>Method of treatment of a lead compound for the purpose of determining the percentage of dry compound of lead</w:t>
      </w:r>
      <w:r>
        <w:tab/>
      </w:r>
      <w:r>
        <w:rPr>
          <w:b w:val="0"/>
          <w:sz w:val="20"/>
        </w:rPr>
        <w:fldChar w:fldCharType="begin"/>
      </w:r>
      <w:r>
        <w:rPr>
          <w:b w:val="0"/>
          <w:sz w:val="20"/>
        </w:rPr>
        <w:instrText xml:space="preserve"> PAGEREF _Toc87258155 \h </w:instrText>
      </w:r>
      <w:r>
        <w:rPr>
          <w:b w:val="0"/>
          <w:sz w:val="20"/>
        </w:rPr>
      </w:r>
      <w:r>
        <w:rPr>
          <w:b w:val="0"/>
          <w:sz w:val="20"/>
        </w:rPr>
        <w:fldChar w:fldCharType="separate"/>
      </w:r>
      <w:r w:rsidR="00C67449">
        <w:rPr>
          <w:b w:val="0"/>
          <w:sz w:val="20"/>
        </w:rPr>
        <w:t>423</w:t>
      </w:r>
      <w:r>
        <w:rPr>
          <w:b w:val="0"/>
          <w:sz w:val="20"/>
        </w:rPr>
        <w:fldChar w:fldCharType="end"/>
      </w:r>
    </w:p>
    <w:p w:rsidR="00B40966" w:rsidRDefault="00B40966">
      <w:pPr>
        <w:pStyle w:val="TOC6"/>
        <w:rPr>
          <w:rFonts w:ascii="Times New Roman" w:hAnsi="Times New Roman"/>
          <w:b w:val="0"/>
          <w:szCs w:val="24"/>
        </w:rPr>
      </w:pPr>
      <w:r>
        <w:rPr>
          <w:szCs w:val="34"/>
        </w:rPr>
        <w:t>Schedule 7</w:t>
      </w:r>
      <w:r>
        <w:tab/>
      </w:r>
      <w:r>
        <w:tab/>
      </w:r>
      <w:r>
        <w:rPr>
          <w:b w:val="0"/>
          <w:sz w:val="20"/>
        </w:rPr>
        <w:fldChar w:fldCharType="begin"/>
      </w:r>
      <w:r>
        <w:rPr>
          <w:b w:val="0"/>
          <w:sz w:val="20"/>
        </w:rPr>
        <w:instrText xml:space="preserve"> PAGEREF _Toc87258156 \h </w:instrText>
      </w:r>
      <w:r>
        <w:rPr>
          <w:b w:val="0"/>
          <w:sz w:val="20"/>
        </w:rPr>
      </w:r>
      <w:r>
        <w:rPr>
          <w:b w:val="0"/>
          <w:sz w:val="20"/>
        </w:rPr>
        <w:fldChar w:fldCharType="separate"/>
      </w:r>
      <w:r w:rsidR="00C67449">
        <w:rPr>
          <w:b w:val="0"/>
          <w:sz w:val="20"/>
        </w:rPr>
        <w:t>424</w:t>
      </w:r>
      <w:r>
        <w:rPr>
          <w:b w:val="0"/>
          <w:sz w:val="20"/>
        </w:rPr>
        <w:fldChar w:fldCharType="end"/>
      </w:r>
    </w:p>
    <w:p w:rsidR="00B40966" w:rsidRDefault="00B40966">
      <w:pPr>
        <w:pStyle w:val="TOC6"/>
        <w:rPr>
          <w:rFonts w:ascii="Times New Roman" w:hAnsi="Times New Roman"/>
          <w:b w:val="0"/>
          <w:szCs w:val="24"/>
        </w:rPr>
      </w:pPr>
      <w:r>
        <w:t>Schedule 8</w:t>
      </w:r>
      <w:r>
        <w:rPr>
          <w:rFonts w:ascii="Times New Roman" w:hAnsi="Times New Roman"/>
          <w:b w:val="0"/>
          <w:szCs w:val="24"/>
        </w:rPr>
        <w:tab/>
      </w:r>
      <w:r>
        <w:t>Medical standards and examination report for compressed air workers</w:t>
      </w:r>
      <w:r>
        <w:tab/>
      </w:r>
      <w:r>
        <w:rPr>
          <w:b w:val="0"/>
          <w:sz w:val="20"/>
        </w:rPr>
        <w:fldChar w:fldCharType="begin"/>
      </w:r>
      <w:r>
        <w:rPr>
          <w:b w:val="0"/>
          <w:sz w:val="20"/>
        </w:rPr>
        <w:instrText xml:space="preserve"> PAGEREF _Toc87258157 \h </w:instrText>
      </w:r>
      <w:r>
        <w:rPr>
          <w:b w:val="0"/>
          <w:sz w:val="20"/>
        </w:rPr>
      </w:r>
      <w:r>
        <w:rPr>
          <w:b w:val="0"/>
          <w:sz w:val="20"/>
        </w:rPr>
        <w:fldChar w:fldCharType="separate"/>
      </w:r>
      <w:r w:rsidR="00C67449">
        <w:rPr>
          <w:b w:val="0"/>
          <w:sz w:val="20"/>
        </w:rPr>
        <w:t>458</w:t>
      </w:r>
      <w:r>
        <w:rPr>
          <w:b w:val="0"/>
          <w:sz w:val="20"/>
        </w:rPr>
        <w:fldChar w:fldCharType="end"/>
      </w:r>
    </w:p>
    <w:p w:rsidR="00B40966" w:rsidRDefault="00B40966">
      <w:pPr>
        <w:pStyle w:val="TOC6"/>
        <w:rPr>
          <w:rFonts w:ascii="Times New Roman" w:hAnsi="Times New Roman"/>
          <w:b w:val="0"/>
          <w:szCs w:val="24"/>
        </w:rPr>
      </w:pPr>
      <w:r>
        <w:t>Schedule 9</w:t>
      </w:r>
      <w:r>
        <w:rPr>
          <w:rFonts w:ascii="Times New Roman" w:hAnsi="Times New Roman"/>
          <w:b w:val="0"/>
          <w:szCs w:val="24"/>
        </w:rPr>
        <w:tab/>
      </w:r>
      <w:r>
        <w:t>Symptoms and treatment of compressed air illness</w:t>
      </w:r>
      <w:r>
        <w:tab/>
      </w:r>
      <w:r>
        <w:rPr>
          <w:b w:val="0"/>
          <w:sz w:val="20"/>
        </w:rPr>
        <w:fldChar w:fldCharType="begin"/>
      </w:r>
      <w:r>
        <w:rPr>
          <w:b w:val="0"/>
          <w:sz w:val="20"/>
        </w:rPr>
        <w:instrText xml:space="preserve"> PAGEREF _Toc87258158 \h </w:instrText>
      </w:r>
      <w:r>
        <w:rPr>
          <w:b w:val="0"/>
          <w:sz w:val="20"/>
        </w:rPr>
      </w:r>
      <w:r>
        <w:rPr>
          <w:b w:val="0"/>
          <w:sz w:val="20"/>
        </w:rPr>
        <w:fldChar w:fldCharType="separate"/>
      </w:r>
      <w:r w:rsidR="00C67449">
        <w:rPr>
          <w:b w:val="0"/>
          <w:sz w:val="20"/>
        </w:rPr>
        <w:t>461</w:t>
      </w:r>
      <w:r>
        <w:rPr>
          <w:b w:val="0"/>
          <w:sz w:val="20"/>
        </w:rPr>
        <w:fldChar w:fldCharType="end"/>
      </w:r>
    </w:p>
    <w:p w:rsidR="00B40966" w:rsidRDefault="00B40966">
      <w:pPr>
        <w:pStyle w:val="TOC7"/>
        <w:keepNext/>
        <w:spacing w:before="480"/>
        <w:rPr>
          <w:rFonts w:ascii="Times New Roman" w:hAnsi="Times New Roman"/>
          <w:b w:val="0"/>
          <w:sz w:val="24"/>
          <w:szCs w:val="24"/>
        </w:rPr>
      </w:pPr>
      <w:r>
        <w:rPr>
          <w:szCs w:val="28"/>
        </w:rPr>
        <w:t>Endnotes</w:t>
      </w:r>
    </w:p>
    <w:p w:rsidR="00B40966" w:rsidRDefault="00B40966">
      <w:pPr>
        <w:pStyle w:val="TOC5"/>
        <w:keepNext/>
        <w:rPr>
          <w:rFonts w:ascii="Times New Roman" w:hAnsi="Times New Roman"/>
          <w:sz w:val="24"/>
          <w:szCs w:val="24"/>
        </w:rPr>
      </w:pPr>
      <w:r>
        <w:rPr>
          <w:szCs w:val="24"/>
        </w:rPr>
        <w:tab/>
        <w:t>1</w:t>
      </w:r>
      <w:r>
        <w:rPr>
          <w:rFonts w:ascii="Times New Roman" w:hAnsi="Times New Roman"/>
          <w:sz w:val="24"/>
          <w:szCs w:val="24"/>
        </w:rPr>
        <w:tab/>
      </w:r>
      <w:r>
        <w:rPr>
          <w:szCs w:val="24"/>
        </w:rPr>
        <w:t>About the endnotes</w:t>
      </w:r>
      <w:r>
        <w:tab/>
      </w:r>
      <w:r>
        <w:fldChar w:fldCharType="begin"/>
      </w:r>
      <w:r>
        <w:instrText xml:space="preserve"> PAGEREF _Toc87258160 \h </w:instrText>
      </w:r>
      <w:r>
        <w:fldChar w:fldCharType="separate"/>
      </w:r>
      <w:r w:rsidR="00C67449">
        <w:t>463</w:t>
      </w:r>
      <w:r>
        <w:fldChar w:fldCharType="end"/>
      </w:r>
    </w:p>
    <w:p w:rsidR="00B40966" w:rsidRDefault="00B40966">
      <w:pPr>
        <w:pStyle w:val="TOC5"/>
        <w:rPr>
          <w:rFonts w:ascii="Times New Roman" w:hAnsi="Times New Roman"/>
          <w:sz w:val="24"/>
          <w:szCs w:val="24"/>
        </w:rPr>
      </w:pPr>
      <w:r>
        <w:rPr>
          <w:szCs w:val="24"/>
        </w:rPr>
        <w:tab/>
        <w:t>2</w:t>
      </w:r>
      <w:r>
        <w:rPr>
          <w:rFonts w:ascii="Times New Roman" w:hAnsi="Times New Roman"/>
          <w:sz w:val="24"/>
          <w:szCs w:val="24"/>
        </w:rPr>
        <w:tab/>
      </w:r>
      <w:r>
        <w:rPr>
          <w:szCs w:val="24"/>
        </w:rPr>
        <w:t>Abbreviation key</w:t>
      </w:r>
      <w:r>
        <w:tab/>
      </w:r>
      <w:r>
        <w:fldChar w:fldCharType="begin"/>
      </w:r>
      <w:r>
        <w:instrText xml:space="preserve"> PAGEREF _Toc87258161 \h </w:instrText>
      </w:r>
      <w:r>
        <w:fldChar w:fldCharType="separate"/>
      </w:r>
      <w:r w:rsidR="00C67449">
        <w:t>463</w:t>
      </w:r>
      <w:r>
        <w:fldChar w:fldCharType="end"/>
      </w:r>
    </w:p>
    <w:p w:rsidR="00B40966" w:rsidRDefault="00B40966">
      <w:pPr>
        <w:pStyle w:val="TOC5"/>
        <w:rPr>
          <w:rFonts w:ascii="Times New Roman" w:hAnsi="Times New Roman"/>
          <w:sz w:val="24"/>
          <w:szCs w:val="24"/>
        </w:rPr>
      </w:pPr>
      <w:r>
        <w:rPr>
          <w:szCs w:val="24"/>
        </w:rPr>
        <w:tab/>
        <w:t>3</w:t>
      </w:r>
      <w:r>
        <w:rPr>
          <w:rFonts w:ascii="Times New Roman" w:hAnsi="Times New Roman"/>
          <w:sz w:val="24"/>
          <w:szCs w:val="24"/>
        </w:rPr>
        <w:tab/>
      </w:r>
      <w:r>
        <w:rPr>
          <w:szCs w:val="24"/>
        </w:rPr>
        <w:t>Legislation history</w:t>
      </w:r>
      <w:r>
        <w:tab/>
      </w:r>
      <w:r>
        <w:fldChar w:fldCharType="begin"/>
      </w:r>
      <w:r>
        <w:instrText xml:space="preserve"> PAGEREF _Toc87258162 \h </w:instrText>
      </w:r>
      <w:r>
        <w:fldChar w:fldCharType="separate"/>
      </w:r>
      <w:r w:rsidR="00C67449">
        <w:t>464</w:t>
      </w:r>
      <w:r>
        <w:fldChar w:fldCharType="end"/>
      </w:r>
    </w:p>
    <w:p w:rsidR="00B40966" w:rsidRDefault="00B40966">
      <w:pPr>
        <w:pStyle w:val="TOC5"/>
        <w:rPr>
          <w:rFonts w:ascii="Times New Roman" w:hAnsi="Times New Roman"/>
          <w:sz w:val="24"/>
          <w:szCs w:val="24"/>
        </w:rPr>
      </w:pPr>
      <w:r>
        <w:rPr>
          <w:szCs w:val="24"/>
        </w:rPr>
        <w:tab/>
        <w:t>4</w:t>
      </w:r>
      <w:r>
        <w:rPr>
          <w:rFonts w:ascii="Times New Roman" w:hAnsi="Times New Roman"/>
          <w:sz w:val="24"/>
          <w:szCs w:val="24"/>
        </w:rPr>
        <w:tab/>
      </w:r>
      <w:r>
        <w:rPr>
          <w:szCs w:val="24"/>
        </w:rPr>
        <w:t>Amendment history</w:t>
      </w:r>
      <w:r>
        <w:tab/>
      </w:r>
      <w:r>
        <w:fldChar w:fldCharType="begin"/>
      </w:r>
      <w:r>
        <w:instrText xml:space="preserve"> PAGEREF _Toc87258163 \h </w:instrText>
      </w:r>
      <w:r>
        <w:fldChar w:fldCharType="separate"/>
      </w:r>
      <w:r w:rsidR="00C67449">
        <w:t>467</w:t>
      </w:r>
      <w:r>
        <w:fldChar w:fldCharType="end"/>
      </w:r>
    </w:p>
    <w:p w:rsidR="00B40966" w:rsidRDefault="00B40966">
      <w:pPr>
        <w:pStyle w:val="TOC5"/>
        <w:rPr>
          <w:rFonts w:ascii="Times New Roman" w:hAnsi="Times New Roman"/>
          <w:sz w:val="24"/>
          <w:szCs w:val="24"/>
        </w:rPr>
      </w:pPr>
      <w:r>
        <w:rPr>
          <w:szCs w:val="24"/>
        </w:rPr>
        <w:tab/>
        <w:t>5</w:t>
      </w:r>
      <w:r>
        <w:rPr>
          <w:rFonts w:ascii="Times New Roman" w:hAnsi="Times New Roman"/>
          <w:sz w:val="24"/>
          <w:szCs w:val="24"/>
        </w:rPr>
        <w:tab/>
      </w:r>
      <w:r>
        <w:rPr>
          <w:szCs w:val="24"/>
        </w:rPr>
        <w:t>Earlier republications</w:t>
      </w:r>
      <w:r>
        <w:tab/>
      </w:r>
      <w:r>
        <w:fldChar w:fldCharType="begin"/>
      </w:r>
      <w:r>
        <w:instrText xml:space="preserve"> PAGEREF _Toc87258164 \h </w:instrText>
      </w:r>
      <w:r>
        <w:fldChar w:fldCharType="separate"/>
      </w:r>
      <w:r w:rsidR="00C67449">
        <w:t>477</w:t>
      </w:r>
      <w:r>
        <w:fldChar w:fldCharType="end"/>
      </w:r>
    </w:p>
    <w:p w:rsidR="00B40966" w:rsidRDefault="00B40966">
      <w:pPr>
        <w:pStyle w:val="BillBasic"/>
      </w:pPr>
      <w:r>
        <w:fldChar w:fldCharType="end"/>
      </w:r>
    </w:p>
    <w:p w:rsidR="00B40966" w:rsidRDefault="00B40966">
      <w:pPr>
        <w:pStyle w:val="01Contents"/>
        <w:sectPr w:rsidR="00B40966">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B40966" w:rsidRDefault="00DA6E8C">
      <w:pPr>
        <w:jc w:val="center"/>
      </w:pPr>
      <w:r>
        <w:rPr>
          <w:noProof/>
          <w:lang w:eastAsia="en-AU"/>
        </w:rPr>
        <w:drawing>
          <wp:inline distT="0" distB="0" distL="0" distR="0">
            <wp:extent cx="1333500" cy="1181100"/>
            <wp:effectExtent l="0" t="0" r="0" b="0"/>
            <wp:docPr id="3"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inline>
        </w:drawing>
      </w:r>
    </w:p>
    <w:p w:rsidR="00B40966" w:rsidRDefault="00B40966">
      <w:pPr>
        <w:jc w:val="center"/>
        <w:rPr>
          <w:rFonts w:ascii="Arial" w:hAnsi="Arial"/>
        </w:rPr>
      </w:pPr>
      <w:r>
        <w:rPr>
          <w:rFonts w:ascii="Arial" w:hAnsi="Arial"/>
        </w:rPr>
        <w:t>Australian Capital Territory</w:t>
      </w:r>
    </w:p>
    <w:p w:rsidR="00B40966" w:rsidRDefault="00B40966">
      <w:pPr>
        <w:pStyle w:val="Billname"/>
      </w:pPr>
      <w:bookmarkStart w:id="6" w:name="Citation"/>
      <w:r>
        <w:t>Scaffolding and Lifts Regulation 1950</w:t>
      </w:r>
      <w:bookmarkEnd w:id="6"/>
      <w:r>
        <w:t xml:space="preserve">     </w:t>
      </w:r>
    </w:p>
    <w:p w:rsidR="00B40966" w:rsidRDefault="00B40966">
      <w:pPr>
        <w:spacing w:before="240" w:after="60"/>
        <w:rPr>
          <w:rFonts w:ascii="Arial" w:hAnsi="Arial"/>
        </w:rPr>
      </w:pPr>
    </w:p>
    <w:p w:rsidR="00B40966" w:rsidRDefault="00B40966">
      <w:pPr>
        <w:pStyle w:val="N-line3"/>
      </w:pPr>
    </w:p>
    <w:p w:rsidR="00B40966" w:rsidRDefault="00B40966">
      <w:pPr>
        <w:pStyle w:val="CoverInForce"/>
      </w:pPr>
      <w:r>
        <w:t>made under the</w:t>
      </w:r>
    </w:p>
    <w:p w:rsidR="00B40966" w:rsidRDefault="00B40966">
      <w:pPr>
        <w:pStyle w:val="CoverActName"/>
      </w:pPr>
      <w:bookmarkStart w:id="7" w:name="Actname"/>
      <w:r>
        <w:t>Scaffolding and Lifts Act 1912</w:t>
      </w:r>
      <w:bookmarkEnd w:id="7"/>
    </w:p>
    <w:p w:rsidR="00B40966" w:rsidRDefault="00B40966">
      <w:pPr>
        <w:pStyle w:val="N-line3"/>
      </w:pPr>
    </w:p>
    <w:p w:rsidR="00B40966" w:rsidRDefault="00B40966">
      <w:pPr>
        <w:pStyle w:val="Placeholder"/>
      </w:pPr>
      <w:r>
        <w:rPr>
          <w:rStyle w:val="charContents"/>
          <w:sz w:val="16"/>
        </w:rPr>
        <w:t xml:space="preserve">  </w:t>
      </w:r>
      <w:r>
        <w:rPr>
          <w:rStyle w:val="charPage"/>
        </w:rPr>
        <w:t xml:space="preserve">  </w:t>
      </w:r>
    </w:p>
    <w:p w:rsidR="00B40966" w:rsidRDefault="00B40966">
      <w:pPr>
        <w:pStyle w:val="Placeholder"/>
      </w:pPr>
      <w:r>
        <w:rPr>
          <w:rStyle w:val="CharChapNo"/>
        </w:rPr>
        <w:t xml:space="preserve">  </w:t>
      </w:r>
      <w:r>
        <w:rPr>
          <w:rStyle w:val="CharChapText"/>
        </w:rPr>
        <w:t xml:space="preserve">  </w:t>
      </w:r>
    </w:p>
    <w:p w:rsidR="00B40966" w:rsidRDefault="00B40966">
      <w:pPr>
        <w:pStyle w:val="Placeholder"/>
      </w:pPr>
      <w:r>
        <w:rPr>
          <w:rStyle w:val="CharPartNo"/>
        </w:rPr>
        <w:t xml:space="preserve">  </w:t>
      </w:r>
      <w:r>
        <w:rPr>
          <w:rStyle w:val="CharPartText"/>
        </w:rPr>
        <w:t xml:space="preserve">  </w:t>
      </w:r>
    </w:p>
    <w:p w:rsidR="00B40966" w:rsidRDefault="00B40966">
      <w:pPr>
        <w:pStyle w:val="Placeholder"/>
      </w:pPr>
      <w:r>
        <w:rPr>
          <w:rStyle w:val="CharDivNo"/>
        </w:rPr>
        <w:t xml:space="preserve">  </w:t>
      </w:r>
      <w:r>
        <w:rPr>
          <w:rStyle w:val="CharDivText"/>
        </w:rPr>
        <w:t xml:space="preserve">  </w:t>
      </w:r>
    </w:p>
    <w:p w:rsidR="00B40966" w:rsidRDefault="00B40966">
      <w:pPr>
        <w:pStyle w:val="Placeholder"/>
      </w:pPr>
      <w:r>
        <w:rPr>
          <w:rStyle w:val="CharSectNo"/>
        </w:rPr>
        <w:t xml:space="preserve">  </w:t>
      </w:r>
    </w:p>
    <w:p w:rsidR="00B40966" w:rsidRDefault="00B40966"/>
    <w:p w:rsidR="00B40966" w:rsidRDefault="00B40966">
      <w:pPr>
        <w:pStyle w:val="PageBreak"/>
      </w:pPr>
      <w:r>
        <w:br w:type="page"/>
      </w:r>
    </w:p>
    <w:p w:rsidR="00B40966" w:rsidRDefault="00B40966">
      <w:pPr>
        <w:pStyle w:val="AH2Part"/>
      </w:pPr>
      <w:bookmarkStart w:id="8" w:name="_Toc87257866"/>
      <w:r>
        <w:rPr>
          <w:rStyle w:val="CharPartNo"/>
        </w:rPr>
        <w:t>Part 1</w:t>
      </w:r>
      <w:r>
        <w:tab/>
      </w:r>
      <w:r>
        <w:rPr>
          <w:rStyle w:val="CharPartText"/>
        </w:rPr>
        <w:t>Preliminary</w:t>
      </w:r>
      <w:bookmarkEnd w:id="8"/>
    </w:p>
    <w:p w:rsidR="00B40966" w:rsidRDefault="00B40966">
      <w:pPr>
        <w:pStyle w:val="AH5Sec"/>
      </w:pPr>
      <w:bookmarkStart w:id="9" w:name="_Toc87257867"/>
      <w:r>
        <w:rPr>
          <w:rStyle w:val="CharSectNo"/>
        </w:rPr>
        <w:t>1</w:t>
      </w:r>
      <w:r>
        <w:tab/>
        <w:t>Name of regulation</w:t>
      </w:r>
      <w:bookmarkEnd w:id="9"/>
    </w:p>
    <w:p w:rsidR="00B40966" w:rsidRDefault="00B40966">
      <w:pPr>
        <w:pStyle w:val="Amainreturn"/>
      </w:pPr>
      <w:r>
        <w:rPr>
          <w:color w:val="000000"/>
        </w:rPr>
        <w:t xml:space="preserve">This regulation is the </w:t>
      </w:r>
      <w:r>
        <w:rPr>
          <w:rStyle w:val="charItals"/>
        </w:rPr>
        <w:t>Scaffolding and Lifts Regulation 1950</w:t>
      </w:r>
      <w:r>
        <w:rPr>
          <w:color w:val="000000"/>
        </w:rPr>
        <w:t>.</w:t>
      </w:r>
    </w:p>
    <w:p w:rsidR="00B40966" w:rsidRDefault="00B40966">
      <w:pPr>
        <w:pStyle w:val="AH5Sec"/>
      </w:pPr>
      <w:bookmarkStart w:id="10" w:name="_Toc87257868"/>
      <w:r>
        <w:rPr>
          <w:rStyle w:val="CharSectNo"/>
        </w:rPr>
        <w:t>3</w:t>
      </w:r>
      <w:r>
        <w:tab/>
        <w:t>Definitions for regulation</w:t>
      </w:r>
      <w:bookmarkEnd w:id="10"/>
    </w:p>
    <w:p w:rsidR="00B40966" w:rsidRDefault="00B40966">
      <w:pPr>
        <w:pStyle w:val="Amainreturn"/>
      </w:pPr>
      <w:r>
        <w:t>In this regulation:</w:t>
      </w:r>
    </w:p>
    <w:p w:rsidR="00B40966" w:rsidRDefault="00B40966">
      <w:pPr>
        <w:pStyle w:val="aNote"/>
      </w:pPr>
      <w:r>
        <w:rPr>
          <w:i/>
        </w:rPr>
        <w:t>Note</w:t>
      </w:r>
      <w:r>
        <w:rPr>
          <w:i/>
        </w:rPr>
        <w:tab/>
      </w:r>
      <w:r>
        <w:t>A definition applies except so far as the contrary intention appears (see Legislation Act, s 155).</w:t>
      </w:r>
    </w:p>
    <w:p w:rsidR="00B40966" w:rsidRDefault="00B40966">
      <w:pPr>
        <w:pStyle w:val="aDef"/>
      </w:pPr>
      <w:r>
        <w:rPr>
          <w:rStyle w:val="charBoldItals"/>
        </w:rPr>
        <w:t>approved</w:t>
      </w:r>
      <w:r>
        <w:t xml:space="preserve"> means approved in writing by the chief inspector.</w:t>
      </w:r>
    </w:p>
    <w:p w:rsidR="00B40966" w:rsidRDefault="00B40966">
      <w:pPr>
        <w:pStyle w:val="aDef"/>
      </w:pPr>
      <w:r>
        <w:rPr>
          <w:rStyle w:val="charBoldItals"/>
        </w:rPr>
        <w:t>analogous</w:t>
      </w:r>
      <w:r>
        <w:t xml:space="preserve"> means radically analogous in relation to prime characteristics.</w:t>
      </w:r>
    </w:p>
    <w:p w:rsidR="00B40966" w:rsidRDefault="00B40966">
      <w:pPr>
        <w:pStyle w:val="aDef"/>
      </w:pPr>
      <w:r>
        <w:rPr>
          <w:rStyle w:val="charBoldItals"/>
        </w:rPr>
        <w:t>axial stress</w:t>
      </w:r>
      <w:r>
        <w:t xml:space="preserve"> means one produced by a force or load acting parallel to and concentrically with the longitudinal neutral axis of the member concerned, and is the initial stress so produced, before any redistribution that may accompany resultant elastic deformation of the member.</w:t>
      </w:r>
    </w:p>
    <w:p w:rsidR="00B40966" w:rsidRDefault="00B40966">
      <w:pPr>
        <w:pStyle w:val="aDef"/>
      </w:pPr>
      <w:r>
        <w:rPr>
          <w:rStyle w:val="charBoldItals"/>
        </w:rPr>
        <w:t>bearing pressure</w:t>
      </w:r>
      <w:r>
        <w:t>, in relation to a pin or shaft in a plain bearing, means bearing pressure calculated as for a plane rectangular area of length equal to the length of the bearing, and of width equal to the diameter of the bearing.</w:t>
      </w:r>
    </w:p>
    <w:p w:rsidR="00B40966" w:rsidRDefault="00B40966">
      <w:pPr>
        <w:pStyle w:val="aDef"/>
      </w:pPr>
      <w:r>
        <w:rPr>
          <w:rStyle w:val="charBoldItals"/>
        </w:rPr>
        <w:t>chief inspector</w:t>
      </w:r>
      <w:r>
        <w:t>—see the Act, section 5.</w:t>
      </w:r>
    </w:p>
    <w:p w:rsidR="00B40966" w:rsidRDefault="00B40966">
      <w:pPr>
        <w:pStyle w:val="aDef"/>
      </w:pPr>
      <w:r>
        <w:rPr>
          <w:rStyle w:val="charBoldItals"/>
        </w:rPr>
        <w:t>dead loads</w:t>
      </w:r>
      <w:r>
        <w:t xml:space="preserve"> means all loads of which the principal effects remain constant during operation or manipulation of the crane, lift, hoist, scaffolding, plant or gear concerned.</w:t>
      </w:r>
    </w:p>
    <w:p w:rsidR="00B40966" w:rsidRDefault="00B40966">
      <w:pPr>
        <w:pStyle w:val="aDef"/>
      </w:pPr>
      <w:r>
        <w:rPr>
          <w:rStyle w:val="charBoldItals"/>
        </w:rPr>
        <w:t>designed</w:t>
      </w:r>
      <w:r>
        <w:t xml:space="preserve"> means effectively and correctly designed for its purpose in complete accordance with this regulation or, if provision is not included in this regulation, effectively and correctly designed for its purpose in an approved way.</w:t>
      </w:r>
    </w:p>
    <w:p w:rsidR="00B40966" w:rsidRDefault="00B40966">
      <w:pPr>
        <w:pStyle w:val="aDef"/>
      </w:pPr>
      <w:r>
        <w:rPr>
          <w:rStyle w:val="charBoldItals"/>
        </w:rPr>
        <w:t>drawings</w:t>
      </w:r>
      <w:r>
        <w:t xml:space="preserve"> means permanent, fully detailed and fully dimensioned and annotated engineering drawings, clear, distinct, and to a commonly used scale, which are sufficiently complete for engineering workshop use to enable faithful manufacture of all items depicted.</w:t>
      </w:r>
    </w:p>
    <w:p w:rsidR="00B40966" w:rsidRDefault="00B40966">
      <w:pPr>
        <w:pStyle w:val="aDef"/>
      </w:pPr>
      <w:r>
        <w:rPr>
          <w:b/>
          <w:i/>
        </w:rPr>
        <w:t>dynamically irreversible</w:t>
      </w:r>
      <w:r>
        <w:t xml:space="preserve"> means incapable of being set or kept in motion by energy applied at or to the power output member or part of any mechanism, linkage or device.</w:t>
      </w:r>
    </w:p>
    <w:p w:rsidR="00B40966" w:rsidRDefault="00B40966">
      <w:pPr>
        <w:pStyle w:val="aDef"/>
      </w:pPr>
      <w:r>
        <w:rPr>
          <w:rStyle w:val="charBoldItals"/>
        </w:rPr>
        <w:t>dynamically reversible</w:t>
      </w:r>
      <w:r>
        <w:t xml:space="preserve"> means capable of being set or kept in motion by energy applied at or to the power output member or part of any mechanism, linkage or device.</w:t>
      </w:r>
    </w:p>
    <w:p w:rsidR="00B40966" w:rsidRDefault="00B40966">
      <w:pPr>
        <w:pStyle w:val="aDef"/>
      </w:pPr>
      <w:r>
        <w:rPr>
          <w:rStyle w:val="charBoldItals"/>
        </w:rPr>
        <w:t>fixed end</w:t>
      </w:r>
      <w:r>
        <w:t xml:space="preserve"> means for purposes of stress determination, a fixed end or fixed connection so designed that it effectively maintains and preserves the tangent to the elastic curve of the end of the member concerned in its original direction and position, irrespective of applied loading.</w:t>
      </w:r>
    </w:p>
    <w:p w:rsidR="00B40966" w:rsidRDefault="00B40966">
      <w:pPr>
        <w:pStyle w:val="aDef"/>
      </w:pPr>
      <w:r>
        <w:rPr>
          <w:rStyle w:val="charBoldItals"/>
        </w:rPr>
        <w:t>forged steel</w:t>
      </w:r>
      <w:r>
        <w:t xml:space="preserve"> means hot forged from steel conforming to Australian Standard Specification No E17—(1944 T.) General Locomotive Forgings of K quality, and Australian Standard Specification No B63—1938 </w:t>
      </w:r>
      <w:r>
        <w:rPr>
          <w:i/>
        </w:rPr>
        <w:t>Carbon Steel Forgings (Primarily for Cranes and Hoists)</w:t>
      </w:r>
      <w:r>
        <w:t>.</w:t>
      </w:r>
    </w:p>
    <w:p w:rsidR="00B40966" w:rsidRDefault="00B40966">
      <w:pPr>
        <w:pStyle w:val="aDef"/>
      </w:pPr>
      <w:r>
        <w:rPr>
          <w:rStyle w:val="charBoldItals"/>
        </w:rPr>
        <w:t>free end</w:t>
      </w:r>
      <w:r>
        <w:t xml:space="preserve"> means for purposes of stress determination, a free end not specifically secured in a way that will effectively prevent its translation.</w:t>
      </w:r>
    </w:p>
    <w:p w:rsidR="00B40966" w:rsidRDefault="00B40966">
      <w:pPr>
        <w:pStyle w:val="aDef"/>
      </w:pPr>
      <w:r>
        <w:rPr>
          <w:rStyle w:val="charBoldItals"/>
        </w:rPr>
        <w:t>high tensile structural steel</w:t>
      </w:r>
      <w:r>
        <w:t xml:space="preserve"> means steel conforming to British Standard Specification No 548—1934, High Tensile Structural Steel for Bridges etc and General</w:t>
      </w:r>
      <w:r>
        <w:rPr>
          <w:rStyle w:val="charBoldItals"/>
        </w:rPr>
        <w:t xml:space="preserve"> </w:t>
      </w:r>
      <w:r>
        <w:t xml:space="preserve">Building Construction, or British Standard Specification No 968—1941, </w:t>
      </w:r>
      <w:r>
        <w:rPr>
          <w:i/>
        </w:rPr>
        <w:t>High Tensile (Fusion Welding Quality) Steel for Bridges, etc, and General Building Construction</w:t>
      </w:r>
      <w:r>
        <w:t xml:space="preserve"> promulgated by Standards Australia.</w:t>
      </w:r>
    </w:p>
    <w:p w:rsidR="00B40966" w:rsidRDefault="00B40966">
      <w:pPr>
        <w:pStyle w:val="aDef"/>
      </w:pPr>
      <w:r>
        <w:rPr>
          <w:rStyle w:val="charBoldItals"/>
        </w:rPr>
        <w:t>hinged end</w:t>
      </w:r>
      <w:r>
        <w:t xml:space="preserve"> means for purposes of stress determination, a hinged end or hinged connection not specifically and effectively designed to transmit major restraining or other moments.</w:t>
      </w:r>
    </w:p>
    <w:p w:rsidR="00B40966" w:rsidRDefault="00B40966">
      <w:pPr>
        <w:pStyle w:val="aDef"/>
      </w:pPr>
      <w:r>
        <w:rPr>
          <w:rStyle w:val="charBoldItals"/>
        </w:rPr>
        <w:t>in commission</w:t>
      </w:r>
      <w:r>
        <w:t xml:space="preserve"> means in commission but not necessarily active.</w:t>
      </w:r>
    </w:p>
    <w:p w:rsidR="00B40966" w:rsidRDefault="00B40966">
      <w:pPr>
        <w:pStyle w:val="aDef"/>
      </w:pPr>
      <w:r>
        <w:rPr>
          <w:rStyle w:val="charBoldItals"/>
        </w:rPr>
        <w:t>inspector</w:t>
      </w:r>
      <w:r>
        <w:t>—see the Act, dictionary.</w:t>
      </w:r>
    </w:p>
    <w:p w:rsidR="00B40966" w:rsidRDefault="00B40966">
      <w:pPr>
        <w:pStyle w:val="aDef"/>
      </w:pPr>
      <w:r>
        <w:rPr>
          <w:rStyle w:val="charBoldItals"/>
        </w:rPr>
        <w:t>limiting</w:t>
      </w:r>
      <w:r>
        <w:t xml:space="preserve"> means—</w:t>
      </w:r>
    </w:p>
    <w:p w:rsidR="00B40966" w:rsidRDefault="00B40966">
      <w:pPr>
        <w:pStyle w:val="aDefpara"/>
      </w:pPr>
      <w:r>
        <w:tab/>
        <w:t>(a)</w:t>
      </w:r>
      <w:r>
        <w:tab/>
        <w:t>a maximum such that if it were increased; or</w:t>
      </w:r>
    </w:p>
    <w:p w:rsidR="00B40966" w:rsidRDefault="00B40966">
      <w:pPr>
        <w:pStyle w:val="aDefpara"/>
      </w:pPr>
      <w:r>
        <w:tab/>
        <w:t>(b)</w:t>
      </w:r>
      <w:r>
        <w:tab/>
        <w:t>a minimum such that if it were decreased;</w:t>
      </w:r>
    </w:p>
    <w:p w:rsidR="00B40966" w:rsidRDefault="00B40966">
      <w:pPr>
        <w:pStyle w:val="Amainreturn"/>
      </w:pPr>
      <w:r>
        <w:t>the increase or decrease would occasion contravention of the Act or this regulation, or in any way prejudice the safe working of the crane, lift, hoist, scaffolding or plant concerned.</w:t>
      </w:r>
    </w:p>
    <w:p w:rsidR="00B40966" w:rsidRDefault="00B40966">
      <w:pPr>
        <w:pStyle w:val="aDef"/>
      </w:pPr>
      <w:r>
        <w:rPr>
          <w:rStyle w:val="charBoldItals"/>
        </w:rPr>
        <w:t>live loads</w:t>
      </w:r>
      <w:r>
        <w:t xml:space="preserve"> means all loads of which the principal effects vary during operation or manipulation of the crane, lift, hoist, scaffolding, plant or gear concerned, and include the working load and all loads due to inertia, momentum, braking and wind.</w:t>
      </w:r>
    </w:p>
    <w:p w:rsidR="00B40966" w:rsidRDefault="00B40966">
      <w:pPr>
        <w:pStyle w:val="aDef"/>
      </w:pPr>
      <w:r>
        <w:rPr>
          <w:rStyle w:val="charBoldItals"/>
        </w:rPr>
        <w:t>mild steel</w:t>
      </w:r>
      <w:r>
        <w:t xml:space="preserve"> means—</w:t>
      </w:r>
    </w:p>
    <w:p w:rsidR="00B40966" w:rsidRDefault="00B40966">
      <w:pPr>
        <w:pStyle w:val="aDefpara"/>
      </w:pPr>
      <w:r>
        <w:tab/>
        <w:t>(a)</w:t>
      </w:r>
      <w:r>
        <w:tab/>
        <w:t xml:space="preserve">except in relation to bolts or rivets—mild steel conforming to Australian Standard Specification No A.1—1940 </w:t>
      </w:r>
      <w:r>
        <w:rPr>
          <w:i/>
        </w:rPr>
        <w:t>Rolled Steel Sections for Structural Purposes</w:t>
      </w:r>
      <w:r>
        <w:t>; and</w:t>
      </w:r>
    </w:p>
    <w:p w:rsidR="00B40966" w:rsidRDefault="00B40966">
      <w:pPr>
        <w:pStyle w:val="aDefpara"/>
      </w:pPr>
      <w:r>
        <w:tab/>
        <w:t>(b)</w:t>
      </w:r>
      <w:r>
        <w:tab/>
        <w:t>in relation to bolts or rivets—a mild steel approved by the chief inspector as being suitable for its purpose.</w:t>
      </w:r>
    </w:p>
    <w:p w:rsidR="00B40966" w:rsidRDefault="00B40966">
      <w:pPr>
        <w:pStyle w:val="aDef"/>
      </w:pPr>
      <w:r>
        <w:rPr>
          <w:rStyle w:val="charBoldItals"/>
        </w:rPr>
        <w:t>roller</w:t>
      </w:r>
      <w:r>
        <w:t xml:space="preserve"> means a wheel or cylinder that is either without an axle, or in which an axle or equivalent device is employed principally for purposes of alignment and location as distinct from the transmission of loads or forces.</w:t>
      </w:r>
    </w:p>
    <w:p w:rsidR="00B40966" w:rsidRDefault="00B40966">
      <w:pPr>
        <w:pStyle w:val="aDef"/>
      </w:pPr>
      <w:r>
        <w:rPr>
          <w:rStyle w:val="charBoldItals"/>
        </w:rPr>
        <w:t>S.A.A. Wiring Rules</w:t>
      </w:r>
      <w:r>
        <w:t xml:space="preserve"> means Australian Standard Rules for the electrical equipment of buildings, structures and premises, published by the Standards Australia, known as the S.A.A. Wiring Rules. (First issued June, 1931, revised December, 1934, revised January, 1940.  Reprinted including corrigenda of February, 1940, February, 1943, and March, 1944.  Amendment 3, 1945.  All redated 1945.  Amendment 4, January, 1946, redated 1946.).</w:t>
      </w:r>
    </w:p>
    <w:p w:rsidR="00B40966" w:rsidRDefault="00B40966">
      <w:pPr>
        <w:pStyle w:val="aDef"/>
      </w:pPr>
      <w:r>
        <w:rPr>
          <w:rStyle w:val="charBoldItals"/>
        </w:rPr>
        <w:t>safe working load</w:t>
      </w:r>
      <w:r>
        <w:t xml:space="preserve"> (or </w:t>
      </w:r>
      <w:r>
        <w:rPr>
          <w:rStyle w:val="charBoldItals"/>
        </w:rPr>
        <w:t>working load</w:t>
      </w:r>
      <w:r>
        <w:rPr>
          <w:rStyle w:val="charBoldItals"/>
          <w:b w:val="0"/>
          <w:bCs/>
          <w:i w:val="0"/>
          <w:iCs/>
        </w:rPr>
        <w:t>)</w:t>
      </w:r>
      <w:r>
        <w:t xml:space="preserve"> means the greatest burden that may be imposed without contravening any provision of this regulation in or on the lifting or lowering instrument with which any crane, lift or hoist is provided for lifting or lowering, or on any platform of any scaffold, but does not include wind loads or any increase consequential to section 125 or the weight of the lifting hook, yoke, kibble, box, cage, vessel or other medium by which the load is raised or lowered, or the weight of the platform or framework of any scaffold.</w:t>
      </w:r>
    </w:p>
    <w:p w:rsidR="00B40966" w:rsidRDefault="00B40966">
      <w:pPr>
        <w:pStyle w:val="aDef"/>
      </w:pPr>
      <w:r>
        <w:rPr>
          <w:rStyle w:val="charBoldItals"/>
        </w:rPr>
        <w:t>second-hand</w:t>
      </w:r>
      <w:r>
        <w:t xml:space="preserve"> means evidencing previous usage that might reasonably be expected or anticipated to have resulted in wear or abrasion, distortion, fatigue, misalignment, cold working, strain hardening, overheating, corrosion, or other damage or deterioration, affecting the item concerned in whole or in part, and, in relation to any material, second-hand means not plainly self evidently new.</w:t>
      </w:r>
    </w:p>
    <w:p w:rsidR="00B40966" w:rsidRDefault="00B40966">
      <w:pPr>
        <w:pStyle w:val="aDef"/>
      </w:pPr>
      <w:r>
        <w:rPr>
          <w:rStyle w:val="charBoldItals"/>
        </w:rPr>
        <w:t>section</w:t>
      </w:r>
      <w:r>
        <w:t xml:space="preserve"> means actual section before any deformation that may follow or accompany application of stress and, unless otherwise stated, all sections must lie in planes normal to the longitudinal axes of the members concerned.</w:t>
      </w:r>
    </w:p>
    <w:p w:rsidR="00B40966" w:rsidRDefault="00B40966">
      <w:pPr>
        <w:pStyle w:val="aDef"/>
      </w:pPr>
      <w:r>
        <w:rPr>
          <w:rStyle w:val="charBoldItals"/>
        </w:rPr>
        <w:t>static counterbalance weights</w:t>
      </w:r>
      <w:r>
        <w:t xml:space="preserve"> includes all counterbalance weights that do not move relatively to the crane, hoist, lift, scaffolding, plant or gear concerned or to its supporting structure.</w:t>
      </w:r>
    </w:p>
    <w:p w:rsidR="00B40966" w:rsidRDefault="00B40966">
      <w:pPr>
        <w:pStyle w:val="aDef"/>
      </w:pPr>
      <w:r>
        <w:rPr>
          <w:rStyle w:val="charBoldItals"/>
        </w:rPr>
        <w:t>strength</w:t>
      </w:r>
      <w:r>
        <w:t xml:space="preserve"> means computed strength except in relation to the strengths of materials or ropes, and unless the chief inspector specifically approves otherwise.</w:t>
      </w:r>
    </w:p>
    <w:p w:rsidR="00B40966" w:rsidRDefault="00B40966">
      <w:pPr>
        <w:pStyle w:val="aDef"/>
      </w:pPr>
      <w:r>
        <w:rPr>
          <w:rStyle w:val="charBoldItals"/>
        </w:rPr>
        <w:t>stress</w:t>
      </w:r>
      <w:r>
        <w:t xml:space="preserve"> means stress measured in tons per square inch, after including all increases prescribed by this regulation.</w:t>
      </w:r>
    </w:p>
    <w:p w:rsidR="00B40966" w:rsidRDefault="00B40966">
      <w:pPr>
        <w:pStyle w:val="aDef"/>
      </w:pPr>
      <w:r>
        <w:rPr>
          <w:rStyle w:val="charBoldItals"/>
        </w:rPr>
        <w:t>transverse stress</w:t>
      </w:r>
      <w:r>
        <w:t xml:space="preserve"> means the longitudinal tensile or compressive fibre stress resulting at the skin of a member from forces that cause flexure, but not include the axial stress.</w:t>
      </w:r>
    </w:p>
    <w:p w:rsidR="00B40966" w:rsidRDefault="00B40966">
      <w:pPr>
        <w:pStyle w:val="aDef"/>
      </w:pPr>
      <w:r>
        <w:rPr>
          <w:rStyle w:val="charBoldItals"/>
        </w:rPr>
        <w:t>under power</w:t>
      </w:r>
      <w:r>
        <w:t xml:space="preserve"> means energised by any agency other than manual or gravitational.</w:t>
      </w:r>
    </w:p>
    <w:p w:rsidR="00B40966" w:rsidRDefault="00B40966">
      <w:pPr>
        <w:pStyle w:val="aDef"/>
      </w:pPr>
      <w:r>
        <w:rPr>
          <w:b/>
          <w:bCs/>
          <w:i/>
          <w:iCs/>
        </w:rPr>
        <w:t>working load</w:t>
      </w:r>
      <w:r>
        <w:t xml:space="preserve">—see </w:t>
      </w:r>
      <w:r>
        <w:rPr>
          <w:b/>
          <w:bCs/>
          <w:i/>
          <w:iCs/>
        </w:rPr>
        <w:t>safe working load</w:t>
      </w:r>
      <w:r>
        <w:t>.</w:t>
      </w:r>
    </w:p>
    <w:p w:rsidR="00B40966" w:rsidRDefault="00B40966">
      <w:pPr>
        <w:pStyle w:val="AH5Sec"/>
      </w:pPr>
      <w:bookmarkStart w:id="11" w:name="_Toc87257869"/>
      <w:r>
        <w:rPr>
          <w:rStyle w:val="CharSectNo"/>
        </w:rPr>
        <w:t>4</w:t>
      </w:r>
      <w:r>
        <w:tab/>
        <w:t>Plates, figures and sketches</w:t>
      </w:r>
      <w:bookmarkEnd w:id="11"/>
    </w:p>
    <w:p w:rsidR="00B40966" w:rsidRDefault="00B40966">
      <w:pPr>
        <w:pStyle w:val="Amainreturn"/>
      </w:pPr>
      <w:r>
        <w:t>Any plates, figures or sketches shown in this regulation and to which reference is made in the text should not be construed as specifications but should be considered as types for information or guidance only in construction.</w:t>
      </w:r>
    </w:p>
    <w:p w:rsidR="00B40966" w:rsidRDefault="00B40966">
      <w:pPr>
        <w:pStyle w:val="AH5Sec"/>
      </w:pPr>
      <w:bookmarkStart w:id="12" w:name="_Toc87257870"/>
      <w:r>
        <w:rPr>
          <w:rStyle w:val="CharSectNo"/>
        </w:rPr>
        <w:t>5</w:t>
      </w:r>
      <w:bookmarkEnd w:id="12"/>
      <w:r>
        <w:tab/>
        <w:t xml:space="preserve">  </w:t>
      </w:r>
    </w:p>
    <w:p w:rsidR="00B40966" w:rsidRDefault="00B40966">
      <w:pPr>
        <w:pStyle w:val="Amainreturn"/>
      </w:pPr>
      <w:r>
        <w:t>If the chief inspector is satisfied that for any particular class or description of crane, lift, hoist, scaffolding, plant or gear, or roof sheathed or intended to be sheathed with asbestos cement or other brittle material or of any special description or method of building work, excavation work, or compressed air work, the application of any requirement of this regulation relating to safety or health is, in any class or description of circumstances, not necessary in the interests of safety or health or is not reasonably practicable, the chief inspector may by written certificate (which the chief inspector may at the chief inspector’s discretion revoke at any time) grant an exemption from that requirement for that class of description of crane, lift, hoist, scaffolding, plant or gear, or roof sheathed with asbestos cement or other brittle material or of that special description or method of building work, excavation work or compressed air work in the circumstances and subject to the conditions that may be specified in the certificate.</w:t>
      </w:r>
    </w:p>
    <w:p w:rsidR="00B40966" w:rsidRDefault="00B40966">
      <w:pPr>
        <w:pStyle w:val="AH5Sec"/>
      </w:pPr>
      <w:bookmarkStart w:id="13" w:name="_Toc87257871"/>
      <w:r>
        <w:rPr>
          <w:rStyle w:val="CharSectNo"/>
        </w:rPr>
        <w:t>6</w:t>
      </w:r>
      <w:bookmarkEnd w:id="13"/>
      <w:r>
        <w:tab/>
        <w:t xml:space="preserve">  </w:t>
      </w:r>
    </w:p>
    <w:p w:rsidR="00B40966" w:rsidRDefault="00B40966">
      <w:pPr>
        <w:pStyle w:val="Amain"/>
      </w:pPr>
      <w:r>
        <w:tab/>
        <w:t>(1)</w:t>
      </w:r>
      <w:r>
        <w:tab/>
        <w:t>If the obligation to observe any of the provisions of this regulation is not by this regulation specifically imposed on any person it is the obligation of every person who directly or by his or her servants or agents—</w:t>
      </w:r>
    </w:p>
    <w:p w:rsidR="00B40966" w:rsidRDefault="00B40966">
      <w:pPr>
        <w:pStyle w:val="Apara"/>
      </w:pPr>
      <w:r>
        <w:tab/>
        <w:t>(a)</w:t>
      </w:r>
      <w:r>
        <w:tab/>
        <w:t>carries out any building work, excavation work or compressed air work; or</w:t>
      </w:r>
    </w:p>
    <w:p w:rsidR="00B40966" w:rsidRDefault="00B40966">
      <w:pPr>
        <w:pStyle w:val="Apara"/>
        <w:keepLines/>
      </w:pPr>
      <w:r>
        <w:tab/>
        <w:t>(b)</w:t>
      </w:r>
      <w:r>
        <w:tab/>
        <w:t>designs, constructs, erects, sets up or builds, or sets or places in position, works, uses, tests or maintains any crane, lift, hoist, scaffolding, plant or gear, or roof sheathed or intended to be sheathed with asbestos cement or other brittle material;</w:t>
      </w:r>
    </w:p>
    <w:p w:rsidR="00B40966" w:rsidRDefault="00B40966">
      <w:pPr>
        <w:pStyle w:val="Amainreturn"/>
      </w:pPr>
      <w:r>
        <w:t>to comply with the provisions of this regulation.</w:t>
      </w:r>
    </w:p>
    <w:p w:rsidR="00B40966" w:rsidRDefault="00B40966">
      <w:pPr>
        <w:pStyle w:val="Amain"/>
      </w:pPr>
      <w:r>
        <w:tab/>
        <w:t>(2)</w:t>
      </w:r>
      <w:r>
        <w:tab/>
        <w:t>A person must not directly or by his or her servants or agents use any crane, lift, hoist, scaffolding, plant or gear, unless it has been classified, designed, constructed, erected, set up, built or set or placed in position, and installed, and unless the person uses and maintains it, in accordance with the provisions of this regulation.</w:t>
      </w:r>
    </w:p>
    <w:p w:rsidR="00B40966" w:rsidRDefault="00B40966">
      <w:pPr>
        <w:pStyle w:val="AH5Sec"/>
      </w:pPr>
      <w:bookmarkStart w:id="14" w:name="_Toc87257872"/>
      <w:r>
        <w:rPr>
          <w:rStyle w:val="CharSectNo"/>
        </w:rPr>
        <w:t>7</w:t>
      </w:r>
      <w:bookmarkEnd w:id="14"/>
      <w:r>
        <w:tab/>
        <w:t xml:space="preserve">  </w:t>
      </w:r>
    </w:p>
    <w:p w:rsidR="00B40966" w:rsidRDefault="00B40966">
      <w:pPr>
        <w:pStyle w:val="Amainreturn"/>
      </w:pPr>
      <w:r>
        <w:t>Every person must use the safeguards given and provided in accordance with this regulation and a person must not interfere detrimentally in any way with the use of the safeguards by any other person, nor with the use of any safeguard method or process.</w:t>
      </w:r>
    </w:p>
    <w:p w:rsidR="00B40966" w:rsidRDefault="00B40966">
      <w:pPr>
        <w:pStyle w:val="PageBreak"/>
      </w:pPr>
      <w:r>
        <w:br w:type="page"/>
      </w:r>
    </w:p>
    <w:p w:rsidR="00B40966" w:rsidRDefault="00B40966">
      <w:pPr>
        <w:pStyle w:val="AH2Part"/>
      </w:pPr>
      <w:bookmarkStart w:id="15" w:name="_Toc87257873"/>
      <w:r>
        <w:rPr>
          <w:rStyle w:val="CharPartNo"/>
        </w:rPr>
        <w:t>Part 2</w:t>
      </w:r>
      <w:r>
        <w:tab/>
      </w:r>
      <w:r>
        <w:rPr>
          <w:rStyle w:val="CharPartText"/>
        </w:rPr>
        <w:t>Qualifications, powers and duties of the chief inspector and inspectors</w:t>
      </w:r>
      <w:bookmarkEnd w:id="15"/>
    </w:p>
    <w:p w:rsidR="00B40966" w:rsidRDefault="00B40966">
      <w:pPr>
        <w:pStyle w:val="AH5Sec"/>
      </w:pPr>
      <w:bookmarkStart w:id="16" w:name="_Toc87257874"/>
      <w:r>
        <w:rPr>
          <w:rStyle w:val="CharSectNo"/>
        </w:rPr>
        <w:t>11</w:t>
      </w:r>
      <w:bookmarkEnd w:id="16"/>
      <w:r>
        <w:tab/>
        <w:t xml:space="preserve">  </w:t>
      </w:r>
    </w:p>
    <w:p w:rsidR="00B40966" w:rsidRDefault="00B40966">
      <w:pPr>
        <w:pStyle w:val="Amainreturn"/>
      </w:pPr>
      <w:r>
        <w:t>A person must not falsely pretend to be an inspector.</w:t>
      </w:r>
    </w:p>
    <w:p w:rsidR="00B40966" w:rsidRDefault="00B40966">
      <w:pPr>
        <w:pStyle w:val="AH5Sec"/>
      </w:pPr>
      <w:bookmarkStart w:id="17" w:name="_Toc87257875"/>
      <w:r>
        <w:rPr>
          <w:rStyle w:val="CharSectNo"/>
        </w:rPr>
        <w:t>13</w:t>
      </w:r>
      <w:bookmarkEnd w:id="17"/>
      <w:r>
        <w:tab/>
        <w:t xml:space="preserve">  </w:t>
      </w:r>
    </w:p>
    <w:p w:rsidR="00B40966" w:rsidRDefault="00B40966">
      <w:pPr>
        <w:pStyle w:val="Amainreturn"/>
      </w:pPr>
      <w:r>
        <w:t>An inspector has the power to—</w:t>
      </w:r>
    </w:p>
    <w:p w:rsidR="00B40966" w:rsidRDefault="00B40966">
      <w:pPr>
        <w:pStyle w:val="Apara"/>
      </w:pPr>
      <w:r>
        <w:tab/>
        <w:t>(a)</w:t>
      </w:r>
      <w:r>
        <w:tab/>
        <w:t>conduct prosecutions whether the information is laid in the inspector’s name or not; and</w:t>
      </w:r>
    </w:p>
    <w:p w:rsidR="00B40966" w:rsidRDefault="00B40966">
      <w:pPr>
        <w:pStyle w:val="Apara"/>
      </w:pPr>
      <w:r>
        <w:tab/>
        <w:t>(b)</w:t>
      </w:r>
      <w:r>
        <w:tab/>
        <w:t>attend and examine witnesses at any inquest into the cause of the death of any person following on an accident arising from the construction, erection, setting up or building or setting or placing in position, installation, alteration, working or use of any crane, gear, hoist, lift, plant, scaffolding or part of it, or occurring in relation to any building work, excavation work or compressed air work or any roof sheathed with asbestos cement or other brittle material; and</w:t>
      </w:r>
    </w:p>
    <w:p w:rsidR="00B40966" w:rsidRDefault="00B40966">
      <w:pPr>
        <w:pStyle w:val="Apara"/>
      </w:pPr>
      <w:r>
        <w:tab/>
        <w:t>(c)</w:t>
      </w:r>
      <w:r>
        <w:tab/>
        <w:t>direct the owner of, or person in charge or apparently in charge of any crane, lift, hoist, scaffolding, plant or gear, or the contractor or person in charge or apparently in charge of any building work, excavation work or compressed air work, to take the measures and provide the equipment and assistance that the inspector may require to facilitate any inspection, and the person must forthwith carry out the directions.</w:t>
      </w:r>
    </w:p>
    <w:p w:rsidR="00B40966" w:rsidRDefault="00B40966">
      <w:pPr>
        <w:pStyle w:val="AH5Sec"/>
      </w:pPr>
      <w:bookmarkStart w:id="18" w:name="_Toc87257876"/>
      <w:r>
        <w:rPr>
          <w:rStyle w:val="CharSectNo"/>
        </w:rPr>
        <w:t>14</w:t>
      </w:r>
      <w:bookmarkEnd w:id="18"/>
      <w:r>
        <w:tab/>
        <w:t xml:space="preserve">  </w:t>
      </w:r>
    </w:p>
    <w:p w:rsidR="00B40966" w:rsidRDefault="00B40966">
      <w:pPr>
        <w:pStyle w:val="Amainreturn"/>
        <w:keepLines/>
      </w:pPr>
      <w:r>
        <w:t>An inspector may require the production of any certificate or permit that by the Act or this regulation is required to be held by any person or require the production of any notice, record or document that is by the Act or by this regulation required to be kept or exhibited and to inspect, examine and copy it.</w:t>
      </w:r>
    </w:p>
    <w:p w:rsidR="00B40966" w:rsidRDefault="00B40966">
      <w:pPr>
        <w:pStyle w:val="PageBreak"/>
      </w:pPr>
      <w:r>
        <w:br w:type="page"/>
      </w:r>
    </w:p>
    <w:p w:rsidR="00B40966" w:rsidRDefault="00B40966">
      <w:pPr>
        <w:pStyle w:val="AH2Part"/>
      </w:pPr>
      <w:bookmarkStart w:id="19" w:name="_Toc87257877"/>
      <w:r>
        <w:rPr>
          <w:rStyle w:val="CharPartNo"/>
        </w:rPr>
        <w:t>Part 4</w:t>
      </w:r>
      <w:r>
        <w:tab/>
      </w:r>
      <w:r>
        <w:rPr>
          <w:rStyle w:val="CharPartText"/>
        </w:rPr>
        <w:t>Lifts</w:t>
      </w:r>
      <w:bookmarkEnd w:id="19"/>
    </w:p>
    <w:p w:rsidR="00B40966" w:rsidRDefault="00B40966">
      <w:pPr>
        <w:pStyle w:val="AH3Div"/>
      </w:pPr>
      <w:bookmarkStart w:id="20" w:name="_Toc87257878"/>
      <w:r>
        <w:rPr>
          <w:rStyle w:val="CharDivNo"/>
        </w:rPr>
        <w:t>Division 4.1</w:t>
      </w:r>
      <w:r>
        <w:tab/>
      </w:r>
      <w:r>
        <w:rPr>
          <w:rStyle w:val="CharDivText"/>
        </w:rPr>
        <w:t>Interpretation</w:t>
      </w:r>
      <w:bookmarkEnd w:id="20"/>
    </w:p>
    <w:p w:rsidR="00B40966" w:rsidRDefault="00B40966">
      <w:pPr>
        <w:pStyle w:val="AH5Sec"/>
      </w:pPr>
      <w:bookmarkStart w:id="21" w:name="_Toc87257879"/>
      <w:r>
        <w:rPr>
          <w:rStyle w:val="CharSectNo"/>
        </w:rPr>
        <w:t>16</w:t>
      </w:r>
      <w:bookmarkEnd w:id="21"/>
      <w:r>
        <w:tab/>
        <w:t xml:space="preserve">  </w:t>
      </w:r>
    </w:p>
    <w:p w:rsidR="00B40966" w:rsidRDefault="00B40966">
      <w:pPr>
        <w:pStyle w:val="Amain"/>
      </w:pPr>
      <w:r>
        <w:tab/>
        <w:t>(1)</w:t>
      </w:r>
      <w:r>
        <w:tab/>
        <w:t>In this part:</w:t>
      </w:r>
    </w:p>
    <w:p w:rsidR="00B40966" w:rsidRDefault="00B40966">
      <w:pPr>
        <w:pStyle w:val="aDef"/>
      </w:pPr>
      <w:r>
        <w:rPr>
          <w:rStyle w:val="charBoldItals"/>
        </w:rPr>
        <w:t>conveyor</w:t>
      </w:r>
      <w:r>
        <w:t xml:space="preserve"> means a lift so arranged that goods are raised or lowered by means of an endless belt or chain or by fittings attached to the lift, in an inclined or vertical direction.</w:t>
      </w:r>
    </w:p>
    <w:p w:rsidR="00B40966" w:rsidRDefault="00B40966">
      <w:pPr>
        <w:pStyle w:val="aDef"/>
      </w:pPr>
      <w:r>
        <w:rPr>
          <w:rStyle w:val="charBoldItals"/>
        </w:rPr>
        <w:t>safety gear</w:t>
      </w:r>
      <w:r>
        <w:t xml:space="preserve"> means a mechanical device or mechanism attached to the underside of a lift car that on operation will stop and sustain the car independently of the lifting ropes.</w:t>
      </w:r>
    </w:p>
    <w:p w:rsidR="00B40966" w:rsidRDefault="00B40966">
      <w:pPr>
        <w:pStyle w:val="aDef"/>
      </w:pPr>
      <w:r>
        <w:rPr>
          <w:rStyle w:val="charBoldItals"/>
        </w:rPr>
        <w:t>service lift</w:t>
      </w:r>
      <w:r>
        <w:t xml:space="preserve"> means a lift the car of which has a floor area of not more than 9 square feet and a height of not more than 4 feet, used to carry goods only, and controlled from without the lift-well, and also includes any lift certified by the chief inspector to be a service lift.</w:t>
      </w:r>
    </w:p>
    <w:p w:rsidR="00B40966" w:rsidRDefault="00B40966">
      <w:pPr>
        <w:pStyle w:val="Assectheading"/>
      </w:pPr>
      <w:r>
        <w:t>S.A.A. Lift Code</w:t>
      </w:r>
    </w:p>
    <w:p w:rsidR="00B40966" w:rsidRDefault="00B40966">
      <w:pPr>
        <w:pStyle w:val="Amain"/>
      </w:pPr>
      <w:r>
        <w:tab/>
        <w:t>(2)</w:t>
      </w:r>
      <w:r>
        <w:tab/>
        <w:t>The provisions of Code No C.A. 3—1947 published by Standards Australia entitled ‘Australian Standard Rules for the Design, Installation, Testing and Operation of Lifts and Escalators’ (the ‘</w:t>
      </w:r>
      <w:r>
        <w:rPr>
          <w:b/>
          <w:bCs/>
          <w:i/>
          <w:iCs/>
        </w:rPr>
        <w:t>S</w:t>
      </w:r>
      <w:r>
        <w:rPr>
          <w:b/>
          <w:i/>
        </w:rPr>
        <w:t>.A.A. Lift Code</w:t>
      </w:r>
      <w:r>
        <w:t>’) shall apply to any matter or thing not provided for in this regulation.</w:t>
      </w:r>
    </w:p>
    <w:p w:rsidR="00B40966" w:rsidRDefault="00B40966">
      <w:pPr>
        <w:pStyle w:val="AH3Div"/>
      </w:pPr>
      <w:bookmarkStart w:id="22" w:name="_Toc87257880"/>
      <w:r>
        <w:rPr>
          <w:rStyle w:val="CharDivNo"/>
        </w:rPr>
        <w:t>Division 4.2</w:t>
      </w:r>
      <w:r>
        <w:rPr>
          <w:rStyle w:val="CharDivNo"/>
        </w:rPr>
        <w:tab/>
      </w:r>
      <w:r>
        <w:rPr>
          <w:rStyle w:val="CharDivText"/>
        </w:rPr>
        <w:t>Design, construction and erection of lifts</w:t>
      </w:r>
      <w:bookmarkEnd w:id="22"/>
    </w:p>
    <w:p w:rsidR="00B40966" w:rsidRDefault="00B40966">
      <w:pPr>
        <w:pStyle w:val="AH4SubDiv"/>
      </w:pPr>
      <w:bookmarkStart w:id="23" w:name="_Toc87257881"/>
      <w:r>
        <w:t>Permit to erect or alter lifts</w:t>
      </w:r>
      <w:bookmarkEnd w:id="23"/>
    </w:p>
    <w:p w:rsidR="00B40966" w:rsidRDefault="00B40966">
      <w:pPr>
        <w:pStyle w:val="AH5Sec"/>
      </w:pPr>
      <w:bookmarkStart w:id="24" w:name="_Toc87257882"/>
      <w:r>
        <w:rPr>
          <w:rStyle w:val="CharSectNo"/>
        </w:rPr>
        <w:t>17</w:t>
      </w:r>
      <w:bookmarkEnd w:id="24"/>
      <w:r>
        <w:tab/>
        <w:t xml:space="preserve">  </w:t>
      </w:r>
    </w:p>
    <w:p w:rsidR="00B40966" w:rsidRDefault="00B40966">
      <w:pPr>
        <w:pStyle w:val="Amain"/>
      </w:pPr>
      <w:r>
        <w:tab/>
        <w:t>(1)</w:t>
      </w:r>
      <w:r>
        <w:tab/>
        <w:t>No person shall erect or alter a lift without first obtaining a permit from the chief inspector.</w:t>
      </w:r>
    </w:p>
    <w:p w:rsidR="00B40966" w:rsidRDefault="00B40966">
      <w:pPr>
        <w:pStyle w:val="Amain"/>
      </w:pPr>
      <w:r>
        <w:tab/>
        <w:t>(2)</w:t>
      </w:r>
      <w:r>
        <w:tab/>
        <w:t>The applicant for a permit to erect a lift shall lodge with the chief inspector a description and plans of the lift that includes particulars of the machine, control, operating and safety devices, size and construction of car, and a general layout showing the size of the motor room and means of access to it, supports for the machine and guides, the overruns, the pit and the lift-well enclosures, and shall specify the maximum load that the lift is designed to carry and the rated speed of the lift.</w:t>
      </w:r>
    </w:p>
    <w:p w:rsidR="00B40966" w:rsidRDefault="00B40966">
      <w:pPr>
        <w:pStyle w:val="Amain"/>
      </w:pPr>
      <w:r>
        <w:tab/>
        <w:t>(3)</w:t>
      </w:r>
      <w:r>
        <w:tab/>
        <w:t>The applicant for a permit to alter a lift shall lodge a description and particulars of the proposed alterations.</w:t>
      </w:r>
    </w:p>
    <w:p w:rsidR="00B40966" w:rsidRDefault="00B40966">
      <w:pPr>
        <w:pStyle w:val="Amain"/>
      </w:pPr>
      <w:r>
        <w:tab/>
        <w:t>(4)</w:t>
      </w:r>
      <w:r>
        <w:tab/>
        <w:t>The description and plans shall be filed in the office of the chief inspector.</w:t>
      </w:r>
    </w:p>
    <w:p w:rsidR="00B40966" w:rsidRDefault="00B40966">
      <w:pPr>
        <w:pStyle w:val="Amain"/>
      </w:pPr>
      <w:r>
        <w:tab/>
        <w:t>(5)</w:t>
      </w:r>
      <w:r>
        <w:tab/>
        <w:t>Before granting a permit the chief inspector may require any alterations in the design to be made that appear to the chief inspector to be necessary for the safe working of the lift or to ensure compliance with this regulation.</w:t>
      </w:r>
    </w:p>
    <w:p w:rsidR="00B40966" w:rsidRDefault="00B40966">
      <w:pPr>
        <w:pStyle w:val="Amain"/>
      </w:pPr>
      <w:r>
        <w:tab/>
        <w:t>(6)</w:t>
      </w:r>
      <w:r>
        <w:tab/>
        <w:t>Every lift shall be erected in accordance with the description and plans submitted to and approved by the chief inspector and in accordance with any direction endorsed on the permit and in conformity with this regulation.</w:t>
      </w:r>
    </w:p>
    <w:p w:rsidR="00B40966" w:rsidRDefault="00B40966">
      <w:pPr>
        <w:pStyle w:val="AH4SubDiv"/>
      </w:pPr>
      <w:bookmarkStart w:id="25" w:name="_Toc87257883"/>
      <w:r>
        <w:t>Safe working load of a lift</w:t>
      </w:r>
      <w:bookmarkEnd w:id="25"/>
    </w:p>
    <w:p w:rsidR="00B40966" w:rsidRDefault="00B40966">
      <w:pPr>
        <w:pStyle w:val="AH5Sec"/>
      </w:pPr>
      <w:bookmarkStart w:id="26" w:name="_Toc87257884"/>
      <w:r>
        <w:rPr>
          <w:rStyle w:val="CharSectNo"/>
        </w:rPr>
        <w:t>18</w:t>
      </w:r>
      <w:bookmarkEnd w:id="26"/>
      <w:r>
        <w:tab/>
        <w:t xml:space="preserve">  </w:t>
      </w:r>
    </w:p>
    <w:p w:rsidR="00B40966" w:rsidRDefault="00B40966">
      <w:pPr>
        <w:pStyle w:val="Amain"/>
      </w:pPr>
      <w:r>
        <w:tab/>
        <w:t>(1)</w:t>
      </w:r>
      <w:r>
        <w:tab/>
        <w:t>The safe working load specified in the permit to erect or alter a lift shall be the safe working load of the lift.</w:t>
      </w:r>
    </w:p>
    <w:p w:rsidR="00B40966" w:rsidRDefault="00B40966">
      <w:pPr>
        <w:pStyle w:val="Amain"/>
      </w:pPr>
      <w:r>
        <w:tab/>
        <w:t>(2)</w:t>
      </w:r>
      <w:r>
        <w:tab/>
        <w:t>The chief inspector may by written notice served on the owner vary the safe working load of any lift and the safe working load as varied shall then be the safe working load of the lift until revoked or further varied by the chief inspector.</w:t>
      </w:r>
    </w:p>
    <w:p w:rsidR="00B40966" w:rsidRDefault="00B40966">
      <w:pPr>
        <w:pStyle w:val="Amain"/>
      </w:pPr>
      <w:r>
        <w:tab/>
        <w:t>(3)</w:t>
      </w:r>
      <w:r>
        <w:tab/>
        <w:t>The notice stating the safe working load required to be exhibited under section 70 may state a safe working load less than the safe working load as determined under this section.</w:t>
      </w:r>
    </w:p>
    <w:p w:rsidR="00B40966" w:rsidRDefault="00B40966">
      <w:pPr>
        <w:pStyle w:val="Amain"/>
      </w:pPr>
      <w:r>
        <w:tab/>
        <w:t>(4)</w:t>
      </w:r>
      <w:r>
        <w:tab/>
        <w:t>The notice stating the safe working load required to be exhibited in the car of a passenger lift shall state the maximum number of people to be carried, which number shall not be greater than the safe working load in pounds divided by 150.</w:t>
      </w:r>
    </w:p>
    <w:p w:rsidR="00B40966" w:rsidRDefault="00B40966">
      <w:pPr>
        <w:pStyle w:val="Amain"/>
      </w:pPr>
      <w:r>
        <w:tab/>
        <w:t>(5)</w:t>
      </w:r>
      <w:r>
        <w:tab/>
        <w:t>The notice stating the safe working load required to be exhibited in relation to lifts other than passenger lifts must state the load in pounds.</w:t>
      </w:r>
    </w:p>
    <w:p w:rsidR="00B40966" w:rsidRDefault="00B40966">
      <w:pPr>
        <w:pStyle w:val="AH4SubDiv"/>
      </w:pPr>
      <w:bookmarkStart w:id="27" w:name="_Toc87257885"/>
      <w:r>
        <w:t>Construction</w:t>
      </w:r>
      <w:bookmarkEnd w:id="27"/>
    </w:p>
    <w:p w:rsidR="00B40966" w:rsidRDefault="00B40966">
      <w:pPr>
        <w:pStyle w:val="AH5Sec"/>
      </w:pPr>
      <w:bookmarkStart w:id="28" w:name="_Toc87257886"/>
      <w:r>
        <w:rPr>
          <w:rStyle w:val="CharSectNo"/>
        </w:rPr>
        <w:t>19</w:t>
      </w:r>
      <w:bookmarkEnd w:id="28"/>
      <w:r>
        <w:tab/>
        <w:t xml:space="preserve">  </w:t>
      </w:r>
    </w:p>
    <w:p w:rsidR="00B40966" w:rsidRDefault="00B40966">
      <w:pPr>
        <w:pStyle w:val="Amainreturn"/>
      </w:pPr>
      <w:r>
        <w:t>Every lift and every part of it shall be of sound material, good construction, adequate strength, free from patent defects and be suitable and safe for the purpose for which it is intended.</w:t>
      </w:r>
    </w:p>
    <w:p w:rsidR="00B40966" w:rsidRDefault="00B40966">
      <w:pPr>
        <w:pStyle w:val="AH5Sec"/>
      </w:pPr>
      <w:bookmarkStart w:id="29" w:name="_Toc87257887"/>
      <w:r>
        <w:rPr>
          <w:rStyle w:val="CharSectNo"/>
        </w:rPr>
        <w:t>20</w:t>
      </w:r>
      <w:bookmarkEnd w:id="29"/>
      <w:r>
        <w:tab/>
        <w:t xml:space="preserve">  </w:t>
      </w:r>
    </w:p>
    <w:p w:rsidR="00B40966" w:rsidRDefault="00B40966">
      <w:pPr>
        <w:pStyle w:val="Amainreturn"/>
      </w:pPr>
      <w:r>
        <w:t>All work performed and all machines, equipment and material used in connection with any lift shall be subject to the approval of the chief inspector, who shall, as often as it appears to the chief inspector necessary, cause them to be inspected and tested.</w:t>
      </w:r>
    </w:p>
    <w:p w:rsidR="00B40966" w:rsidRDefault="00B40966">
      <w:pPr>
        <w:pStyle w:val="AH5Sec"/>
      </w:pPr>
      <w:bookmarkStart w:id="30" w:name="_Toc87257888"/>
      <w:r>
        <w:rPr>
          <w:rStyle w:val="CharSectNo"/>
        </w:rPr>
        <w:t>21</w:t>
      </w:r>
      <w:bookmarkEnd w:id="30"/>
      <w:r>
        <w:tab/>
        <w:t xml:space="preserve">  </w:t>
      </w:r>
    </w:p>
    <w:p w:rsidR="00B40966" w:rsidRDefault="00B40966">
      <w:pPr>
        <w:pStyle w:val="Amainreturn"/>
      </w:pPr>
      <w:r>
        <w:t>No person other than a person engaged on the erection, or alteration of a lift, shall work, use or interfere with the lift until the lift has been approved by an inspector for general use.</w:t>
      </w:r>
    </w:p>
    <w:p w:rsidR="00B40966" w:rsidRDefault="00B40966">
      <w:pPr>
        <w:pStyle w:val="AH4SubDiv"/>
      </w:pPr>
      <w:bookmarkStart w:id="31" w:name="_Toc87257889"/>
      <w:r>
        <w:t>Car loading automatic passenger lifts</w:t>
      </w:r>
      <w:bookmarkEnd w:id="31"/>
    </w:p>
    <w:p w:rsidR="00B40966" w:rsidRDefault="00B40966">
      <w:pPr>
        <w:pStyle w:val="AH5Sec"/>
      </w:pPr>
      <w:bookmarkStart w:id="32" w:name="_Toc87257890"/>
      <w:r>
        <w:t>22</w:t>
      </w:r>
      <w:bookmarkEnd w:id="32"/>
      <w:r>
        <w:tab/>
        <w:t xml:space="preserve">  </w:t>
      </w:r>
    </w:p>
    <w:p w:rsidR="00B40966" w:rsidRDefault="00B40966">
      <w:pPr>
        <w:pStyle w:val="Amain"/>
      </w:pPr>
      <w:r>
        <w:tab/>
        <w:t>(1)</w:t>
      </w:r>
      <w:r>
        <w:tab/>
        <w:t>Every passenger lift being an automatic lift shall be designed and constructed on the basis of a load of not less than 75 pounds per square foot of net car or platform floor area.</w:t>
      </w:r>
    </w:p>
    <w:p w:rsidR="00B40966" w:rsidRDefault="00B40966">
      <w:pPr>
        <w:pStyle w:val="Amain"/>
        <w:keepLines/>
      </w:pPr>
      <w:r>
        <w:tab/>
        <w:t>(2)</w:t>
      </w:r>
      <w:r>
        <w:tab/>
        <w:t>The chief inspector may exempt from the operation of this section any lift designed to carry beds, stretchers or invalid chairs in a hospital or similar institution, or any lift with a car floor area not exceeding 9 square feet.</w:t>
      </w:r>
    </w:p>
    <w:p w:rsidR="00B40966" w:rsidRDefault="00B40966">
      <w:pPr>
        <w:pStyle w:val="AH4SubDiv"/>
      </w:pPr>
      <w:bookmarkStart w:id="33" w:name="_Toc87257891"/>
      <w:r>
        <w:t>Supporting structures and machine rooms</w:t>
      </w:r>
      <w:bookmarkEnd w:id="33"/>
    </w:p>
    <w:p w:rsidR="00B40966" w:rsidRDefault="00B40966">
      <w:pPr>
        <w:pStyle w:val="AH5Sec"/>
      </w:pPr>
      <w:bookmarkStart w:id="34" w:name="_Toc87257892"/>
      <w:r>
        <w:rPr>
          <w:rStyle w:val="CharSectNo"/>
        </w:rPr>
        <w:t>23</w:t>
      </w:r>
      <w:bookmarkEnd w:id="34"/>
      <w:r>
        <w:tab/>
        <w:t xml:space="preserve">  </w:t>
      </w:r>
    </w:p>
    <w:p w:rsidR="00B40966" w:rsidRDefault="00B40966">
      <w:pPr>
        <w:pStyle w:val="Amain"/>
      </w:pPr>
      <w:r>
        <w:tab/>
        <w:t>(1)</w:t>
      </w:r>
      <w:r>
        <w:tab/>
        <w:t>The supporting structure of every lift shall be designed and constructed in accordance with part 11.</w:t>
      </w:r>
    </w:p>
    <w:p w:rsidR="00B40966" w:rsidRDefault="00B40966">
      <w:pPr>
        <w:pStyle w:val="Amain"/>
      </w:pPr>
      <w:r>
        <w:tab/>
        <w:t>(2)</w:t>
      </w:r>
      <w:r>
        <w:tab/>
        <w:t>The machine, control mechanism and all parts of the equipment of every lift, other than those parts that must necessarily be placed elsewhere to effectively perform their functions shall be housed in a machine room.</w:t>
      </w:r>
    </w:p>
    <w:p w:rsidR="00B40966" w:rsidRDefault="00B40966">
      <w:pPr>
        <w:pStyle w:val="Amain"/>
      </w:pPr>
      <w:r>
        <w:tab/>
        <w:t>(3)</w:t>
      </w:r>
      <w:r>
        <w:tab/>
        <w:t>The area and height of the machine room shall be adequate to permit of free and safe access for purposes of inspection and maintenance of all parts of the machine and lift equipment located in it, and the machine room shall be adequately illuminated and ventilated and shall be provided with safe and convenient means of access.</w:t>
      </w:r>
    </w:p>
    <w:p w:rsidR="00B40966" w:rsidRDefault="00B40966">
      <w:pPr>
        <w:pStyle w:val="Amain"/>
      </w:pPr>
      <w:r>
        <w:tab/>
        <w:t>(4)</w:t>
      </w:r>
      <w:r>
        <w:tab/>
        <w:t>Every entrance to the machine room shall be provided with a door.</w:t>
      </w:r>
    </w:p>
    <w:p w:rsidR="00B40966" w:rsidRDefault="00B40966">
      <w:pPr>
        <w:pStyle w:val="Amain"/>
      </w:pPr>
      <w:r>
        <w:tab/>
        <w:t>(5)</w:t>
      </w:r>
      <w:r>
        <w:tab/>
        <w:t>Every door to the machine room shall be provided with a lock that can be opened from outside the room only by the use of a key.</w:t>
      </w:r>
    </w:p>
    <w:p w:rsidR="00B40966" w:rsidRDefault="00B40966">
      <w:pPr>
        <w:pStyle w:val="Amain"/>
      </w:pPr>
      <w:r>
        <w:tab/>
        <w:t>(6)</w:t>
      </w:r>
      <w:r>
        <w:tab/>
        <w:t>If the door locks on closing, it shall be of a type that does not require a key to unlock it from within the machine room.</w:t>
      </w:r>
    </w:p>
    <w:p w:rsidR="00B40966" w:rsidRDefault="00B40966">
      <w:pPr>
        <w:pStyle w:val="Amain"/>
      </w:pPr>
      <w:r>
        <w:tab/>
        <w:t>(7)</w:t>
      </w:r>
      <w:r>
        <w:tab/>
        <w:t>If lift machine room equipment is situatedd on more than 1 floor, effective means of switching off the power shall be provided at each floor.</w:t>
      </w:r>
    </w:p>
    <w:p w:rsidR="00B40966" w:rsidRDefault="00B40966">
      <w:pPr>
        <w:pStyle w:val="AH4SubDiv"/>
      </w:pPr>
      <w:bookmarkStart w:id="35" w:name="_Toc87257893"/>
      <w:r>
        <w:t>Overruns</w:t>
      </w:r>
      <w:bookmarkEnd w:id="35"/>
    </w:p>
    <w:p w:rsidR="00B40966" w:rsidRDefault="00B40966">
      <w:pPr>
        <w:pStyle w:val="AH5Sec"/>
      </w:pPr>
      <w:bookmarkStart w:id="36" w:name="_Toc87257894"/>
      <w:r>
        <w:rPr>
          <w:rStyle w:val="CharSectNo"/>
        </w:rPr>
        <w:t>24</w:t>
      </w:r>
      <w:bookmarkEnd w:id="36"/>
      <w:r>
        <w:tab/>
        <w:t xml:space="preserve">  </w:t>
      </w:r>
    </w:p>
    <w:p w:rsidR="00B40966" w:rsidRDefault="00B40966">
      <w:pPr>
        <w:pStyle w:val="Amain"/>
      </w:pPr>
      <w:r>
        <w:tab/>
        <w:t>(1)</w:t>
      </w:r>
      <w:r>
        <w:tab/>
        <w:t>The overrun provided for a car and for a counterweight of any lift other than for a service lift, shall be not less than that specified in table 24:</w:t>
      </w:r>
    </w:p>
    <w:p w:rsidR="00B40966" w:rsidRDefault="00B40966">
      <w:pPr>
        <w:pStyle w:val="TableHd"/>
      </w:pPr>
      <w:r>
        <w:t>Table 24</w:t>
      </w:r>
    </w:p>
    <w:tbl>
      <w:tblPr>
        <w:tblW w:w="0" w:type="auto"/>
        <w:tblLayout w:type="fixed"/>
        <w:tblCellMar>
          <w:left w:w="80" w:type="dxa"/>
          <w:right w:w="80" w:type="dxa"/>
        </w:tblCellMar>
        <w:tblLook w:val="0000" w:firstRow="0" w:lastRow="0" w:firstColumn="0" w:lastColumn="0" w:noHBand="0" w:noVBand="0"/>
      </w:tblPr>
      <w:tblGrid>
        <w:gridCol w:w="1760"/>
        <w:gridCol w:w="960"/>
        <w:gridCol w:w="520"/>
        <w:gridCol w:w="320"/>
        <w:gridCol w:w="240"/>
        <w:gridCol w:w="960"/>
        <w:gridCol w:w="720"/>
        <w:gridCol w:w="180"/>
        <w:gridCol w:w="936"/>
        <w:gridCol w:w="804"/>
      </w:tblGrid>
      <w:tr w:rsidR="00B40966">
        <w:trPr>
          <w:cantSplit/>
        </w:trPr>
        <w:tc>
          <w:tcPr>
            <w:tcW w:w="3240" w:type="dxa"/>
            <w:gridSpan w:val="3"/>
            <w:tcBorders>
              <w:bottom w:val="single" w:sz="6" w:space="0" w:color="auto"/>
            </w:tcBorders>
          </w:tcPr>
          <w:p w:rsidR="00B40966" w:rsidRDefault="00B40966">
            <w:pPr>
              <w:pStyle w:val="TableColHd"/>
              <w:jc w:val="center"/>
            </w:pPr>
            <w:r>
              <w:t>Car</w:t>
            </w:r>
          </w:p>
        </w:tc>
        <w:tc>
          <w:tcPr>
            <w:tcW w:w="4160" w:type="dxa"/>
            <w:gridSpan w:val="7"/>
            <w:tcBorders>
              <w:bottom w:val="single" w:sz="6" w:space="0" w:color="auto"/>
            </w:tcBorders>
          </w:tcPr>
          <w:p w:rsidR="00B40966" w:rsidRDefault="00B40966">
            <w:pPr>
              <w:pStyle w:val="TableColHd"/>
              <w:jc w:val="center"/>
            </w:pPr>
            <w:r>
              <w:t>Counterweight</w:t>
            </w:r>
          </w:p>
        </w:tc>
      </w:tr>
      <w:tr w:rsidR="00B40966">
        <w:trPr>
          <w:cantSplit/>
        </w:trPr>
        <w:tc>
          <w:tcPr>
            <w:tcW w:w="1760" w:type="dxa"/>
            <w:vAlign w:val="bottom"/>
          </w:tcPr>
          <w:p w:rsidR="00B40966" w:rsidRDefault="00B40966">
            <w:pPr>
              <w:rPr>
                <w:rFonts w:ascii="Arial" w:hAnsi="Arial"/>
                <w:sz w:val="20"/>
              </w:rPr>
            </w:pPr>
          </w:p>
        </w:tc>
        <w:tc>
          <w:tcPr>
            <w:tcW w:w="1800" w:type="dxa"/>
            <w:gridSpan w:val="3"/>
            <w:tcBorders>
              <w:bottom w:val="single" w:sz="4" w:space="0" w:color="auto"/>
            </w:tcBorders>
            <w:vAlign w:val="bottom"/>
          </w:tcPr>
          <w:p w:rsidR="00B40966" w:rsidRDefault="00B40966">
            <w:pPr>
              <w:rPr>
                <w:rFonts w:ascii="Arial" w:hAnsi="Arial"/>
                <w:sz w:val="20"/>
              </w:rPr>
            </w:pPr>
            <w:r>
              <w:rPr>
                <w:rFonts w:ascii="Arial" w:hAnsi="Arial"/>
                <w:sz w:val="20"/>
              </w:rPr>
              <w:t>top overrun</w:t>
            </w:r>
          </w:p>
        </w:tc>
        <w:tc>
          <w:tcPr>
            <w:tcW w:w="240" w:type="dxa"/>
            <w:tcBorders>
              <w:left w:val="nil"/>
            </w:tcBorders>
            <w:vAlign w:val="bottom"/>
          </w:tcPr>
          <w:p w:rsidR="00B40966" w:rsidRDefault="00B40966">
            <w:pPr>
              <w:rPr>
                <w:rFonts w:ascii="Arial" w:hAnsi="Arial"/>
                <w:sz w:val="20"/>
              </w:rPr>
            </w:pPr>
          </w:p>
        </w:tc>
        <w:tc>
          <w:tcPr>
            <w:tcW w:w="1680" w:type="dxa"/>
            <w:gridSpan w:val="2"/>
            <w:vAlign w:val="bottom"/>
          </w:tcPr>
          <w:p w:rsidR="00B40966" w:rsidRDefault="00B40966">
            <w:pPr>
              <w:rPr>
                <w:rFonts w:ascii="Arial" w:hAnsi="Arial"/>
                <w:color w:val="000000"/>
                <w:sz w:val="20"/>
              </w:rPr>
            </w:pPr>
            <w:r>
              <w:rPr>
                <w:rFonts w:ascii="Arial" w:hAnsi="Arial"/>
                <w:color w:val="000000"/>
                <w:sz w:val="20"/>
              </w:rPr>
              <w:t>bottom overrun</w:t>
            </w:r>
          </w:p>
        </w:tc>
        <w:tc>
          <w:tcPr>
            <w:tcW w:w="180" w:type="dxa"/>
            <w:vAlign w:val="bottom"/>
          </w:tcPr>
          <w:p w:rsidR="00B40966" w:rsidRDefault="00B40966">
            <w:pPr>
              <w:rPr>
                <w:rFonts w:ascii="Arial" w:hAnsi="Arial"/>
                <w:color w:val="000000"/>
                <w:sz w:val="20"/>
              </w:rPr>
            </w:pPr>
          </w:p>
        </w:tc>
        <w:tc>
          <w:tcPr>
            <w:tcW w:w="1740" w:type="dxa"/>
            <w:gridSpan w:val="2"/>
            <w:vAlign w:val="bottom"/>
          </w:tcPr>
          <w:p w:rsidR="00B40966" w:rsidRDefault="00B40966">
            <w:pPr>
              <w:rPr>
                <w:rFonts w:ascii="Arial" w:hAnsi="Arial"/>
                <w:color w:val="000000"/>
                <w:sz w:val="20"/>
              </w:rPr>
            </w:pPr>
            <w:r>
              <w:rPr>
                <w:rFonts w:ascii="Arial" w:hAnsi="Arial"/>
                <w:color w:val="000000"/>
                <w:sz w:val="20"/>
              </w:rPr>
              <w:t>top overrun (with car landed)</w:t>
            </w:r>
          </w:p>
        </w:tc>
      </w:tr>
      <w:tr w:rsidR="00B40966">
        <w:trPr>
          <w:cantSplit/>
        </w:trPr>
        <w:tc>
          <w:tcPr>
            <w:tcW w:w="1760" w:type="dxa"/>
            <w:tcBorders>
              <w:bottom w:val="single" w:sz="6" w:space="0" w:color="auto"/>
            </w:tcBorders>
          </w:tcPr>
          <w:p w:rsidR="00B40966" w:rsidRDefault="00B40966">
            <w:pPr>
              <w:rPr>
                <w:rFonts w:ascii="Arial" w:hAnsi="Arial"/>
                <w:sz w:val="20"/>
              </w:rPr>
            </w:pPr>
            <w:r>
              <w:rPr>
                <w:rFonts w:ascii="Arial" w:hAnsi="Arial"/>
                <w:sz w:val="20"/>
              </w:rPr>
              <w:t xml:space="preserve">rated speed </w:t>
            </w:r>
            <w:r>
              <w:rPr>
                <w:rFonts w:ascii="Arial" w:hAnsi="Arial"/>
                <w:sz w:val="20"/>
              </w:rPr>
              <w:br/>
              <w:t>in feet per/min</w:t>
            </w:r>
          </w:p>
        </w:tc>
        <w:tc>
          <w:tcPr>
            <w:tcW w:w="960" w:type="dxa"/>
            <w:tcBorders>
              <w:top w:val="single" w:sz="4" w:space="0" w:color="auto"/>
              <w:bottom w:val="single" w:sz="6" w:space="0" w:color="auto"/>
            </w:tcBorders>
          </w:tcPr>
          <w:p w:rsidR="00B40966" w:rsidRDefault="00B40966">
            <w:pPr>
              <w:rPr>
                <w:rFonts w:ascii="Arial" w:hAnsi="Arial"/>
                <w:sz w:val="20"/>
              </w:rPr>
            </w:pPr>
            <w:r>
              <w:rPr>
                <w:rFonts w:ascii="Arial" w:hAnsi="Arial"/>
                <w:sz w:val="20"/>
              </w:rPr>
              <w:t>traction drive</w:t>
            </w:r>
          </w:p>
        </w:tc>
        <w:tc>
          <w:tcPr>
            <w:tcW w:w="840" w:type="dxa"/>
            <w:gridSpan w:val="2"/>
            <w:tcBorders>
              <w:bottom w:val="single" w:sz="6" w:space="0" w:color="auto"/>
            </w:tcBorders>
          </w:tcPr>
          <w:p w:rsidR="00B40966" w:rsidRDefault="00B40966">
            <w:pPr>
              <w:rPr>
                <w:rFonts w:ascii="Arial" w:hAnsi="Arial"/>
                <w:sz w:val="20"/>
              </w:rPr>
            </w:pPr>
            <w:r>
              <w:rPr>
                <w:rFonts w:ascii="Arial" w:hAnsi="Arial"/>
                <w:sz w:val="20"/>
              </w:rPr>
              <w:t>drum drive</w:t>
            </w:r>
          </w:p>
        </w:tc>
        <w:tc>
          <w:tcPr>
            <w:tcW w:w="240" w:type="dxa"/>
            <w:tcBorders>
              <w:left w:val="nil"/>
              <w:bottom w:val="single" w:sz="6" w:space="0" w:color="auto"/>
            </w:tcBorders>
          </w:tcPr>
          <w:p w:rsidR="00B40966" w:rsidRDefault="00B40966">
            <w:pPr>
              <w:rPr>
                <w:rFonts w:ascii="Arial" w:hAnsi="Arial"/>
                <w:sz w:val="20"/>
              </w:rPr>
            </w:pPr>
          </w:p>
        </w:tc>
        <w:tc>
          <w:tcPr>
            <w:tcW w:w="960" w:type="dxa"/>
            <w:tcBorders>
              <w:top w:val="single" w:sz="4" w:space="0" w:color="auto"/>
              <w:bottom w:val="single" w:sz="6" w:space="0" w:color="auto"/>
            </w:tcBorders>
          </w:tcPr>
          <w:p w:rsidR="00B40966" w:rsidRDefault="00B40966">
            <w:pPr>
              <w:rPr>
                <w:rFonts w:ascii="Arial" w:hAnsi="Arial"/>
                <w:sz w:val="20"/>
              </w:rPr>
            </w:pPr>
            <w:r>
              <w:rPr>
                <w:rFonts w:ascii="Arial" w:hAnsi="Arial"/>
                <w:sz w:val="20"/>
              </w:rPr>
              <w:t>traction drive</w:t>
            </w:r>
          </w:p>
        </w:tc>
        <w:tc>
          <w:tcPr>
            <w:tcW w:w="720" w:type="dxa"/>
            <w:tcBorders>
              <w:top w:val="single" w:sz="4" w:space="0" w:color="auto"/>
              <w:bottom w:val="single" w:sz="6" w:space="0" w:color="auto"/>
            </w:tcBorders>
          </w:tcPr>
          <w:p w:rsidR="00B40966" w:rsidRDefault="00B40966">
            <w:pPr>
              <w:rPr>
                <w:rFonts w:ascii="Arial" w:hAnsi="Arial"/>
                <w:sz w:val="20"/>
              </w:rPr>
            </w:pPr>
            <w:r>
              <w:rPr>
                <w:rFonts w:ascii="Arial" w:hAnsi="Arial"/>
                <w:sz w:val="20"/>
              </w:rPr>
              <w:t>drum drive</w:t>
            </w:r>
          </w:p>
        </w:tc>
        <w:tc>
          <w:tcPr>
            <w:tcW w:w="180" w:type="dxa"/>
            <w:tcBorders>
              <w:bottom w:val="single" w:sz="6" w:space="0" w:color="auto"/>
            </w:tcBorders>
          </w:tcPr>
          <w:p w:rsidR="00B40966" w:rsidRDefault="00B40966">
            <w:pPr>
              <w:rPr>
                <w:rFonts w:ascii="Arial" w:hAnsi="Arial"/>
                <w:sz w:val="20"/>
              </w:rPr>
            </w:pPr>
          </w:p>
        </w:tc>
        <w:tc>
          <w:tcPr>
            <w:tcW w:w="936" w:type="dxa"/>
            <w:tcBorders>
              <w:top w:val="single" w:sz="4" w:space="0" w:color="auto"/>
              <w:bottom w:val="single" w:sz="6" w:space="0" w:color="auto"/>
            </w:tcBorders>
          </w:tcPr>
          <w:p w:rsidR="00B40966" w:rsidRDefault="00B40966">
            <w:pPr>
              <w:rPr>
                <w:rFonts w:ascii="Arial" w:hAnsi="Arial"/>
                <w:sz w:val="20"/>
              </w:rPr>
            </w:pPr>
            <w:r>
              <w:rPr>
                <w:rFonts w:ascii="Arial" w:hAnsi="Arial"/>
                <w:sz w:val="20"/>
              </w:rPr>
              <w:t>traction drive</w:t>
            </w:r>
          </w:p>
        </w:tc>
        <w:tc>
          <w:tcPr>
            <w:tcW w:w="804" w:type="dxa"/>
            <w:tcBorders>
              <w:top w:val="single" w:sz="4" w:space="0" w:color="auto"/>
              <w:bottom w:val="single" w:sz="6" w:space="0" w:color="auto"/>
            </w:tcBorders>
          </w:tcPr>
          <w:p w:rsidR="00B40966" w:rsidRDefault="00B40966">
            <w:pPr>
              <w:rPr>
                <w:rFonts w:ascii="Arial" w:hAnsi="Arial"/>
                <w:sz w:val="20"/>
              </w:rPr>
            </w:pPr>
            <w:r>
              <w:rPr>
                <w:rFonts w:ascii="Arial" w:hAnsi="Arial"/>
                <w:sz w:val="20"/>
              </w:rPr>
              <w:t>drum drive</w:t>
            </w:r>
          </w:p>
        </w:tc>
      </w:tr>
      <w:tr w:rsidR="00B40966">
        <w:trPr>
          <w:cantSplit/>
        </w:trPr>
        <w:tc>
          <w:tcPr>
            <w:tcW w:w="1760" w:type="dxa"/>
            <w:tcBorders>
              <w:top w:val="single" w:sz="6" w:space="0" w:color="auto"/>
            </w:tcBorders>
          </w:tcPr>
          <w:p w:rsidR="00B40966" w:rsidRDefault="00B40966">
            <w:pPr>
              <w:rPr>
                <w:rFonts w:ascii="Arial" w:hAnsi="Arial"/>
                <w:sz w:val="20"/>
              </w:rPr>
            </w:pPr>
          </w:p>
        </w:tc>
        <w:tc>
          <w:tcPr>
            <w:tcW w:w="960" w:type="dxa"/>
            <w:tcBorders>
              <w:top w:val="single" w:sz="6" w:space="0" w:color="auto"/>
            </w:tcBorders>
          </w:tcPr>
          <w:p w:rsidR="00B40966" w:rsidRDefault="00B40966">
            <w:pPr>
              <w:rPr>
                <w:rFonts w:ascii="Arial" w:hAnsi="Arial"/>
                <w:sz w:val="20"/>
              </w:rPr>
            </w:pPr>
            <w:r>
              <w:rPr>
                <w:rFonts w:ascii="Arial" w:hAnsi="Arial"/>
                <w:sz w:val="20"/>
              </w:rPr>
              <w:t>ft.  in.</w:t>
            </w:r>
          </w:p>
        </w:tc>
        <w:tc>
          <w:tcPr>
            <w:tcW w:w="840" w:type="dxa"/>
            <w:gridSpan w:val="2"/>
            <w:tcBorders>
              <w:top w:val="single" w:sz="6" w:space="0" w:color="auto"/>
            </w:tcBorders>
          </w:tcPr>
          <w:p w:rsidR="00B40966" w:rsidRDefault="00B40966">
            <w:pPr>
              <w:rPr>
                <w:rFonts w:ascii="Arial" w:hAnsi="Arial"/>
                <w:sz w:val="20"/>
              </w:rPr>
            </w:pPr>
            <w:r>
              <w:rPr>
                <w:rFonts w:ascii="Arial" w:hAnsi="Arial"/>
                <w:sz w:val="20"/>
              </w:rPr>
              <w:t>ft.  in.</w:t>
            </w:r>
          </w:p>
        </w:tc>
        <w:tc>
          <w:tcPr>
            <w:tcW w:w="240" w:type="dxa"/>
            <w:tcBorders>
              <w:top w:val="single" w:sz="6" w:space="0" w:color="auto"/>
              <w:left w:val="nil"/>
            </w:tcBorders>
          </w:tcPr>
          <w:p w:rsidR="00B40966" w:rsidRDefault="00B40966">
            <w:pPr>
              <w:rPr>
                <w:rFonts w:ascii="Arial" w:hAnsi="Arial"/>
                <w:sz w:val="20"/>
              </w:rPr>
            </w:pPr>
          </w:p>
        </w:tc>
        <w:tc>
          <w:tcPr>
            <w:tcW w:w="960" w:type="dxa"/>
            <w:tcBorders>
              <w:top w:val="single" w:sz="6" w:space="0" w:color="auto"/>
            </w:tcBorders>
          </w:tcPr>
          <w:p w:rsidR="00B40966" w:rsidRDefault="00B40966">
            <w:pPr>
              <w:rPr>
                <w:rFonts w:ascii="Arial" w:hAnsi="Arial"/>
                <w:sz w:val="20"/>
              </w:rPr>
            </w:pPr>
            <w:r>
              <w:rPr>
                <w:rFonts w:ascii="Arial" w:hAnsi="Arial"/>
                <w:sz w:val="20"/>
              </w:rPr>
              <w:t>ft.  in.</w:t>
            </w:r>
          </w:p>
        </w:tc>
        <w:tc>
          <w:tcPr>
            <w:tcW w:w="720" w:type="dxa"/>
            <w:tcBorders>
              <w:top w:val="single" w:sz="6" w:space="0" w:color="auto"/>
            </w:tcBorders>
          </w:tcPr>
          <w:p w:rsidR="00B40966" w:rsidRDefault="00B40966">
            <w:pPr>
              <w:rPr>
                <w:rFonts w:ascii="Arial" w:hAnsi="Arial"/>
                <w:sz w:val="20"/>
              </w:rPr>
            </w:pPr>
            <w:r>
              <w:rPr>
                <w:rFonts w:ascii="Arial" w:hAnsi="Arial"/>
                <w:sz w:val="20"/>
              </w:rPr>
              <w:t>ft.  in.</w:t>
            </w:r>
          </w:p>
        </w:tc>
        <w:tc>
          <w:tcPr>
            <w:tcW w:w="180" w:type="dxa"/>
            <w:tcBorders>
              <w:top w:val="single" w:sz="6" w:space="0" w:color="auto"/>
            </w:tcBorders>
          </w:tcPr>
          <w:p w:rsidR="00B40966" w:rsidRDefault="00B40966">
            <w:pPr>
              <w:rPr>
                <w:rFonts w:ascii="Arial" w:hAnsi="Arial"/>
                <w:sz w:val="20"/>
              </w:rPr>
            </w:pPr>
          </w:p>
        </w:tc>
        <w:tc>
          <w:tcPr>
            <w:tcW w:w="936" w:type="dxa"/>
            <w:tcBorders>
              <w:top w:val="single" w:sz="6" w:space="0" w:color="auto"/>
            </w:tcBorders>
          </w:tcPr>
          <w:p w:rsidR="00B40966" w:rsidRDefault="00B40966">
            <w:pPr>
              <w:rPr>
                <w:rFonts w:ascii="Arial" w:hAnsi="Arial"/>
                <w:sz w:val="20"/>
              </w:rPr>
            </w:pPr>
            <w:r>
              <w:rPr>
                <w:rFonts w:ascii="Arial" w:hAnsi="Arial"/>
                <w:sz w:val="20"/>
              </w:rPr>
              <w:t>ft.  in.</w:t>
            </w:r>
          </w:p>
        </w:tc>
        <w:tc>
          <w:tcPr>
            <w:tcW w:w="804" w:type="dxa"/>
            <w:tcBorders>
              <w:top w:val="single" w:sz="6" w:space="0" w:color="auto"/>
            </w:tcBorders>
          </w:tcPr>
          <w:p w:rsidR="00B40966" w:rsidRDefault="00B40966">
            <w:pPr>
              <w:rPr>
                <w:rFonts w:ascii="Arial" w:hAnsi="Arial"/>
                <w:sz w:val="20"/>
              </w:rPr>
            </w:pPr>
            <w:r>
              <w:rPr>
                <w:rFonts w:ascii="Arial" w:hAnsi="Arial"/>
                <w:sz w:val="20"/>
              </w:rPr>
              <w:t>ft.  in.</w:t>
            </w:r>
          </w:p>
        </w:tc>
      </w:tr>
      <w:tr w:rsidR="00B40966">
        <w:trPr>
          <w:cantSplit/>
        </w:trPr>
        <w:tc>
          <w:tcPr>
            <w:tcW w:w="1760" w:type="dxa"/>
          </w:tcPr>
          <w:p w:rsidR="00B40966" w:rsidRDefault="00B40966">
            <w:pPr>
              <w:rPr>
                <w:rFonts w:ascii="Arial" w:hAnsi="Arial"/>
                <w:sz w:val="20"/>
              </w:rPr>
            </w:pPr>
            <w:r>
              <w:rPr>
                <w:rFonts w:ascii="Arial" w:hAnsi="Arial"/>
                <w:sz w:val="20"/>
              </w:rPr>
              <w:t>0 to 100</w:t>
            </w:r>
            <w:r>
              <w:rPr>
                <w:rFonts w:ascii="Arial" w:hAnsi="Arial"/>
                <w:sz w:val="20"/>
              </w:rPr>
              <w:tab/>
            </w:r>
          </w:p>
        </w:tc>
        <w:tc>
          <w:tcPr>
            <w:tcW w:w="960" w:type="dxa"/>
          </w:tcPr>
          <w:p w:rsidR="00B40966" w:rsidRDefault="00B40966">
            <w:pPr>
              <w:rPr>
                <w:rFonts w:ascii="Arial" w:hAnsi="Arial"/>
                <w:sz w:val="20"/>
              </w:rPr>
            </w:pPr>
            <w:r>
              <w:rPr>
                <w:rFonts w:ascii="Arial" w:hAnsi="Arial"/>
                <w:sz w:val="20"/>
              </w:rPr>
              <w:t>3     0</w:t>
            </w:r>
          </w:p>
        </w:tc>
        <w:tc>
          <w:tcPr>
            <w:tcW w:w="840" w:type="dxa"/>
            <w:gridSpan w:val="2"/>
          </w:tcPr>
          <w:p w:rsidR="00B40966" w:rsidRDefault="00B40966">
            <w:pPr>
              <w:rPr>
                <w:rFonts w:ascii="Arial" w:hAnsi="Arial"/>
                <w:sz w:val="20"/>
              </w:rPr>
            </w:pPr>
            <w:r>
              <w:rPr>
                <w:rFonts w:ascii="Arial" w:hAnsi="Arial"/>
                <w:sz w:val="20"/>
              </w:rPr>
              <w:t>4     0</w:t>
            </w:r>
          </w:p>
        </w:tc>
        <w:tc>
          <w:tcPr>
            <w:tcW w:w="240" w:type="dxa"/>
            <w:tcBorders>
              <w:left w:val="nil"/>
            </w:tcBorders>
          </w:tcPr>
          <w:p w:rsidR="00B40966" w:rsidRDefault="00B40966">
            <w:pPr>
              <w:rPr>
                <w:rFonts w:ascii="Arial" w:hAnsi="Arial"/>
                <w:sz w:val="20"/>
              </w:rPr>
            </w:pPr>
          </w:p>
        </w:tc>
        <w:tc>
          <w:tcPr>
            <w:tcW w:w="960" w:type="dxa"/>
          </w:tcPr>
          <w:p w:rsidR="00B40966" w:rsidRDefault="00B40966">
            <w:pPr>
              <w:rPr>
                <w:rFonts w:ascii="Arial" w:hAnsi="Arial"/>
                <w:sz w:val="20"/>
              </w:rPr>
            </w:pPr>
            <w:r>
              <w:rPr>
                <w:rFonts w:ascii="Arial" w:hAnsi="Arial"/>
                <w:sz w:val="20"/>
              </w:rPr>
              <w:t>1      6</w:t>
            </w:r>
          </w:p>
        </w:tc>
        <w:tc>
          <w:tcPr>
            <w:tcW w:w="720" w:type="dxa"/>
          </w:tcPr>
          <w:p w:rsidR="00B40966" w:rsidRDefault="00B40966">
            <w:pPr>
              <w:rPr>
                <w:rFonts w:ascii="Arial" w:hAnsi="Arial"/>
                <w:sz w:val="20"/>
              </w:rPr>
            </w:pPr>
            <w:r>
              <w:rPr>
                <w:rFonts w:ascii="Arial" w:hAnsi="Arial"/>
                <w:sz w:val="20"/>
              </w:rPr>
              <w:t>1      6</w:t>
            </w:r>
          </w:p>
        </w:tc>
        <w:tc>
          <w:tcPr>
            <w:tcW w:w="180" w:type="dxa"/>
          </w:tcPr>
          <w:p w:rsidR="00B40966" w:rsidRDefault="00B40966">
            <w:pPr>
              <w:rPr>
                <w:rFonts w:ascii="Arial" w:hAnsi="Arial"/>
                <w:sz w:val="20"/>
              </w:rPr>
            </w:pPr>
          </w:p>
        </w:tc>
        <w:tc>
          <w:tcPr>
            <w:tcW w:w="936" w:type="dxa"/>
          </w:tcPr>
          <w:p w:rsidR="00B40966" w:rsidRDefault="00B40966">
            <w:pPr>
              <w:rPr>
                <w:rFonts w:ascii="Arial" w:hAnsi="Arial"/>
                <w:sz w:val="20"/>
              </w:rPr>
            </w:pPr>
            <w:r>
              <w:rPr>
                <w:rFonts w:ascii="Arial" w:hAnsi="Arial"/>
                <w:sz w:val="20"/>
              </w:rPr>
              <w:t>1      6</w:t>
            </w:r>
          </w:p>
        </w:tc>
        <w:tc>
          <w:tcPr>
            <w:tcW w:w="804" w:type="dxa"/>
          </w:tcPr>
          <w:p w:rsidR="00B40966" w:rsidRDefault="00B40966">
            <w:pPr>
              <w:rPr>
                <w:rFonts w:ascii="Arial" w:hAnsi="Arial"/>
                <w:sz w:val="20"/>
              </w:rPr>
            </w:pPr>
            <w:r>
              <w:rPr>
                <w:rFonts w:ascii="Arial" w:hAnsi="Arial"/>
                <w:sz w:val="20"/>
              </w:rPr>
              <w:t>3     0</w:t>
            </w:r>
          </w:p>
        </w:tc>
      </w:tr>
      <w:tr w:rsidR="00B40966">
        <w:trPr>
          <w:cantSplit/>
        </w:trPr>
        <w:tc>
          <w:tcPr>
            <w:tcW w:w="1760" w:type="dxa"/>
          </w:tcPr>
          <w:p w:rsidR="00B40966" w:rsidRDefault="00B40966">
            <w:pPr>
              <w:rPr>
                <w:rFonts w:ascii="Arial" w:hAnsi="Arial"/>
                <w:sz w:val="20"/>
              </w:rPr>
            </w:pPr>
            <w:r>
              <w:rPr>
                <w:rFonts w:ascii="Arial" w:hAnsi="Arial"/>
                <w:sz w:val="20"/>
              </w:rPr>
              <w:t>101 to 200</w:t>
            </w:r>
            <w:r>
              <w:rPr>
                <w:rFonts w:ascii="Arial" w:hAnsi="Arial"/>
                <w:sz w:val="20"/>
              </w:rPr>
              <w:tab/>
            </w:r>
          </w:p>
        </w:tc>
        <w:tc>
          <w:tcPr>
            <w:tcW w:w="960" w:type="dxa"/>
          </w:tcPr>
          <w:p w:rsidR="00B40966" w:rsidRDefault="00B40966">
            <w:pPr>
              <w:rPr>
                <w:rFonts w:ascii="Arial" w:hAnsi="Arial"/>
                <w:sz w:val="20"/>
              </w:rPr>
            </w:pPr>
            <w:r>
              <w:rPr>
                <w:rFonts w:ascii="Arial" w:hAnsi="Arial"/>
                <w:sz w:val="20"/>
              </w:rPr>
              <w:t>3     0</w:t>
            </w:r>
          </w:p>
        </w:tc>
        <w:tc>
          <w:tcPr>
            <w:tcW w:w="840" w:type="dxa"/>
            <w:gridSpan w:val="2"/>
          </w:tcPr>
          <w:p w:rsidR="00B40966" w:rsidRDefault="00B40966">
            <w:pPr>
              <w:rPr>
                <w:rFonts w:ascii="Arial" w:hAnsi="Arial"/>
                <w:sz w:val="20"/>
              </w:rPr>
            </w:pPr>
            <w:r>
              <w:rPr>
                <w:rFonts w:ascii="Arial" w:hAnsi="Arial"/>
                <w:sz w:val="20"/>
              </w:rPr>
              <w:t>4     0</w:t>
            </w:r>
          </w:p>
        </w:tc>
        <w:tc>
          <w:tcPr>
            <w:tcW w:w="240" w:type="dxa"/>
            <w:tcBorders>
              <w:left w:val="nil"/>
            </w:tcBorders>
          </w:tcPr>
          <w:p w:rsidR="00B40966" w:rsidRDefault="00B40966">
            <w:pPr>
              <w:rPr>
                <w:rFonts w:ascii="Arial" w:hAnsi="Arial"/>
                <w:sz w:val="20"/>
              </w:rPr>
            </w:pPr>
          </w:p>
        </w:tc>
        <w:tc>
          <w:tcPr>
            <w:tcW w:w="960" w:type="dxa"/>
          </w:tcPr>
          <w:p w:rsidR="00B40966" w:rsidRDefault="00B40966">
            <w:pPr>
              <w:rPr>
                <w:rFonts w:ascii="Arial" w:hAnsi="Arial"/>
                <w:sz w:val="20"/>
              </w:rPr>
            </w:pPr>
            <w:r>
              <w:rPr>
                <w:rFonts w:ascii="Arial" w:hAnsi="Arial"/>
                <w:sz w:val="20"/>
              </w:rPr>
              <w:t>2     0</w:t>
            </w:r>
          </w:p>
        </w:tc>
        <w:tc>
          <w:tcPr>
            <w:tcW w:w="720" w:type="dxa"/>
          </w:tcPr>
          <w:p w:rsidR="00B40966" w:rsidRDefault="00B40966">
            <w:pPr>
              <w:rPr>
                <w:rFonts w:ascii="Arial" w:hAnsi="Arial"/>
                <w:sz w:val="20"/>
              </w:rPr>
            </w:pPr>
            <w:r>
              <w:rPr>
                <w:rFonts w:ascii="Arial" w:hAnsi="Arial"/>
                <w:sz w:val="20"/>
              </w:rPr>
              <w:t>2      0</w:t>
            </w:r>
          </w:p>
        </w:tc>
        <w:tc>
          <w:tcPr>
            <w:tcW w:w="180" w:type="dxa"/>
          </w:tcPr>
          <w:p w:rsidR="00B40966" w:rsidRDefault="00B40966">
            <w:pPr>
              <w:rPr>
                <w:rFonts w:ascii="Arial" w:hAnsi="Arial"/>
                <w:sz w:val="20"/>
              </w:rPr>
            </w:pPr>
          </w:p>
        </w:tc>
        <w:tc>
          <w:tcPr>
            <w:tcW w:w="936" w:type="dxa"/>
          </w:tcPr>
          <w:p w:rsidR="00B40966" w:rsidRDefault="00B40966">
            <w:pPr>
              <w:rPr>
                <w:rFonts w:ascii="Arial" w:hAnsi="Arial"/>
                <w:sz w:val="20"/>
              </w:rPr>
            </w:pPr>
            <w:r>
              <w:rPr>
                <w:rFonts w:ascii="Arial" w:hAnsi="Arial"/>
                <w:sz w:val="20"/>
              </w:rPr>
              <w:t>1      6</w:t>
            </w:r>
          </w:p>
        </w:tc>
        <w:tc>
          <w:tcPr>
            <w:tcW w:w="804" w:type="dxa"/>
          </w:tcPr>
          <w:p w:rsidR="00B40966" w:rsidRDefault="00B40966">
            <w:pPr>
              <w:rPr>
                <w:rFonts w:ascii="Arial" w:hAnsi="Arial"/>
                <w:sz w:val="20"/>
              </w:rPr>
            </w:pPr>
            <w:r>
              <w:rPr>
                <w:rFonts w:ascii="Arial" w:hAnsi="Arial"/>
                <w:sz w:val="20"/>
              </w:rPr>
              <w:t>3     0</w:t>
            </w:r>
          </w:p>
        </w:tc>
      </w:tr>
      <w:tr w:rsidR="00B40966">
        <w:trPr>
          <w:cantSplit/>
        </w:trPr>
        <w:tc>
          <w:tcPr>
            <w:tcW w:w="1760" w:type="dxa"/>
          </w:tcPr>
          <w:p w:rsidR="00B40966" w:rsidRDefault="00B40966">
            <w:pPr>
              <w:rPr>
                <w:rFonts w:ascii="Arial" w:hAnsi="Arial"/>
                <w:sz w:val="20"/>
              </w:rPr>
            </w:pPr>
            <w:r>
              <w:rPr>
                <w:rFonts w:ascii="Arial" w:hAnsi="Arial"/>
                <w:sz w:val="20"/>
              </w:rPr>
              <w:t>201 to 300</w:t>
            </w:r>
            <w:r>
              <w:rPr>
                <w:rFonts w:ascii="Arial" w:hAnsi="Arial"/>
                <w:sz w:val="20"/>
              </w:rPr>
              <w:tab/>
            </w:r>
          </w:p>
        </w:tc>
        <w:tc>
          <w:tcPr>
            <w:tcW w:w="960" w:type="dxa"/>
          </w:tcPr>
          <w:p w:rsidR="00B40966" w:rsidRDefault="00B40966">
            <w:pPr>
              <w:rPr>
                <w:rFonts w:ascii="Arial" w:hAnsi="Arial"/>
                <w:sz w:val="20"/>
              </w:rPr>
            </w:pPr>
            <w:r>
              <w:rPr>
                <w:rFonts w:ascii="Arial" w:hAnsi="Arial"/>
                <w:sz w:val="20"/>
              </w:rPr>
              <w:t>4     0</w:t>
            </w:r>
          </w:p>
        </w:tc>
        <w:tc>
          <w:tcPr>
            <w:tcW w:w="840" w:type="dxa"/>
            <w:gridSpan w:val="2"/>
          </w:tcPr>
          <w:p w:rsidR="00B40966" w:rsidRDefault="00B40966">
            <w:pPr>
              <w:rPr>
                <w:rFonts w:ascii="Arial" w:hAnsi="Arial"/>
                <w:sz w:val="20"/>
              </w:rPr>
            </w:pPr>
            <w:r>
              <w:rPr>
                <w:rFonts w:ascii="Arial" w:hAnsi="Arial"/>
                <w:sz w:val="20"/>
              </w:rPr>
              <w:t>5     4</w:t>
            </w:r>
          </w:p>
        </w:tc>
        <w:tc>
          <w:tcPr>
            <w:tcW w:w="240" w:type="dxa"/>
            <w:tcBorders>
              <w:left w:val="nil"/>
            </w:tcBorders>
          </w:tcPr>
          <w:p w:rsidR="00B40966" w:rsidRDefault="00B40966">
            <w:pPr>
              <w:rPr>
                <w:rFonts w:ascii="Arial" w:hAnsi="Arial"/>
                <w:sz w:val="20"/>
              </w:rPr>
            </w:pPr>
          </w:p>
        </w:tc>
        <w:tc>
          <w:tcPr>
            <w:tcW w:w="960" w:type="dxa"/>
          </w:tcPr>
          <w:p w:rsidR="00B40966" w:rsidRDefault="00B40966">
            <w:pPr>
              <w:rPr>
                <w:rFonts w:ascii="Arial" w:hAnsi="Arial"/>
                <w:sz w:val="20"/>
              </w:rPr>
            </w:pPr>
            <w:r>
              <w:rPr>
                <w:rFonts w:ascii="Arial" w:hAnsi="Arial"/>
                <w:sz w:val="20"/>
              </w:rPr>
              <w:t>2     6</w:t>
            </w:r>
          </w:p>
        </w:tc>
        <w:tc>
          <w:tcPr>
            <w:tcW w:w="720" w:type="dxa"/>
          </w:tcPr>
          <w:p w:rsidR="00B40966" w:rsidRDefault="00B40966">
            <w:pPr>
              <w:rPr>
                <w:rFonts w:ascii="Arial" w:hAnsi="Arial"/>
                <w:sz w:val="20"/>
              </w:rPr>
            </w:pPr>
            <w:r>
              <w:rPr>
                <w:rFonts w:ascii="Arial" w:hAnsi="Arial"/>
                <w:sz w:val="20"/>
              </w:rPr>
              <w:t>2      6</w:t>
            </w:r>
          </w:p>
        </w:tc>
        <w:tc>
          <w:tcPr>
            <w:tcW w:w="180" w:type="dxa"/>
          </w:tcPr>
          <w:p w:rsidR="00B40966" w:rsidRDefault="00B40966">
            <w:pPr>
              <w:rPr>
                <w:rFonts w:ascii="Arial" w:hAnsi="Arial"/>
                <w:sz w:val="20"/>
              </w:rPr>
            </w:pPr>
          </w:p>
        </w:tc>
        <w:tc>
          <w:tcPr>
            <w:tcW w:w="936" w:type="dxa"/>
          </w:tcPr>
          <w:p w:rsidR="00B40966" w:rsidRDefault="00B40966">
            <w:pPr>
              <w:rPr>
                <w:rFonts w:ascii="Arial" w:hAnsi="Arial"/>
                <w:sz w:val="20"/>
              </w:rPr>
            </w:pPr>
            <w:r>
              <w:rPr>
                <w:rFonts w:ascii="Arial" w:hAnsi="Arial"/>
                <w:sz w:val="20"/>
              </w:rPr>
              <w:t>2      0</w:t>
            </w:r>
          </w:p>
        </w:tc>
        <w:tc>
          <w:tcPr>
            <w:tcW w:w="804" w:type="dxa"/>
          </w:tcPr>
          <w:p w:rsidR="00B40966" w:rsidRDefault="00B40966">
            <w:pPr>
              <w:rPr>
                <w:rFonts w:ascii="Arial" w:hAnsi="Arial"/>
                <w:sz w:val="20"/>
              </w:rPr>
            </w:pPr>
            <w:r>
              <w:rPr>
                <w:rFonts w:ascii="Arial" w:hAnsi="Arial"/>
                <w:sz w:val="20"/>
              </w:rPr>
              <w:t>4     0</w:t>
            </w:r>
          </w:p>
        </w:tc>
      </w:tr>
      <w:tr w:rsidR="00B40966">
        <w:trPr>
          <w:cantSplit/>
        </w:trPr>
        <w:tc>
          <w:tcPr>
            <w:tcW w:w="1760" w:type="dxa"/>
          </w:tcPr>
          <w:p w:rsidR="00B40966" w:rsidRDefault="00B40966">
            <w:pPr>
              <w:rPr>
                <w:rFonts w:ascii="Arial" w:hAnsi="Arial"/>
                <w:sz w:val="20"/>
              </w:rPr>
            </w:pPr>
            <w:r>
              <w:rPr>
                <w:rFonts w:ascii="Arial" w:hAnsi="Arial"/>
                <w:sz w:val="20"/>
              </w:rPr>
              <w:t>301 to 400</w:t>
            </w:r>
            <w:r>
              <w:rPr>
                <w:rFonts w:ascii="Arial" w:hAnsi="Arial"/>
                <w:sz w:val="20"/>
              </w:rPr>
              <w:tab/>
            </w:r>
          </w:p>
        </w:tc>
        <w:tc>
          <w:tcPr>
            <w:tcW w:w="960" w:type="dxa"/>
          </w:tcPr>
          <w:p w:rsidR="00B40966" w:rsidRDefault="00B40966">
            <w:pPr>
              <w:rPr>
                <w:rFonts w:ascii="Arial" w:hAnsi="Arial"/>
                <w:sz w:val="20"/>
              </w:rPr>
            </w:pPr>
            <w:r>
              <w:rPr>
                <w:rFonts w:ascii="Arial" w:hAnsi="Arial"/>
                <w:sz w:val="20"/>
              </w:rPr>
              <w:t>5     0</w:t>
            </w:r>
          </w:p>
        </w:tc>
        <w:tc>
          <w:tcPr>
            <w:tcW w:w="840" w:type="dxa"/>
            <w:gridSpan w:val="2"/>
          </w:tcPr>
          <w:p w:rsidR="00B40966" w:rsidRDefault="00B40966">
            <w:pPr>
              <w:rPr>
                <w:rFonts w:ascii="Arial" w:hAnsi="Arial"/>
                <w:sz w:val="20"/>
              </w:rPr>
            </w:pPr>
            <w:r>
              <w:rPr>
                <w:rFonts w:ascii="Arial" w:hAnsi="Arial"/>
                <w:sz w:val="20"/>
              </w:rPr>
              <w:t xml:space="preserve">. . </w:t>
            </w:r>
          </w:p>
        </w:tc>
        <w:tc>
          <w:tcPr>
            <w:tcW w:w="240" w:type="dxa"/>
            <w:tcBorders>
              <w:left w:val="nil"/>
            </w:tcBorders>
          </w:tcPr>
          <w:p w:rsidR="00B40966" w:rsidRDefault="00B40966">
            <w:pPr>
              <w:rPr>
                <w:rFonts w:ascii="Arial" w:hAnsi="Arial"/>
                <w:sz w:val="20"/>
              </w:rPr>
            </w:pPr>
          </w:p>
        </w:tc>
        <w:tc>
          <w:tcPr>
            <w:tcW w:w="960" w:type="dxa"/>
          </w:tcPr>
          <w:p w:rsidR="00B40966" w:rsidRDefault="00B40966">
            <w:pPr>
              <w:rPr>
                <w:rFonts w:ascii="Arial" w:hAnsi="Arial"/>
                <w:sz w:val="20"/>
              </w:rPr>
            </w:pPr>
            <w:r>
              <w:rPr>
                <w:rFonts w:ascii="Arial" w:hAnsi="Arial"/>
                <w:sz w:val="20"/>
              </w:rPr>
              <w:t>3     0</w:t>
            </w:r>
          </w:p>
        </w:tc>
        <w:tc>
          <w:tcPr>
            <w:tcW w:w="720" w:type="dxa"/>
          </w:tcPr>
          <w:p w:rsidR="00B40966" w:rsidRDefault="00B40966">
            <w:pPr>
              <w:rPr>
                <w:rFonts w:ascii="Arial" w:hAnsi="Arial"/>
                <w:sz w:val="20"/>
              </w:rPr>
            </w:pPr>
            <w:r>
              <w:rPr>
                <w:rFonts w:ascii="Arial" w:hAnsi="Arial"/>
                <w:sz w:val="20"/>
              </w:rPr>
              <w:t xml:space="preserve">. . </w:t>
            </w:r>
          </w:p>
        </w:tc>
        <w:tc>
          <w:tcPr>
            <w:tcW w:w="180" w:type="dxa"/>
          </w:tcPr>
          <w:p w:rsidR="00B40966" w:rsidRDefault="00B40966">
            <w:pPr>
              <w:rPr>
                <w:rFonts w:ascii="Arial" w:hAnsi="Arial"/>
                <w:sz w:val="20"/>
              </w:rPr>
            </w:pPr>
          </w:p>
        </w:tc>
        <w:tc>
          <w:tcPr>
            <w:tcW w:w="936" w:type="dxa"/>
          </w:tcPr>
          <w:p w:rsidR="00B40966" w:rsidRDefault="00B40966">
            <w:pPr>
              <w:rPr>
                <w:rFonts w:ascii="Arial" w:hAnsi="Arial"/>
                <w:sz w:val="20"/>
              </w:rPr>
            </w:pPr>
            <w:r>
              <w:rPr>
                <w:rFonts w:ascii="Arial" w:hAnsi="Arial"/>
                <w:sz w:val="20"/>
              </w:rPr>
              <w:t>2      6</w:t>
            </w:r>
          </w:p>
        </w:tc>
        <w:tc>
          <w:tcPr>
            <w:tcW w:w="804" w:type="dxa"/>
          </w:tcPr>
          <w:p w:rsidR="00B40966" w:rsidRDefault="00B40966">
            <w:pPr>
              <w:rPr>
                <w:rFonts w:ascii="Arial" w:hAnsi="Arial"/>
                <w:sz w:val="20"/>
              </w:rPr>
            </w:pPr>
            <w:r>
              <w:rPr>
                <w:rFonts w:ascii="Arial" w:hAnsi="Arial"/>
                <w:sz w:val="20"/>
              </w:rPr>
              <w:t xml:space="preserve">. . </w:t>
            </w:r>
          </w:p>
        </w:tc>
      </w:tr>
      <w:tr w:rsidR="00B40966">
        <w:trPr>
          <w:cantSplit/>
        </w:trPr>
        <w:tc>
          <w:tcPr>
            <w:tcW w:w="1760" w:type="dxa"/>
          </w:tcPr>
          <w:p w:rsidR="00B40966" w:rsidRDefault="00B40966">
            <w:pPr>
              <w:rPr>
                <w:rFonts w:ascii="Arial" w:hAnsi="Arial"/>
                <w:sz w:val="20"/>
              </w:rPr>
            </w:pPr>
            <w:r>
              <w:rPr>
                <w:rFonts w:ascii="Arial" w:hAnsi="Arial"/>
                <w:sz w:val="20"/>
              </w:rPr>
              <w:t>401 to 500</w:t>
            </w:r>
            <w:r>
              <w:rPr>
                <w:rFonts w:ascii="Arial" w:hAnsi="Arial"/>
                <w:sz w:val="20"/>
              </w:rPr>
              <w:tab/>
            </w:r>
          </w:p>
        </w:tc>
        <w:tc>
          <w:tcPr>
            <w:tcW w:w="960" w:type="dxa"/>
          </w:tcPr>
          <w:p w:rsidR="00B40966" w:rsidRDefault="00B40966">
            <w:pPr>
              <w:rPr>
                <w:rFonts w:ascii="Arial" w:hAnsi="Arial"/>
                <w:sz w:val="20"/>
              </w:rPr>
            </w:pPr>
            <w:r>
              <w:rPr>
                <w:rFonts w:ascii="Arial" w:hAnsi="Arial"/>
                <w:sz w:val="20"/>
              </w:rPr>
              <w:t>6     0</w:t>
            </w:r>
          </w:p>
        </w:tc>
        <w:tc>
          <w:tcPr>
            <w:tcW w:w="840" w:type="dxa"/>
            <w:gridSpan w:val="2"/>
          </w:tcPr>
          <w:p w:rsidR="00B40966" w:rsidRDefault="00B40966">
            <w:pPr>
              <w:rPr>
                <w:rFonts w:ascii="Arial" w:hAnsi="Arial"/>
                <w:sz w:val="20"/>
              </w:rPr>
            </w:pPr>
            <w:r>
              <w:rPr>
                <w:rFonts w:ascii="Arial" w:hAnsi="Arial"/>
                <w:sz w:val="20"/>
              </w:rPr>
              <w:t xml:space="preserve">. . </w:t>
            </w:r>
          </w:p>
        </w:tc>
        <w:tc>
          <w:tcPr>
            <w:tcW w:w="240" w:type="dxa"/>
            <w:tcBorders>
              <w:left w:val="nil"/>
            </w:tcBorders>
          </w:tcPr>
          <w:p w:rsidR="00B40966" w:rsidRDefault="00B40966">
            <w:pPr>
              <w:rPr>
                <w:rFonts w:ascii="Arial" w:hAnsi="Arial"/>
                <w:sz w:val="20"/>
              </w:rPr>
            </w:pPr>
          </w:p>
        </w:tc>
        <w:tc>
          <w:tcPr>
            <w:tcW w:w="960" w:type="dxa"/>
          </w:tcPr>
          <w:p w:rsidR="00B40966" w:rsidRDefault="00B40966">
            <w:pPr>
              <w:rPr>
                <w:rFonts w:ascii="Arial" w:hAnsi="Arial"/>
                <w:sz w:val="20"/>
              </w:rPr>
            </w:pPr>
            <w:r>
              <w:rPr>
                <w:rFonts w:ascii="Arial" w:hAnsi="Arial"/>
                <w:sz w:val="20"/>
              </w:rPr>
              <w:t xml:space="preserve">3     6 </w:t>
            </w:r>
          </w:p>
        </w:tc>
        <w:tc>
          <w:tcPr>
            <w:tcW w:w="720" w:type="dxa"/>
          </w:tcPr>
          <w:p w:rsidR="00B40966" w:rsidRDefault="00B40966">
            <w:pPr>
              <w:rPr>
                <w:rFonts w:ascii="Arial" w:hAnsi="Arial"/>
                <w:sz w:val="20"/>
              </w:rPr>
            </w:pPr>
            <w:r>
              <w:rPr>
                <w:rFonts w:ascii="Arial" w:hAnsi="Arial"/>
                <w:sz w:val="20"/>
              </w:rPr>
              <w:t xml:space="preserve">. . </w:t>
            </w:r>
          </w:p>
        </w:tc>
        <w:tc>
          <w:tcPr>
            <w:tcW w:w="180" w:type="dxa"/>
          </w:tcPr>
          <w:p w:rsidR="00B40966" w:rsidRDefault="00B40966">
            <w:pPr>
              <w:rPr>
                <w:rFonts w:ascii="Arial" w:hAnsi="Arial"/>
                <w:sz w:val="20"/>
              </w:rPr>
            </w:pPr>
          </w:p>
        </w:tc>
        <w:tc>
          <w:tcPr>
            <w:tcW w:w="936" w:type="dxa"/>
          </w:tcPr>
          <w:p w:rsidR="00B40966" w:rsidRDefault="00B40966">
            <w:pPr>
              <w:rPr>
                <w:rFonts w:ascii="Arial" w:hAnsi="Arial"/>
                <w:sz w:val="20"/>
              </w:rPr>
            </w:pPr>
            <w:r>
              <w:rPr>
                <w:rFonts w:ascii="Arial" w:hAnsi="Arial"/>
                <w:sz w:val="20"/>
              </w:rPr>
              <w:t>3      0</w:t>
            </w:r>
          </w:p>
        </w:tc>
        <w:tc>
          <w:tcPr>
            <w:tcW w:w="804" w:type="dxa"/>
          </w:tcPr>
          <w:p w:rsidR="00B40966" w:rsidRDefault="00B40966">
            <w:pPr>
              <w:rPr>
                <w:rFonts w:ascii="Arial" w:hAnsi="Arial"/>
                <w:sz w:val="20"/>
              </w:rPr>
            </w:pPr>
            <w:r>
              <w:rPr>
                <w:rFonts w:ascii="Arial" w:hAnsi="Arial"/>
                <w:sz w:val="20"/>
              </w:rPr>
              <w:t xml:space="preserve">. . </w:t>
            </w:r>
          </w:p>
        </w:tc>
      </w:tr>
      <w:tr w:rsidR="00B40966">
        <w:trPr>
          <w:cantSplit/>
        </w:trPr>
        <w:tc>
          <w:tcPr>
            <w:tcW w:w="1760" w:type="dxa"/>
            <w:tcBorders>
              <w:bottom w:val="single" w:sz="6" w:space="0" w:color="auto"/>
            </w:tcBorders>
          </w:tcPr>
          <w:p w:rsidR="00B40966" w:rsidRDefault="00B40966">
            <w:pPr>
              <w:rPr>
                <w:rFonts w:ascii="Arial" w:hAnsi="Arial"/>
                <w:sz w:val="20"/>
              </w:rPr>
            </w:pPr>
            <w:r>
              <w:rPr>
                <w:rFonts w:ascii="Arial" w:hAnsi="Arial"/>
                <w:sz w:val="20"/>
              </w:rPr>
              <w:t>501 to 600</w:t>
            </w:r>
            <w:r>
              <w:rPr>
                <w:rFonts w:ascii="Arial" w:hAnsi="Arial"/>
                <w:sz w:val="20"/>
              </w:rPr>
              <w:tab/>
            </w:r>
          </w:p>
        </w:tc>
        <w:tc>
          <w:tcPr>
            <w:tcW w:w="960" w:type="dxa"/>
            <w:tcBorders>
              <w:bottom w:val="single" w:sz="6" w:space="0" w:color="auto"/>
            </w:tcBorders>
          </w:tcPr>
          <w:p w:rsidR="00B40966" w:rsidRDefault="00B40966">
            <w:pPr>
              <w:rPr>
                <w:rFonts w:ascii="Arial" w:hAnsi="Arial"/>
                <w:sz w:val="20"/>
              </w:rPr>
            </w:pPr>
            <w:r>
              <w:rPr>
                <w:rFonts w:ascii="Arial" w:hAnsi="Arial"/>
                <w:sz w:val="20"/>
              </w:rPr>
              <w:t>7     0</w:t>
            </w:r>
          </w:p>
        </w:tc>
        <w:tc>
          <w:tcPr>
            <w:tcW w:w="840" w:type="dxa"/>
            <w:gridSpan w:val="2"/>
            <w:tcBorders>
              <w:bottom w:val="single" w:sz="6" w:space="0" w:color="auto"/>
            </w:tcBorders>
          </w:tcPr>
          <w:p w:rsidR="00B40966" w:rsidRDefault="00B40966">
            <w:pPr>
              <w:rPr>
                <w:rFonts w:ascii="Arial" w:hAnsi="Arial"/>
                <w:sz w:val="20"/>
              </w:rPr>
            </w:pPr>
            <w:r>
              <w:rPr>
                <w:rFonts w:ascii="Arial" w:hAnsi="Arial"/>
                <w:sz w:val="20"/>
              </w:rPr>
              <w:t xml:space="preserve">. . </w:t>
            </w:r>
          </w:p>
        </w:tc>
        <w:tc>
          <w:tcPr>
            <w:tcW w:w="240" w:type="dxa"/>
            <w:tcBorders>
              <w:left w:val="nil"/>
              <w:bottom w:val="single" w:sz="6" w:space="0" w:color="auto"/>
            </w:tcBorders>
          </w:tcPr>
          <w:p w:rsidR="00B40966" w:rsidRDefault="00B40966">
            <w:pPr>
              <w:rPr>
                <w:rFonts w:ascii="Arial" w:hAnsi="Arial"/>
                <w:sz w:val="20"/>
              </w:rPr>
            </w:pPr>
          </w:p>
        </w:tc>
        <w:tc>
          <w:tcPr>
            <w:tcW w:w="960" w:type="dxa"/>
            <w:tcBorders>
              <w:bottom w:val="single" w:sz="6" w:space="0" w:color="auto"/>
            </w:tcBorders>
          </w:tcPr>
          <w:p w:rsidR="00B40966" w:rsidRDefault="00B40966">
            <w:pPr>
              <w:rPr>
                <w:rFonts w:ascii="Arial" w:hAnsi="Arial"/>
                <w:sz w:val="20"/>
              </w:rPr>
            </w:pPr>
            <w:r>
              <w:rPr>
                <w:rFonts w:ascii="Arial" w:hAnsi="Arial"/>
                <w:sz w:val="20"/>
              </w:rPr>
              <w:t>4     0</w:t>
            </w:r>
          </w:p>
        </w:tc>
        <w:tc>
          <w:tcPr>
            <w:tcW w:w="720" w:type="dxa"/>
            <w:tcBorders>
              <w:bottom w:val="single" w:sz="6" w:space="0" w:color="auto"/>
            </w:tcBorders>
          </w:tcPr>
          <w:p w:rsidR="00B40966" w:rsidRDefault="00B40966">
            <w:pPr>
              <w:rPr>
                <w:rFonts w:ascii="Arial" w:hAnsi="Arial"/>
                <w:sz w:val="20"/>
              </w:rPr>
            </w:pPr>
            <w:r>
              <w:rPr>
                <w:rFonts w:ascii="Arial" w:hAnsi="Arial"/>
                <w:sz w:val="20"/>
              </w:rPr>
              <w:t xml:space="preserve">. . </w:t>
            </w:r>
          </w:p>
        </w:tc>
        <w:tc>
          <w:tcPr>
            <w:tcW w:w="180" w:type="dxa"/>
            <w:tcBorders>
              <w:bottom w:val="single" w:sz="6" w:space="0" w:color="auto"/>
            </w:tcBorders>
          </w:tcPr>
          <w:p w:rsidR="00B40966" w:rsidRDefault="00B40966">
            <w:pPr>
              <w:rPr>
                <w:rFonts w:ascii="Arial" w:hAnsi="Arial"/>
                <w:sz w:val="20"/>
              </w:rPr>
            </w:pPr>
          </w:p>
        </w:tc>
        <w:tc>
          <w:tcPr>
            <w:tcW w:w="936" w:type="dxa"/>
            <w:tcBorders>
              <w:bottom w:val="single" w:sz="6" w:space="0" w:color="auto"/>
            </w:tcBorders>
          </w:tcPr>
          <w:p w:rsidR="00B40966" w:rsidRDefault="00B40966">
            <w:pPr>
              <w:rPr>
                <w:rFonts w:ascii="Arial" w:hAnsi="Arial"/>
                <w:sz w:val="20"/>
              </w:rPr>
            </w:pPr>
            <w:r>
              <w:rPr>
                <w:rFonts w:ascii="Arial" w:hAnsi="Arial"/>
                <w:sz w:val="20"/>
              </w:rPr>
              <w:t>3      6</w:t>
            </w:r>
          </w:p>
        </w:tc>
        <w:tc>
          <w:tcPr>
            <w:tcW w:w="804" w:type="dxa"/>
            <w:tcBorders>
              <w:bottom w:val="single" w:sz="6" w:space="0" w:color="auto"/>
            </w:tcBorders>
          </w:tcPr>
          <w:p w:rsidR="00B40966" w:rsidRDefault="00B40966">
            <w:pPr>
              <w:rPr>
                <w:rFonts w:ascii="Arial" w:hAnsi="Arial"/>
                <w:sz w:val="20"/>
              </w:rPr>
            </w:pPr>
            <w:r>
              <w:rPr>
                <w:rFonts w:ascii="Arial" w:hAnsi="Arial"/>
                <w:sz w:val="20"/>
              </w:rPr>
              <w:t xml:space="preserve">. . </w:t>
            </w:r>
          </w:p>
        </w:tc>
      </w:tr>
    </w:tbl>
    <w:p w:rsidR="00B40966" w:rsidRDefault="00B40966"/>
    <w:p w:rsidR="00B40966" w:rsidRDefault="00B40966">
      <w:pPr>
        <w:pStyle w:val="Amain"/>
      </w:pPr>
      <w:r>
        <w:rPr>
          <w:color w:val="000000"/>
        </w:rPr>
        <w:tab/>
        <w:t>(2)</w:t>
      </w:r>
      <w:r>
        <w:rPr>
          <w:color w:val="000000"/>
        </w:rPr>
        <w:tab/>
        <w:t>The top and bottom overrun for the car and the counterweight of any service lift shall be that specified in table 24 except that the bottom overrun of a car shall be 12 inches.</w:t>
      </w:r>
    </w:p>
    <w:p w:rsidR="00B40966" w:rsidRDefault="00B40966">
      <w:pPr>
        <w:pStyle w:val="Amain"/>
        <w:rPr>
          <w:color w:val="000000"/>
        </w:rPr>
      </w:pPr>
      <w:r>
        <w:rPr>
          <w:color w:val="000000"/>
        </w:rPr>
        <w:tab/>
        <w:t>(3)</w:t>
      </w:r>
      <w:r>
        <w:rPr>
          <w:color w:val="000000"/>
        </w:rPr>
        <w:tab/>
        <w:t xml:space="preserve">The bottom overrun for the counterweight of a traction-drive lift when the car floor is level with the top landing shall not be greater than </w:t>
      </w:r>
      <w:r>
        <w:rPr>
          <w:color w:val="000000"/>
          <w:position w:val="6"/>
          <w:sz w:val="18"/>
        </w:rPr>
        <w:t>1</w:t>
      </w:r>
      <w:r>
        <w:rPr>
          <w:color w:val="000000"/>
        </w:rPr>
        <w:t>/</w:t>
      </w:r>
      <w:r>
        <w:rPr>
          <w:color w:val="000000"/>
          <w:sz w:val="18"/>
        </w:rPr>
        <w:t>2</w:t>
      </w:r>
      <w:r>
        <w:rPr>
          <w:color w:val="000000"/>
        </w:rPr>
        <w:t xml:space="preserve"> of the top overrun provided for the car.</w:t>
      </w:r>
    </w:p>
    <w:p w:rsidR="00B40966" w:rsidRDefault="00B40966">
      <w:pPr>
        <w:pStyle w:val="Amain"/>
      </w:pPr>
      <w:r>
        <w:rPr>
          <w:color w:val="000000"/>
        </w:rPr>
        <w:tab/>
        <w:t>(4)</w:t>
      </w:r>
      <w:r>
        <w:rPr>
          <w:color w:val="000000"/>
        </w:rPr>
        <w:tab/>
        <w:t>The final limit gear of the lift shall operate before the counterweight lands.</w:t>
      </w:r>
    </w:p>
    <w:p w:rsidR="00B40966" w:rsidRDefault="00B40966">
      <w:pPr>
        <w:pStyle w:val="Amain"/>
        <w:rPr>
          <w:color w:val="000000"/>
        </w:rPr>
      </w:pPr>
      <w:r>
        <w:rPr>
          <w:color w:val="000000"/>
        </w:rPr>
        <w:tab/>
        <w:t>(5)</w:t>
      </w:r>
      <w:r>
        <w:rPr>
          <w:color w:val="000000"/>
        </w:rPr>
        <w:tab/>
        <w:t xml:space="preserve">The bottom overrun for the counterweight of a drum-drive lift when the car floor is level with the top landing shall not be greater than </w:t>
      </w:r>
      <w:r>
        <w:rPr>
          <w:color w:val="000000"/>
          <w:position w:val="6"/>
          <w:sz w:val="18"/>
        </w:rPr>
        <w:t>1</w:t>
      </w:r>
      <w:r>
        <w:rPr>
          <w:color w:val="000000"/>
        </w:rPr>
        <w:t>/</w:t>
      </w:r>
      <w:r>
        <w:rPr>
          <w:color w:val="000000"/>
          <w:sz w:val="18"/>
        </w:rPr>
        <w:t>4</w:t>
      </w:r>
      <w:r>
        <w:rPr>
          <w:color w:val="000000"/>
        </w:rPr>
        <w:t xml:space="preserve"> of the top overrun provided for the lift car.</w:t>
      </w:r>
    </w:p>
    <w:p w:rsidR="00B40966" w:rsidRDefault="00B40966">
      <w:pPr>
        <w:pStyle w:val="Amain"/>
      </w:pPr>
      <w:r>
        <w:rPr>
          <w:color w:val="000000"/>
        </w:rPr>
        <w:tab/>
        <w:t>(6)</w:t>
      </w:r>
      <w:r>
        <w:rPr>
          <w:color w:val="000000"/>
        </w:rPr>
        <w:tab/>
        <w:t>The final limit gear of the lift shall operate before the counterweight lands.</w:t>
      </w:r>
    </w:p>
    <w:p w:rsidR="00B40966" w:rsidRDefault="00B40966">
      <w:pPr>
        <w:pStyle w:val="AH4SubDiv"/>
      </w:pPr>
      <w:bookmarkStart w:id="37" w:name="_Toc87257895"/>
      <w:r>
        <w:t>Stops and buffers</w:t>
      </w:r>
      <w:bookmarkEnd w:id="37"/>
    </w:p>
    <w:p w:rsidR="00B40966" w:rsidRDefault="00B40966">
      <w:pPr>
        <w:pStyle w:val="AH5Sec"/>
      </w:pPr>
      <w:bookmarkStart w:id="38" w:name="_Toc87257896"/>
      <w:r>
        <w:rPr>
          <w:rStyle w:val="CharSectNo"/>
        </w:rPr>
        <w:t>25</w:t>
      </w:r>
      <w:bookmarkEnd w:id="38"/>
      <w:r>
        <w:tab/>
        <w:t xml:space="preserve">  </w:t>
      </w:r>
    </w:p>
    <w:p w:rsidR="00B40966" w:rsidRDefault="00B40966">
      <w:pPr>
        <w:pStyle w:val="Amain"/>
      </w:pPr>
      <w:r>
        <w:tab/>
        <w:t>(1)</w:t>
      </w:r>
      <w:r>
        <w:tab/>
        <w:t>Approved stops or buffers of the type prescribed table 25 as appropriate to the running speed of the lift car or counterweight shall be provided for the car and counterweight of all lifts other than service lifts.</w:t>
      </w:r>
    </w:p>
    <w:p w:rsidR="00B40966" w:rsidRDefault="00B40966">
      <w:pPr>
        <w:pStyle w:val="TableHd"/>
        <w:ind w:hanging="516"/>
      </w:pPr>
      <w:r>
        <w:t>Table 25</w:t>
      </w:r>
    </w:p>
    <w:tbl>
      <w:tblPr>
        <w:tblW w:w="0" w:type="auto"/>
        <w:tblInd w:w="800" w:type="dxa"/>
        <w:tblLayout w:type="fixed"/>
        <w:tblCellMar>
          <w:left w:w="80" w:type="dxa"/>
          <w:right w:w="80" w:type="dxa"/>
        </w:tblCellMar>
        <w:tblLook w:val="0000" w:firstRow="0" w:lastRow="0" w:firstColumn="0" w:lastColumn="0" w:noHBand="0" w:noVBand="0"/>
      </w:tblPr>
      <w:tblGrid>
        <w:gridCol w:w="3500"/>
        <w:gridCol w:w="3460"/>
      </w:tblGrid>
      <w:tr w:rsidR="00B40966">
        <w:trPr>
          <w:cantSplit/>
        </w:trPr>
        <w:tc>
          <w:tcPr>
            <w:tcW w:w="3500" w:type="dxa"/>
            <w:tcBorders>
              <w:bottom w:val="single" w:sz="6" w:space="0" w:color="auto"/>
            </w:tcBorders>
          </w:tcPr>
          <w:p w:rsidR="00B40966" w:rsidRDefault="00B40966">
            <w:pPr>
              <w:pStyle w:val="TableColHd"/>
            </w:pPr>
            <w:r>
              <w:t>running speed of car or</w:t>
            </w:r>
            <w:r>
              <w:br/>
              <w:t>counterweight</w:t>
            </w:r>
          </w:p>
        </w:tc>
        <w:tc>
          <w:tcPr>
            <w:tcW w:w="3460" w:type="dxa"/>
            <w:tcBorders>
              <w:bottom w:val="single" w:sz="6" w:space="0" w:color="auto"/>
            </w:tcBorders>
          </w:tcPr>
          <w:p w:rsidR="00B40966" w:rsidRDefault="00B40966">
            <w:pPr>
              <w:pStyle w:val="TableColHd"/>
            </w:pPr>
            <w:r>
              <w:t>type of stop or buffer</w:t>
            </w:r>
          </w:p>
        </w:tc>
      </w:tr>
      <w:tr w:rsidR="00B40966">
        <w:trPr>
          <w:cantSplit/>
        </w:trPr>
        <w:tc>
          <w:tcPr>
            <w:tcW w:w="3500" w:type="dxa"/>
            <w:tcBorders>
              <w:top w:val="single" w:sz="6" w:space="0" w:color="auto"/>
            </w:tcBorders>
          </w:tcPr>
          <w:p w:rsidR="00B40966" w:rsidRDefault="00B40966">
            <w:pPr>
              <w:pStyle w:val="TableText"/>
              <w:rPr>
                <w:rFonts w:ascii="Arial" w:hAnsi="Arial"/>
                <w:sz w:val="20"/>
              </w:rPr>
            </w:pPr>
            <w:r>
              <w:rPr>
                <w:rFonts w:ascii="Arial" w:hAnsi="Arial"/>
                <w:sz w:val="20"/>
              </w:rPr>
              <w:t>not exceeding 100 feet/min</w:t>
            </w:r>
          </w:p>
        </w:tc>
        <w:tc>
          <w:tcPr>
            <w:tcW w:w="3460" w:type="dxa"/>
            <w:tcBorders>
              <w:top w:val="single" w:sz="6" w:space="0" w:color="auto"/>
            </w:tcBorders>
          </w:tcPr>
          <w:p w:rsidR="00B40966" w:rsidRDefault="00B40966">
            <w:pPr>
              <w:pStyle w:val="TableText"/>
              <w:rPr>
                <w:rFonts w:ascii="Arial" w:hAnsi="Arial"/>
                <w:sz w:val="20"/>
              </w:rPr>
            </w:pPr>
            <w:r>
              <w:rPr>
                <w:rFonts w:ascii="Arial" w:hAnsi="Arial"/>
                <w:sz w:val="20"/>
              </w:rPr>
              <w:t>solid stops, spring buffers, oil buffers or impact-absorbing stops</w:t>
            </w:r>
          </w:p>
        </w:tc>
      </w:tr>
      <w:tr w:rsidR="00B40966">
        <w:trPr>
          <w:cantSplit/>
        </w:trPr>
        <w:tc>
          <w:tcPr>
            <w:tcW w:w="3500" w:type="dxa"/>
          </w:tcPr>
          <w:p w:rsidR="00B40966" w:rsidRDefault="00B40966">
            <w:pPr>
              <w:pStyle w:val="TableText"/>
              <w:rPr>
                <w:rFonts w:ascii="Arial" w:hAnsi="Arial"/>
                <w:sz w:val="20"/>
              </w:rPr>
            </w:pPr>
            <w:r>
              <w:rPr>
                <w:rFonts w:ascii="Arial" w:hAnsi="Arial"/>
                <w:sz w:val="20"/>
              </w:rPr>
              <w:t>exceeding 100 feet/min, but</w:t>
            </w:r>
            <w:r>
              <w:rPr>
                <w:rFonts w:ascii="Arial" w:hAnsi="Arial"/>
                <w:sz w:val="20"/>
              </w:rPr>
              <w:br/>
              <w:t>not exceeding 200 feet/min</w:t>
            </w:r>
          </w:p>
        </w:tc>
        <w:tc>
          <w:tcPr>
            <w:tcW w:w="3460" w:type="dxa"/>
          </w:tcPr>
          <w:p w:rsidR="00B40966" w:rsidRDefault="00B40966">
            <w:pPr>
              <w:pStyle w:val="TableText"/>
              <w:rPr>
                <w:rFonts w:ascii="Arial" w:hAnsi="Arial"/>
                <w:sz w:val="20"/>
              </w:rPr>
            </w:pPr>
            <w:r>
              <w:rPr>
                <w:rFonts w:ascii="Arial" w:hAnsi="Arial"/>
                <w:sz w:val="20"/>
              </w:rPr>
              <w:t>spring buffers or oil buffers</w:t>
            </w:r>
          </w:p>
        </w:tc>
      </w:tr>
      <w:tr w:rsidR="00B40966">
        <w:trPr>
          <w:cantSplit/>
        </w:trPr>
        <w:tc>
          <w:tcPr>
            <w:tcW w:w="3500" w:type="dxa"/>
          </w:tcPr>
          <w:p w:rsidR="00B40966" w:rsidRDefault="00B40966">
            <w:pPr>
              <w:pStyle w:val="TableText"/>
              <w:rPr>
                <w:rFonts w:ascii="Arial" w:hAnsi="Arial"/>
                <w:sz w:val="20"/>
              </w:rPr>
            </w:pPr>
            <w:r>
              <w:rPr>
                <w:rFonts w:ascii="Arial" w:hAnsi="Arial"/>
                <w:sz w:val="20"/>
              </w:rPr>
              <w:t>exceeding 200 feet/min</w:t>
            </w:r>
          </w:p>
        </w:tc>
        <w:tc>
          <w:tcPr>
            <w:tcW w:w="3460" w:type="dxa"/>
          </w:tcPr>
          <w:p w:rsidR="00B40966" w:rsidRDefault="00B40966">
            <w:pPr>
              <w:pStyle w:val="TableText"/>
              <w:rPr>
                <w:rFonts w:ascii="Arial" w:hAnsi="Arial"/>
                <w:sz w:val="20"/>
              </w:rPr>
            </w:pPr>
            <w:r>
              <w:rPr>
                <w:rFonts w:ascii="Arial" w:hAnsi="Arial"/>
                <w:sz w:val="20"/>
              </w:rPr>
              <w:t>oil buffers</w:t>
            </w:r>
          </w:p>
        </w:tc>
      </w:tr>
    </w:tbl>
    <w:p w:rsidR="00B40966" w:rsidRDefault="00B40966"/>
    <w:p w:rsidR="00B40966" w:rsidRDefault="00B40966">
      <w:pPr>
        <w:pStyle w:val="Amain"/>
      </w:pPr>
      <w:r>
        <w:tab/>
        <w:t>(2)</w:t>
      </w:r>
      <w:r>
        <w:tab/>
        <w:t>Buffers so provided shall comply with the following requirements:</w:t>
      </w:r>
    </w:p>
    <w:p w:rsidR="00B40966" w:rsidRDefault="00B40966">
      <w:pPr>
        <w:pStyle w:val="Apara"/>
      </w:pPr>
      <w:r>
        <w:tab/>
        <w:t>(a)</w:t>
      </w:r>
      <w:r>
        <w:tab/>
      </w:r>
      <w:r>
        <w:rPr>
          <w:i/>
          <w:iCs/>
        </w:rPr>
        <w:t>s</w:t>
      </w:r>
      <w:r>
        <w:rPr>
          <w:rStyle w:val="charItals"/>
        </w:rPr>
        <w:t>pring buffers</w:t>
      </w:r>
      <w:r>
        <w:t>—springs for buffers shall be so designed that they will not take a permanent set on absorbing the energy of the fully loaded car at governor-operating speed; and</w:t>
      </w:r>
    </w:p>
    <w:p w:rsidR="00B40966" w:rsidRDefault="00B40966">
      <w:pPr>
        <w:pStyle w:val="Apara"/>
      </w:pPr>
      <w:r>
        <w:tab/>
        <w:t>(b)</w:t>
      </w:r>
      <w:r>
        <w:tab/>
      </w:r>
      <w:r>
        <w:rPr>
          <w:i/>
          <w:iCs/>
        </w:rPr>
        <w:t>o</w:t>
      </w:r>
      <w:r>
        <w:rPr>
          <w:rStyle w:val="charItals"/>
        </w:rPr>
        <w:t>il buffers</w:t>
      </w:r>
      <w:r>
        <w:t>—the minimum total stroke of oil buffers shall be based on an average retardation of 32.2 feet per second per second, based on the governor-operating speed, and the maximum retardation based on the governor-operating speed shall not be in excess of 80.5 feet per second per second (2</w:t>
      </w:r>
      <w:r>
        <w:rPr>
          <w:position w:val="6"/>
          <w:sz w:val="18"/>
        </w:rPr>
        <w:t>1</w:t>
      </w:r>
      <w:r>
        <w:t>/</w:t>
      </w:r>
      <w:r>
        <w:rPr>
          <w:sz w:val="18"/>
        </w:rPr>
        <w:t>2</w:t>
      </w:r>
      <w:r>
        <w:t xml:space="preserve"> times gravity retardation).</w:t>
      </w:r>
    </w:p>
    <w:p w:rsidR="00B40966" w:rsidRDefault="00B40966">
      <w:pPr>
        <w:pStyle w:val="Amain"/>
      </w:pPr>
      <w:r>
        <w:tab/>
        <w:t>(3)</w:t>
      </w:r>
      <w:r>
        <w:tab/>
        <w:t>Effective means shall be provided for readily ascertaining the adequacy of the oil supply.</w:t>
      </w:r>
    </w:p>
    <w:p w:rsidR="00B40966" w:rsidRDefault="00B40966">
      <w:pPr>
        <w:pStyle w:val="Amain"/>
      </w:pPr>
      <w:r>
        <w:tab/>
        <w:t>(4)</w:t>
      </w:r>
      <w:r>
        <w:tab/>
        <w:t>Provision shall be made, by fitting a spring or by other suitable means, for taking the initial impact between the car or counterweight and the buffer.</w:t>
      </w:r>
    </w:p>
    <w:p w:rsidR="00B40966" w:rsidRDefault="00B40966">
      <w:pPr>
        <w:pStyle w:val="AH4SubDiv"/>
      </w:pPr>
      <w:bookmarkStart w:id="39" w:name="_Toc87257897"/>
      <w:r>
        <w:t>Permanent stops</w:t>
      </w:r>
      <w:bookmarkEnd w:id="39"/>
    </w:p>
    <w:p w:rsidR="00B40966" w:rsidRDefault="00B40966">
      <w:pPr>
        <w:pStyle w:val="AH5Sec"/>
      </w:pPr>
      <w:bookmarkStart w:id="40" w:name="_Toc87257898"/>
      <w:r>
        <w:rPr>
          <w:rStyle w:val="CharSectNo"/>
        </w:rPr>
        <w:t>26</w:t>
      </w:r>
      <w:bookmarkEnd w:id="40"/>
      <w:r>
        <w:tab/>
        <w:t xml:space="preserve">  </w:t>
      </w:r>
    </w:p>
    <w:p w:rsidR="00B40966" w:rsidRDefault="00B40966">
      <w:pPr>
        <w:pStyle w:val="Amainreturn"/>
      </w:pPr>
      <w:r>
        <w:t>The final obstruction at the top and bottom of every lift-well shall ensure that in the event of an overwind the car and counterweight will remain in their guides with the car floor and the horizontal faces of the counterweight level.</w:t>
      </w:r>
    </w:p>
    <w:p w:rsidR="00B40966" w:rsidRDefault="00B40966">
      <w:pPr>
        <w:pStyle w:val="AH4SubDiv"/>
      </w:pPr>
      <w:bookmarkStart w:id="41" w:name="_Toc87257899"/>
      <w:r>
        <w:t>Pits</w:t>
      </w:r>
      <w:bookmarkEnd w:id="41"/>
    </w:p>
    <w:p w:rsidR="00B40966" w:rsidRDefault="00B40966">
      <w:pPr>
        <w:pStyle w:val="AH5Sec"/>
      </w:pPr>
      <w:bookmarkStart w:id="42" w:name="_Toc87257900"/>
      <w:r>
        <w:rPr>
          <w:rStyle w:val="CharSectNo"/>
        </w:rPr>
        <w:t>27</w:t>
      </w:r>
      <w:bookmarkEnd w:id="42"/>
      <w:r>
        <w:tab/>
        <w:t xml:space="preserve">  </w:t>
      </w:r>
    </w:p>
    <w:p w:rsidR="00B40966" w:rsidRDefault="00B40966">
      <w:pPr>
        <w:pStyle w:val="Amain"/>
      </w:pPr>
      <w:r>
        <w:rPr>
          <w:color w:val="000000"/>
        </w:rPr>
        <w:tab/>
        <w:t>(1)</w:t>
      </w:r>
      <w:r>
        <w:rPr>
          <w:color w:val="000000"/>
        </w:rPr>
        <w:tab/>
        <w:t>The wells of all lifts shall continue to solid earth except in the circumstances and subject to the conditions that the chief inspector may approve.</w:t>
      </w:r>
    </w:p>
    <w:p w:rsidR="00B40966" w:rsidRDefault="00B40966">
      <w:pPr>
        <w:pStyle w:val="Amain"/>
        <w:rPr>
          <w:color w:val="000000"/>
        </w:rPr>
      </w:pPr>
      <w:r>
        <w:rPr>
          <w:color w:val="000000"/>
        </w:rPr>
        <w:tab/>
        <w:t>(2)</w:t>
      </w:r>
      <w:r>
        <w:rPr>
          <w:color w:val="000000"/>
        </w:rPr>
        <w:tab/>
        <w:t>The pits of all lifts shall be constructed to remain dry and shall be provided with safe and convenient means of access.</w:t>
      </w:r>
    </w:p>
    <w:p w:rsidR="00B40966" w:rsidRDefault="00B40966">
      <w:pPr>
        <w:pStyle w:val="Amain"/>
      </w:pPr>
      <w:r>
        <w:rPr>
          <w:color w:val="000000"/>
        </w:rPr>
        <w:tab/>
        <w:t>(3)</w:t>
      </w:r>
      <w:r>
        <w:rPr>
          <w:color w:val="000000"/>
        </w:rPr>
        <w:tab/>
        <w:t>Suitable means of access and lighting to permit of safe and efficient maintenance of safety gear shall be provided.</w:t>
      </w:r>
    </w:p>
    <w:p w:rsidR="00B40966" w:rsidRDefault="00B40966">
      <w:pPr>
        <w:pStyle w:val="Amain"/>
        <w:keepLines/>
      </w:pPr>
      <w:r>
        <w:rPr>
          <w:color w:val="000000"/>
        </w:rPr>
        <w:tab/>
        <w:t>(4)</w:t>
      </w:r>
      <w:r>
        <w:rPr>
          <w:color w:val="000000"/>
        </w:rPr>
        <w:tab/>
        <w:t>The pits of all lifts other than service lifts shall be of sufficient depth to provide the overrun specified in section 24 and in addition a clearance of not less than 24 inches between the underside of the car platform and the floor of the pit when the car is landed with the buffers fully compressed.</w:t>
      </w:r>
    </w:p>
    <w:p w:rsidR="00B40966" w:rsidRDefault="00B40966">
      <w:pPr>
        <w:pStyle w:val="AH4SubDiv"/>
      </w:pPr>
      <w:bookmarkStart w:id="43" w:name="_Toc87257901"/>
      <w:r>
        <w:t>Enclosures</w:t>
      </w:r>
      <w:bookmarkEnd w:id="43"/>
    </w:p>
    <w:p w:rsidR="00B40966" w:rsidRDefault="00B40966">
      <w:pPr>
        <w:pStyle w:val="AH5Sec"/>
      </w:pPr>
      <w:bookmarkStart w:id="44" w:name="_Toc87257902"/>
      <w:r>
        <w:rPr>
          <w:rStyle w:val="CharSectNo"/>
        </w:rPr>
        <w:t>28</w:t>
      </w:r>
      <w:bookmarkEnd w:id="44"/>
      <w:r>
        <w:tab/>
        <w:t xml:space="preserve">  </w:t>
      </w:r>
    </w:p>
    <w:p w:rsidR="00B40966" w:rsidRDefault="00B40966">
      <w:pPr>
        <w:pStyle w:val="Amain"/>
      </w:pPr>
      <w:r>
        <w:rPr>
          <w:color w:val="000000"/>
        </w:rPr>
        <w:tab/>
        <w:t>(1)</w:t>
      </w:r>
      <w:r>
        <w:rPr>
          <w:color w:val="000000"/>
        </w:rPr>
        <w:tab/>
        <w:t>All liftwells shall be completely enclosed from the bottom of the pit to the underside of the overhead supporting beams with approved material of adequate strength.</w:t>
      </w:r>
    </w:p>
    <w:p w:rsidR="00B40966" w:rsidRDefault="00B40966">
      <w:pPr>
        <w:pStyle w:val="Amain"/>
        <w:rPr>
          <w:color w:val="000000"/>
        </w:rPr>
      </w:pPr>
      <w:r>
        <w:rPr>
          <w:color w:val="000000"/>
        </w:rPr>
        <w:tab/>
        <w:t>(2)</w:t>
      </w:r>
      <w:r>
        <w:rPr>
          <w:color w:val="000000"/>
        </w:rPr>
        <w:tab/>
        <w:t>All windows in lift-well enclosures shall be closed and fixed.</w:t>
      </w:r>
    </w:p>
    <w:p w:rsidR="00B40966" w:rsidRDefault="00B40966">
      <w:pPr>
        <w:pStyle w:val="Amain"/>
        <w:keepLines/>
      </w:pPr>
      <w:r>
        <w:rPr>
          <w:color w:val="000000"/>
        </w:rPr>
        <w:tab/>
        <w:t>(3)</w:t>
      </w:r>
      <w:r>
        <w:rPr>
          <w:color w:val="000000"/>
        </w:rPr>
        <w:tab/>
        <w:t>All windows and openings accessible from fire-escapes, stairways, platforms, adjacent roofs and those on ground floors and basement levels as well as any window up to a height of 20 feet and opening on to a public place, cartway or yard or similar area shall be barred or otherwise permanently protected.</w:t>
      </w:r>
    </w:p>
    <w:p w:rsidR="00B40966" w:rsidRDefault="00B40966">
      <w:pPr>
        <w:pStyle w:val="AH4SubDiv"/>
      </w:pPr>
      <w:bookmarkStart w:id="45" w:name="_Toc87257903"/>
      <w:r>
        <w:t>Enclosure doors</w:t>
      </w:r>
      <w:bookmarkEnd w:id="45"/>
    </w:p>
    <w:p w:rsidR="00B40966" w:rsidRDefault="00B40966">
      <w:pPr>
        <w:pStyle w:val="AH5Sec"/>
      </w:pPr>
      <w:bookmarkStart w:id="46" w:name="_Toc87257904"/>
      <w:r>
        <w:rPr>
          <w:rStyle w:val="CharSectNo"/>
        </w:rPr>
        <w:t>29</w:t>
      </w:r>
      <w:bookmarkEnd w:id="46"/>
      <w:r>
        <w:tab/>
        <w:t xml:space="preserve">  </w:t>
      </w:r>
    </w:p>
    <w:p w:rsidR="00B40966" w:rsidRDefault="00B40966">
      <w:pPr>
        <w:pStyle w:val="Amain"/>
        <w:rPr>
          <w:color w:val="000000"/>
        </w:rPr>
      </w:pPr>
      <w:r>
        <w:rPr>
          <w:color w:val="000000"/>
        </w:rPr>
        <w:tab/>
        <w:t>(1)</w:t>
      </w:r>
      <w:r>
        <w:rPr>
          <w:color w:val="000000"/>
        </w:rPr>
        <w:tab/>
        <w:t>Every enclosure door of every automatic lift other than a service lift shall be provided with 2 separate electromechanical interlocks each arranged to electrically and mechanically interlock the enclosure door with the control of the lift.</w:t>
      </w:r>
    </w:p>
    <w:p w:rsidR="00B40966" w:rsidRDefault="00B40966">
      <w:pPr>
        <w:pStyle w:val="Amain"/>
        <w:rPr>
          <w:color w:val="000000"/>
        </w:rPr>
      </w:pPr>
      <w:r>
        <w:rPr>
          <w:color w:val="000000"/>
        </w:rPr>
        <w:tab/>
        <w:t>(2)</w:t>
      </w:r>
      <w:r>
        <w:rPr>
          <w:color w:val="000000"/>
        </w:rPr>
        <w:tab/>
        <w:t>If latches are used they shall be of a design that will prevent fingers projecting through the latch hole and the latch shall be clear of the door surrounds when the door is fully open.</w:t>
      </w:r>
    </w:p>
    <w:p w:rsidR="00B40966" w:rsidRDefault="00B40966">
      <w:pPr>
        <w:pStyle w:val="Amain"/>
      </w:pPr>
      <w:r>
        <w:rPr>
          <w:color w:val="000000"/>
        </w:rPr>
        <w:tab/>
        <w:t>(3)</w:t>
      </w:r>
      <w:r>
        <w:rPr>
          <w:color w:val="000000"/>
        </w:rPr>
        <w:tab/>
        <w:t>These electromechanical interlocks shall ensure that—</w:t>
      </w:r>
    </w:p>
    <w:p w:rsidR="00B40966" w:rsidRDefault="00B40966">
      <w:pPr>
        <w:pStyle w:val="Apara"/>
      </w:pPr>
      <w:r>
        <w:tab/>
        <w:t>(a)</w:t>
      </w:r>
      <w:r>
        <w:tab/>
        <w:t>the car cannot move or continue in motion unless every enclosure door is closed and locked.</w:t>
      </w:r>
    </w:p>
    <w:p w:rsidR="00B40966" w:rsidRDefault="00B40966">
      <w:pPr>
        <w:pStyle w:val="Amain"/>
      </w:pPr>
      <w:r>
        <w:tab/>
        <w:t>(4)</w:t>
      </w:r>
      <w:r>
        <w:tab/>
        <w:t>For subsection (3) (a), an enclosure door may be considered locked if complete locking occurs within the period that the car takes to move 9 inches from the landing on which the enclosure door is situated.</w:t>
      </w:r>
    </w:p>
    <w:p w:rsidR="00B40966" w:rsidRDefault="00B40966">
      <w:pPr>
        <w:pStyle w:val="Amain"/>
      </w:pPr>
      <w:r>
        <w:tab/>
        <w:t>(5)</w:t>
      </w:r>
      <w:r>
        <w:tab/>
        <w:t>Each enclosure door may only be unlocked and opened when the car is stationary and its floor is level with the landing or within 9 inches of it at which the enclosure door is situated or the car is within the control of the levelling device at that landing.</w:t>
      </w:r>
    </w:p>
    <w:p w:rsidR="00B40966" w:rsidRDefault="00B40966">
      <w:pPr>
        <w:pStyle w:val="Amain"/>
      </w:pPr>
      <w:r>
        <w:rPr>
          <w:color w:val="000000"/>
        </w:rPr>
        <w:tab/>
        <w:t>(6)</w:t>
      </w:r>
      <w:r>
        <w:rPr>
          <w:color w:val="000000"/>
        </w:rPr>
        <w:tab/>
        <w:t>Every enclosure door of every lift other than an automatic lift shall be provided with an electromechanical interlock that shall ensure that the car cannot move or continue in motion unless every enclosure door is closed and locked and that the enclosure door can only be unlocked from the car.</w:t>
      </w:r>
    </w:p>
    <w:p w:rsidR="00B40966" w:rsidRDefault="00B40966">
      <w:pPr>
        <w:pStyle w:val="Amain"/>
        <w:rPr>
          <w:color w:val="000000"/>
        </w:rPr>
      </w:pPr>
      <w:r>
        <w:rPr>
          <w:color w:val="000000"/>
        </w:rPr>
        <w:tab/>
        <w:t>(7)</w:t>
      </w:r>
      <w:r>
        <w:rPr>
          <w:color w:val="000000"/>
        </w:rPr>
        <w:tab/>
        <w:t>Every enclosure door of every service lift shall be interlocked with the control so that the car cannot move or continue in motion unless every enclosure door is closed and locked and so that the enclosure doors can only be opened when the car floor is level with the landing or within 9 inches of the landing on which the enclosure door is situated.</w:t>
      </w:r>
    </w:p>
    <w:p w:rsidR="00B40966" w:rsidRDefault="00B40966">
      <w:pPr>
        <w:pStyle w:val="Amain"/>
      </w:pPr>
      <w:r>
        <w:rPr>
          <w:color w:val="000000"/>
        </w:rPr>
        <w:tab/>
        <w:t>(8)</w:t>
      </w:r>
      <w:r>
        <w:rPr>
          <w:color w:val="000000"/>
        </w:rPr>
        <w:tab/>
        <w:t>For this section, an enclosure door may be considered locked if complete locking occurs within the period that the car takes to move 9 inches from the landing on which the enclosure door is situated.</w:t>
      </w:r>
    </w:p>
    <w:p w:rsidR="00B40966" w:rsidRDefault="00B40966">
      <w:pPr>
        <w:pStyle w:val="Amain"/>
      </w:pPr>
      <w:r>
        <w:rPr>
          <w:color w:val="000000"/>
        </w:rPr>
        <w:tab/>
        <w:t>(9)</w:t>
      </w:r>
      <w:r>
        <w:rPr>
          <w:color w:val="000000"/>
        </w:rPr>
        <w:tab/>
        <w:t>Except for a lift fitted with both power-operated doors and a position-indicating device, every enclosure door of an automatic lift shall be provided with a panel, not less than 1 square foot in area, through which the car may be clearly seen from the landings.</w:t>
      </w:r>
    </w:p>
    <w:p w:rsidR="00B40966" w:rsidRDefault="00B40966">
      <w:pPr>
        <w:pStyle w:val="AH4SubDiv"/>
      </w:pPr>
      <w:bookmarkStart w:id="47" w:name="_Toc87257905"/>
      <w:r>
        <w:t>Clearance in wells</w:t>
      </w:r>
      <w:bookmarkEnd w:id="47"/>
    </w:p>
    <w:p w:rsidR="00B40966" w:rsidRDefault="00B40966">
      <w:pPr>
        <w:pStyle w:val="AH5Sec"/>
      </w:pPr>
      <w:bookmarkStart w:id="48" w:name="_Toc87257906"/>
      <w:r>
        <w:rPr>
          <w:rStyle w:val="CharSectNo"/>
        </w:rPr>
        <w:t>30</w:t>
      </w:r>
      <w:bookmarkEnd w:id="48"/>
      <w:r>
        <w:tab/>
        <w:t xml:space="preserve">  </w:t>
      </w:r>
    </w:p>
    <w:p w:rsidR="00B40966" w:rsidRDefault="00B40966">
      <w:pPr>
        <w:pStyle w:val="Amain"/>
      </w:pPr>
      <w:r>
        <w:rPr>
          <w:color w:val="000000"/>
        </w:rPr>
        <w:tab/>
        <w:t>(1)</w:t>
      </w:r>
      <w:r>
        <w:rPr>
          <w:color w:val="000000"/>
        </w:rPr>
        <w:tab/>
        <w:t>Adequate clearances shall be provided for the car and counterweight in every lift-well.</w:t>
      </w:r>
    </w:p>
    <w:p w:rsidR="00B40966" w:rsidRDefault="00B40966">
      <w:pPr>
        <w:pStyle w:val="Amain"/>
      </w:pPr>
      <w:r>
        <w:rPr>
          <w:color w:val="000000"/>
        </w:rPr>
        <w:tab/>
        <w:t>(2)</w:t>
      </w:r>
      <w:r>
        <w:rPr>
          <w:color w:val="000000"/>
        </w:rPr>
        <w:tab/>
        <w:t>Piping, conduit, or other equipment not forming part of the lift installation shall not be installed in a lift-well, except with the approval of the chief inspector.</w:t>
      </w:r>
    </w:p>
    <w:p w:rsidR="00B40966" w:rsidRDefault="00B40966">
      <w:pPr>
        <w:pStyle w:val="AH4SubDiv"/>
      </w:pPr>
      <w:bookmarkStart w:id="49" w:name="_Toc87257907"/>
      <w:r>
        <w:t>Ropes and sheaves</w:t>
      </w:r>
      <w:bookmarkEnd w:id="49"/>
    </w:p>
    <w:p w:rsidR="00B40966" w:rsidRDefault="00B40966">
      <w:pPr>
        <w:pStyle w:val="AH5Sec"/>
      </w:pPr>
      <w:bookmarkStart w:id="50" w:name="_Toc87257908"/>
      <w:r>
        <w:rPr>
          <w:rStyle w:val="CharSectNo"/>
        </w:rPr>
        <w:t>31</w:t>
      </w:r>
      <w:bookmarkEnd w:id="50"/>
      <w:r>
        <w:tab/>
        <w:t xml:space="preserve">  </w:t>
      </w:r>
    </w:p>
    <w:p w:rsidR="00B40966" w:rsidRDefault="00B40966">
      <w:pPr>
        <w:pStyle w:val="Amain"/>
        <w:rPr>
          <w:color w:val="000000"/>
        </w:rPr>
      </w:pPr>
      <w:r>
        <w:rPr>
          <w:color w:val="000000"/>
        </w:rPr>
        <w:tab/>
        <w:t>(1)</w:t>
      </w:r>
      <w:r>
        <w:rPr>
          <w:color w:val="000000"/>
        </w:rPr>
        <w:tab/>
        <w:t>Flexible steel or iron wire ropes shall be used for the lifting, governor and compensating ropes of all lifts, and the ropes shall not be spliced for purposes of repair or extension.</w:t>
      </w:r>
    </w:p>
    <w:p w:rsidR="00B40966" w:rsidRDefault="00B40966">
      <w:pPr>
        <w:pStyle w:val="Amain"/>
      </w:pPr>
      <w:r>
        <w:rPr>
          <w:color w:val="000000"/>
        </w:rPr>
        <w:tab/>
        <w:t>(2)</w:t>
      </w:r>
      <w:r>
        <w:rPr>
          <w:color w:val="000000"/>
        </w:rPr>
        <w:tab/>
        <w:t>Chains shall not be used for suspending cars or counterweights of lifts.</w:t>
      </w:r>
    </w:p>
    <w:p w:rsidR="00B40966" w:rsidRDefault="00B40966">
      <w:pPr>
        <w:pStyle w:val="Amain"/>
      </w:pPr>
      <w:r>
        <w:rPr>
          <w:color w:val="000000"/>
        </w:rPr>
        <w:tab/>
        <w:t>(3)</w:t>
      </w:r>
      <w:r>
        <w:rPr>
          <w:color w:val="000000"/>
        </w:rPr>
        <w:tab/>
        <w:t>The minimum number of lifting ropes for cars and counterweights of lifts, other than service lifts, shall be 2 for drum-drive lifts and hydraulic lifts and 3 for all other types.</w:t>
      </w:r>
    </w:p>
    <w:p w:rsidR="00B40966" w:rsidRDefault="00B40966">
      <w:pPr>
        <w:pStyle w:val="Amain"/>
      </w:pPr>
      <w:r>
        <w:rPr>
          <w:color w:val="000000"/>
        </w:rPr>
        <w:tab/>
        <w:t>(4)</w:t>
      </w:r>
      <w:r>
        <w:rPr>
          <w:color w:val="000000"/>
        </w:rPr>
        <w:tab/>
        <w:t>The factor of safety for lifting ropes shall not be less than 10.</w:t>
      </w:r>
    </w:p>
    <w:p w:rsidR="00B40966" w:rsidRDefault="00B40966">
      <w:pPr>
        <w:pStyle w:val="Amain"/>
      </w:pPr>
      <w:r>
        <w:rPr>
          <w:color w:val="000000"/>
        </w:rPr>
        <w:tab/>
        <w:t>(5)</w:t>
      </w:r>
      <w:r>
        <w:rPr>
          <w:color w:val="000000"/>
        </w:rPr>
        <w:tab/>
        <w:t xml:space="preserve">The minimum diameter of suspension ropes for cars and counterweights shall be </w:t>
      </w:r>
      <w:r>
        <w:rPr>
          <w:color w:val="000000"/>
          <w:position w:val="6"/>
          <w:sz w:val="18"/>
        </w:rPr>
        <w:t>3</w:t>
      </w:r>
      <w:r>
        <w:rPr>
          <w:color w:val="000000"/>
        </w:rPr>
        <w:t>/</w:t>
      </w:r>
      <w:r>
        <w:rPr>
          <w:color w:val="000000"/>
          <w:sz w:val="18"/>
        </w:rPr>
        <w:t>8</w:t>
      </w:r>
      <w:r>
        <w:rPr>
          <w:color w:val="000000"/>
        </w:rPr>
        <w:t xml:space="preserve"> of an inch except for service lifts where the minimum diameter shall be </w:t>
      </w:r>
      <w:r>
        <w:rPr>
          <w:color w:val="000000"/>
          <w:position w:val="6"/>
          <w:sz w:val="18"/>
        </w:rPr>
        <w:t>1</w:t>
      </w:r>
      <w:r>
        <w:rPr>
          <w:color w:val="000000"/>
        </w:rPr>
        <w:t>/</w:t>
      </w:r>
      <w:r>
        <w:rPr>
          <w:color w:val="000000"/>
          <w:sz w:val="18"/>
        </w:rPr>
        <w:t>4</w:t>
      </w:r>
      <w:r>
        <w:rPr>
          <w:color w:val="000000"/>
        </w:rPr>
        <w:t xml:space="preserve"> of an inch.</w:t>
      </w:r>
    </w:p>
    <w:p w:rsidR="00B40966" w:rsidRDefault="00B40966">
      <w:pPr>
        <w:pStyle w:val="Amain"/>
      </w:pPr>
      <w:r>
        <w:rPr>
          <w:color w:val="000000"/>
        </w:rPr>
        <w:tab/>
        <w:t>(6)</w:t>
      </w:r>
      <w:r>
        <w:rPr>
          <w:color w:val="000000"/>
        </w:rPr>
        <w:tab/>
        <w:t>The ratio of the diameter of any drum or sheave to the diameter of the rope used on it shall be not less than—</w:t>
      </w:r>
    </w:p>
    <w:p w:rsidR="00B40966" w:rsidRDefault="00B40966">
      <w:pPr>
        <w:pStyle w:val="Apara"/>
      </w:pPr>
      <w:r>
        <w:tab/>
        <w:t>(a)</w:t>
      </w:r>
      <w:r>
        <w:tab/>
        <w:t>45:1 for passenger or goods lifts; and</w:t>
      </w:r>
    </w:p>
    <w:p w:rsidR="00B40966" w:rsidRDefault="00B40966">
      <w:pPr>
        <w:pStyle w:val="Apara"/>
      </w:pPr>
      <w:r>
        <w:tab/>
        <w:t>(b)</w:t>
      </w:r>
      <w:r>
        <w:tab/>
        <w:t>40:1 for service lifts; and</w:t>
      </w:r>
    </w:p>
    <w:p w:rsidR="00B40966" w:rsidRDefault="00B40966">
      <w:pPr>
        <w:pStyle w:val="Apara"/>
      </w:pPr>
      <w:r>
        <w:tab/>
        <w:t>(c)</w:t>
      </w:r>
      <w:r>
        <w:tab/>
        <w:t>38:1 for compensating ropes; and</w:t>
      </w:r>
    </w:p>
    <w:p w:rsidR="00B40966" w:rsidRDefault="00B40966">
      <w:pPr>
        <w:pStyle w:val="Apara"/>
      </w:pPr>
      <w:r>
        <w:tab/>
        <w:t>(d)</w:t>
      </w:r>
      <w:r>
        <w:tab/>
        <w:t>25:1 for governor ropes.</w:t>
      </w:r>
    </w:p>
    <w:p w:rsidR="00B40966" w:rsidRDefault="00B40966">
      <w:pPr>
        <w:pStyle w:val="Amain"/>
      </w:pPr>
      <w:r>
        <w:rPr>
          <w:color w:val="000000"/>
        </w:rPr>
        <w:tab/>
        <w:t>(7)</w:t>
      </w:r>
      <w:r>
        <w:rPr>
          <w:color w:val="000000"/>
        </w:rPr>
        <w:tab/>
        <w:t>All drums and sheaves shall be grooved to correctly embrace the ropes, and to prevent any overriding or jamming.</w:t>
      </w:r>
    </w:p>
    <w:p w:rsidR="00B40966" w:rsidRDefault="00B40966">
      <w:pPr>
        <w:pStyle w:val="Amain"/>
      </w:pPr>
      <w:r>
        <w:rPr>
          <w:color w:val="000000"/>
        </w:rPr>
        <w:tab/>
        <w:t>(8)</w:t>
      </w:r>
      <w:r>
        <w:rPr>
          <w:color w:val="000000"/>
        </w:rPr>
        <w:tab/>
        <w:t>Lifting ropes shall be effectively anchored to drums and not less than 1</w:t>
      </w:r>
      <w:r>
        <w:rPr>
          <w:color w:val="000000"/>
          <w:position w:val="6"/>
          <w:sz w:val="18"/>
        </w:rPr>
        <w:t>1</w:t>
      </w:r>
      <w:r>
        <w:rPr>
          <w:color w:val="000000"/>
        </w:rPr>
        <w:t>/</w:t>
      </w:r>
      <w:r>
        <w:rPr>
          <w:color w:val="000000"/>
          <w:sz w:val="18"/>
        </w:rPr>
        <w:t>2</w:t>
      </w:r>
      <w:r>
        <w:rPr>
          <w:color w:val="000000"/>
        </w:rPr>
        <w:t xml:space="preserve"> turns of each rope shall remain on a drum when the lift car or counterweight has landed.</w:t>
      </w:r>
    </w:p>
    <w:p w:rsidR="00B40966" w:rsidRDefault="00B40966">
      <w:pPr>
        <w:pStyle w:val="Amain"/>
      </w:pPr>
      <w:r>
        <w:rPr>
          <w:color w:val="000000"/>
        </w:rPr>
        <w:tab/>
        <w:t>(9)</w:t>
      </w:r>
      <w:r>
        <w:rPr>
          <w:color w:val="000000"/>
        </w:rPr>
        <w:tab/>
        <w:t>If compensating ropes are used, provisions shall be made for automatically stopping the lift in the event of the compensating sheave rising or falling beyond predetermined limits.</w:t>
      </w:r>
    </w:p>
    <w:p w:rsidR="00B40966" w:rsidRDefault="00B40966">
      <w:pPr>
        <w:pStyle w:val="Amain"/>
      </w:pPr>
      <w:r>
        <w:rPr>
          <w:color w:val="000000"/>
        </w:rPr>
        <w:tab/>
        <w:t>(10)</w:t>
      </w:r>
      <w:r>
        <w:rPr>
          <w:color w:val="000000"/>
        </w:rPr>
        <w:tab/>
        <w:t>If 2:1 roping is used provision shall be made to prevent the ropes leaving their correct grooves, and the sheaves on the car shall be effectively guarded and a convenient handhold provided.</w:t>
      </w:r>
    </w:p>
    <w:p w:rsidR="00B40966" w:rsidRDefault="00B40966">
      <w:pPr>
        <w:pStyle w:val="AH4SubDiv"/>
      </w:pPr>
      <w:bookmarkStart w:id="51" w:name="_Toc87257909"/>
      <w:r>
        <w:t>Lift cars</w:t>
      </w:r>
      <w:bookmarkEnd w:id="51"/>
    </w:p>
    <w:p w:rsidR="00B40966" w:rsidRDefault="00B40966">
      <w:pPr>
        <w:pStyle w:val="AH5Sec"/>
      </w:pPr>
      <w:bookmarkStart w:id="52" w:name="_Toc87257910"/>
      <w:r>
        <w:rPr>
          <w:rStyle w:val="CharSectNo"/>
        </w:rPr>
        <w:t>32</w:t>
      </w:r>
      <w:bookmarkEnd w:id="52"/>
      <w:r>
        <w:tab/>
        <w:t xml:space="preserve">  </w:t>
      </w:r>
    </w:p>
    <w:p w:rsidR="00B40966" w:rsidRDefault="00B40966">
      <w:pPr>
        <w:pStyle w:val="Amain"/>
        <w:keepNext/>
      </w:pPr>
      <w:r>
        <w:rPr>
          <w:color w:val="000000"/>
        </w:rPr>
        <w:tab/>
        <w:t>(1)</w:t>
      </w:r>
      <w:r>
        <w:rPr>
          <w:color w:val="000000"/>
        </w:rPr>
        <w:tab/>
        <w:t>Steel shall be used for the bow, side members, safety gear bearers and platform frames for the car of every lift, other than a service lift.</w:t>
      </w:r>
    </w:p>
    <w:p w:rsidR="00B40966" w:rsidRDefault="00B40966">
      <w:pPr>
        <w:pStyle w:val="Amain"/>
      </w:pPr>
      <w:r>
        <w:rPr>
          <w:color w:val="000000"/>
        </w:rPr>
        <w:tab/>
        <w:t>(2)</w:t>
      </w:r>
      <w:r>
        <w:rPr>
          <w:color w:val="000000"/>
        </w:rPr>
        <w:tab/>
        <w:t>The bow of every service lift shall be strapped to the car floor with steel.</w:t>
      </w:r>
    </w:p>
    <w:p w:rsidR="00B40966" w:rsidRDefault="00B40966">
      <w:pPr>
        <w:pStyle w:val="Amain"/>
      </w:pPr>
      <w:r>
        <w:rPr>
          <w:color w:val="000000"/>
        </w:rPr>
        <w:tab/>
        <w:t>(3)</w:t>
      </w:r>
      <w:r>
        <w:rPr>
          <w:color w:val="000000"/>
        </w:rPr>
        <w:tab/>
        <w:t>Every passenger lift car shall have a roof that covers the whole area of the car, and the cars of goods lifts shall have a roof when so directed by an inspector.</w:t>
      </w:r>
    </w:p>
    <w:p w:rsidR="00B40966" w:rsidRDefault="00B40966">
      <w:pPr>
        <w:pStyle w:val="Amain"/>
        <w:rPr>
          <w:color w:val="000000"/>
        </w:rPr>
      </w:pPr>
      <w:r>
        <w:rPr>
          <w:color w:val="000000"/>
        </w:rPr>
        <w:tab/>
        <w:t>(4)</w:t>
      </w:r>
      <w:r>
        <w:rPr>
          <w:color w:val="000000"/>
        </w:rPr>
        <w:tab/>
        <w:t>The roof of every lift car shall be constructed to provide a sound, flat surface of as large an area as practicable and affording a firm foothold, and shall be of adequate strength to support safely the weight of the workers that might go on it and any equipment required to be placed on it.</w:t>
      </w:r>
    </w:p>
    <w:p w:rsidR="00B40966" w:rsidRDefault="00B40966">
      <w:pPr>
        <w:pStyle w:val="Amain"/>
      </w:pPr>
      <w:r>
        <w:rPr>
          <w:color w:val="000000"/>
        </w:rPr>
        <w:tab/>
        <w:t>(5)</w:t>
      </w:r>
      <w:r>
        <w:rPr>
          <w:color w:val="000000"/>
        </w:rPr>
        <w:tab/>
        <w:t>Glass shall not be used in car roofs.</w:t>
      </w:r>
    </w:p>
    <w:p w:rsidR="00B40966" w:rsidRDefault="00B40966">
      <w:pPr>
        <w:pStyle w:val="Amain"/>
        <w:rPr>
          <w:color w:val="000000"/>
        </w:rPr>
      </w:pPr>
      <w:r>
        <w:rPr>
          <w:color w:val="000000"/>
        </w:rPr>
        <w:tab/>
        <w:t>(6)</w:t>
      </w:r>
      <w:r>
        <w:rPr>
          <w:color w:val="000000"/>
        </w:rPr>
        <w:tab/>
        <w:t>The roof of every lift car other than a service lift shall be provided with a hinged panel, capable, if necessary, of being raised from inside or outside the car and when partly or fully opened shall not foul any enclosure or fitting in the lift-well.</w:t>
      </w:r>
    </w:p>
    <w:p w:rsidR="00B40966" w:rsidRDefault="00B40966">
      <w:pPr>
        <w:pStyle w:val="Amain"/>
        <w:rPr>
          <w:color w:val="000000"/>
        </w:rPr>
      </w:pPr>
      <w:r>
        <w:rPr>
          <w:color w:val="000000"/>
        </w:rPr>
        <w:tab/>
        <w:t>(7)</w:t>
      </w:r>
      <w:r>
        <w:rPr>
          <w:color w:val="000000"/>
        </w:rPr>
        <w:tab/>
        <w:t>The panel opening to be of such size as to permit the easy ingress or egress of a man.</w:t>
      </w:r>
    </w:p>
    <w:p w:rsidR="00B40966" w:rsidRDefault="00B40966">
      <w:pPr>
        <w:pStyle w:val="Amain"/>
      </w:pPr>
      <w:r>
        <w:rPr>
          <w:color w:val="000000"/>
        </w:rPr>
        <w:tab/>
        <w:t>(8)</w:t>
      </w:r>
      <w:r>
        <w:rPr>
          <w:color w:val="000000"/>
        </w:rPr>
        <w:tab/>
        <w:t>The hinged panels on automatic lifts shall be electrically and mechanically interlocked with the control of the lift.</w:t>
      </w:r>
    </w:p>
    <w:p w:rsidR="00B40966" w:rsidRDefault="00B40966">
      <w:pPr>
        <w:pStyle w:val="Amain"/>
      </w:pPr>
      <w:r>
        <w:rPr>
          <w:color w:val="000000"/>
        </w:rPr>
        <w:tab/>
        <w:t>(9)</w:t>
      </w:r>
      <w:r>
        <w:rPr>
          <w:color w:val="000000"/>
        </w:rPr>
        <w:tab/>
        <w:t>The roof of every service lift car shall be set back not less than 6 inches from the line of the car floor nosing, or for such distance the roof shall be in the form of a hinged flap capable of lifting.</w:t>
      </w:r>
    </w:p>
    <w:p w:rsidR="00B40966" w:rsidRDefault="00B40966">
      <w:pPr>
        <w:pStyle w:val="Amain"/>
        <w:rPr>
          <w:color w:val="000000"/>
        </w:rPr>
      </w:pPr>
      <w:r>
        <w:rPr>
          <w:color w:val="000000"/>
        </w:rPr>
        <w:tab/>
        <w:t>(10)</w:t>
      </w:r>
      <w:r>
        <w:rPr>
          <w:color w:val="000000"/>
        </w:rPr>
        <w:tab/>
        <w:t>The sides of every lift car shall extend from the car floor to the car roof.</w:t>
      </w:r>
    </w:p>
    <w:p w:rsidR="00B40966" w:rsidRDefault="00B40966">
      <w:pPr>
        <w:pStyle w:val="Amain"/>
        <w:keepLines/>
      </w:pPr>
      <w:r>
        <w:rPr>
          <w:color w:val="000000"/>
        </w:rPr>
        <w:tab/>
        <w:t>(11)</w:t>
      </w:r>
      <w:r>
        <w:rPr>
          <w:color w:val="000000"/>
        </w:rPr>
        <w:tab/>
        <w:t>If a roof is not provided to the car of a goods lift, the sides shall be of the height that an inspector may direct but shall not be less than 6 feet in height, and adjacent to the counterweight shall not be less than the height of the car bow.</w:t>
      </w:r>
    </w:p>
    <w:p w:rsidR="00B40966" w:rsidRDefault="00B40966">
      <w:pPr>
        <w:pStyle w:val="Amain"/>
        <w:rPr>
          <w:color w:val="000000"/>
        </w:rPr>
      </w:pPr>
      <w:r>
        <w:rPr>
          <w:color w:val="000000"/>
        </w:rPr>
        <w:tab/>
        <w:t>(12)</w:t>
      </w:r>
      <w:r>
        <w:rPr>
          <w:color w:val="000000"/>
        </w:rPr>
        <w:tab/>
        <w:t>Plain glass shall not be used in lift cars other than for covering notices and indicators.</w:t>
      </w:r>
    </w:p>
    <w:p w:rsidR="00B40966" w:rsidRDefault="00B40966">
      <w:pPr>
        <w:pStyle w:val="Amain"/>
      </w:pPr>
      <w:r>
        <w:rPr>
          <w:color w:val="000000"/>
        </w:rPr>
        <w:tab/>
        <w:t>(13)</w:t>
      </w:r>
      <w:r>
        <w:rPr>
          <w:color w:val="000000"/>
        </w:rPr>
        <w:tab/>
        <w:t>Lamps and lamp fittings shall be of adequate strength and security to withstand the operation of the safety gear without damage.</w:t>
      </w:r>
    </w:p>
    <w:p w:rsidR="00B40966" w:rsidRDefault="00B40966">
      <w:pPr>
        <w:pStyle w:val="AH4SubDiv"/>
      </w:pPr>
      <w:bookmarkStart w:id="53" w:name="_Toc87257911"/>
      <w:r>
        <w:t>Car gates</w:t>
      </w:r>
      <w:bookmarkEnd w:id="53"/>
    </w:p>
    <w:p w:rsidR="00B40966" w:rsidRDefault="00B40966">
      <w:pPr>
        <w:pStyle w:val="AH5Sec"/>
      </w:pPr>
      <w:bookmarkStart w:id="54" w:name="_Toc87257912"/>
      <w:r>
        <w:rPr>
          <w:rStyle w:val="CharSectNo"/>
        </w:rPr>
        <w:t>33</w:t>
      </w:r>
      <w:bookmarkEnd w:id="54"/>
      <w:r>
        <w:tab/>
        <w:t xml:space="preserve">  </w:t>
      </w:r>
    </w:p>
    <w:p w:rsidR="00B40966" w:rsidRDefault="00B40966">
      <w:pPr>
        <w:pStyle w:val="Amain"/>
      </w:pPr>
      <w:r>
        <w:rPr>
          <w:color w:val="000000"/>
        </w:rPr>
        <w:tab/>
        <w:t>(1)</w:t>
      </w:r>
      <w:r>
        <w:rPr>
          <w:color w:val="000000"/>
        </w:rPr>
        <w:tab/>
        <w:t>A gate or door affording adequate protection and electrically interlocked with the control shall be provided across every car entrance of—</w:t>
      </w:r>
    </w:p>
    <w:p w:rsidR="00B40966" w:rsidRDefault="00B40966">
      <w:pPr>
        <w:pStyle w:val="Apara"/>
      </w:pPr>
      <w:r>
        <w:tab/>
        <w:t>(a)</w:t>
      </w:r>
      <w:r>
        <w:tab/>
        <w:t>every automatic lift other than a service lift; and</w:t>
      </w:r>
    </w:p>
    <w:p w:rsidR="00B40966" w:rsidRDefault="00B40966">
      <w:pPr>
        <w:pStyle w:val="Apara"/>
      </w:pPr>
      <w:r>
        <w:tab/>
        <w:t>(b)</w:t>
      </w:r>
      <w:r>
        <w:tab/>
        <w:t>every passenger lift other than an automatic lift, except that a gate or door need not be provided at 1 entrance of the car of a passenger lift, if the control is adjacent to it so that the attendant can conveniently extend his or her arm across the entrance and the width of the entrance does not exceed 42 inches and the whole face of the well including the enclosures adjacent to the car entrance is flush and not more than 1</w:t>
      </w:r>
      <w:r>
        <w:rPr>
          <w:position w:val="6"/>
          <w:sz w:val="18"/>
        </w:rPr>
        <w:t>1</w:t>
      </w:r>
      <w:r>
        <w:t>/</w:t>
      </w:r>
      <w:r>
        <w:rPr>
          <w:sz w:val="18"/>
        </w:rPr>
        <w:t>2</w:t>
      </w:r>
      <w:r>
        <w:t xml:space="preserve"> inches from the car floor nosing; and</w:t>
      </w:r>
    </w:p>
    <w:p w:rsidR="00B40966" w:rsidRDefault="00B40966">
      <w:pPr>
        <w:pStyle w:val="Apara"/>
      </w:pPr>
      <w:r>
        <w:tab/>
        <w:t>(c)</w:t>
      </w:r>
      <w:r>
        <w:tab/>
        <w:t>every goods lift other than an automatic lift, except that a gate or door need not be provided at 1 entrance of the car of a goods lift, if the control is adjacent to it and the whole face of the well including the enclosures adjacent to that car entrance is within 3</w:t>
      </w:r>
      <w:r>
        <w:rPr>
          <w:position w:val="6"/>
          <w:sz w:val="18"/>
        </w:rPr>
        <w:t>1</w:t>
      </w:r>
      <w:r>
        <w:t>/</w:t>
      </w:r>
      <w:r>
        <w:rPr>
          <w:sz w:val="18"/>
        </w:rPr>
        <w:t>4</w:t>
      </w:r>
      <w:r>
        <w:t xml:space="preserve"> inches of the car floor nosing.</w:t>
      </w:r>
    </w:p>
    <w:p w:rsidR="00B40966" w:rsidRDefault="00B40966">
      <w:pPr>
        <w:pStyle w:val="Amain"/>
      </w:pPr>
      <w:r>
        <w:tab/>
        <w:t>(2)</w:t>
      </w:r>
      <w:r>
        <w:tab/>
        <w:t>Any offsets in the face of an enclosure mentioned in subsection (1) (c) shall be bevelled on the underside at not less than 3 inches vertical to 1 inch horizontal.</w:t>
      </w:r>
    </w:p>
    <w:p w:rsidR="00B40966" w:rsidRDefault="00B40966">
      <w:pPr>
        <w:pStyle w:val="Amain"/>
      </w:pPr>
      <w:r>
        <w:rPr>
          <w:color w:val="000000"/>
        </w:rPr>
        <w:tab/>
        <w:t>(3)</w:t>
      </w:r>
      <w:r>
        <w:rPr>
          <w:color w:val="000000"/>
        </w:rPr>
        <w:tab/>
        <w:t>All power driven car gates or doors shall be so constructed as to be capable of being opened manually.</w:t>
      </w:r>
    </w:p>
    <w:p w:rsidR="00B40966" w:rsidRDefault="00B40966">
      <w:pPr>
        <w:pStyle w:val="Amain"/>
      </w:pPr>
      <w:r>
        <w:rPr>
          <w:color w:val="000000"/>
        </w:rPr>
        <w:tab/>
        <w:t>(4)</w:t>
      </w:r>
      <w:r>
        <w:rPr>
          <w:color w:val="000000"/>
        </w:rPr>
        <w:tab/>
        <w:t>The electric interlock of the car gates of every automatic lift shall be placed in a position inaccessible to a person standing on the car floor.</w:t>
      </w:r>
    </w:p>
    <w:p w:rsidR="00B40966" w:rsidRDefault="00B40966">
      <w:pPr>
        <w:pStyle w:val="Amain"/>
      </w:pPr>
      <w:r>
        <w:rPr>
          <w:color w:val="000000"/>
        </w:rPr>
        <w:tab/>
        <w:t>(5)</w:t>
      </w:r>
      <w:r>
        <w:rPr>
          <w:color w:val="000000"/>
        </w:rPr>
        <w:tab/>
        <w:t>If levelling devices are used the car floor shall be provided with a substantial toe-guard flush with its outer edge extending a sufficient distance below the car floor so that there shall be no opening into the lift-well while the car is within the levelling zone.</w:t>
      </w:r>
    </w:p>
    <w:p w:rsidR="00B40966" w:rsidRDefault="00B40966">
      <w:pPr>
        <w:pStyle w:val="AH4SubDiv"/>
      </w:pPr>
      <w:bookmarkStart w:id="55" w:name="_Toc87257913"/>
      <w:r>
        <w:t>Lighting and ventilation of cars</w:t>
      </w:r>
      <w:bookmarkEnd w:id="55"/>
    </w:p>
    <w:p w:rsidR="00B40966" w:rsidRDefault="00B40966">
      <w:pPr>
        <w:pStyle w:val="AH5Sec"/>
      </w:pPr>
      <w:bookmarkStart w:id="56" w:name="_Toc87257914"/>
      <w:r>
        <w:rPr>
          <w:rStyle w:val="CharSectNo"/>
        </w:rPr>
        <w:t>34</w:t>
      </w:r>
      <w:bookmarkEnd w:id="56"/>
      <w:r>
        <w:tab/>
        <w:t xml:space="preserve">  </w:t>
      </w:r>
    </w:p>
    <w:p w:rsidR="00B40966" w:rsidRDefault="00B40966">
      <w:pPr>
        <w:pStyle w:val="Amainreturn"/>
      </w:pPr>
      <w:r>
        <w:t>The car of every lift other than a service lift shall be provided with—</w:t>
      </w:r>
    </w:p>
    <w:p w:rsidR="00B40966" w:rsidRDefault="00B40966">
      <w:pPr>
        <w:pStyle w:val="Apara"/>
      </w:pPr>
      <w:r>
        <w:tab/>
        <w:t>(a)</w:t>
      </w:r>
      <w:r>
        <w:tab/>
        <w:t>adequate ventilation; and</w:t>
      </w:r>
    </w:p>
    <w:p w:rsidR="00B40966" w:rsidRDefault="00B40966">
      <w:pPr>
        <w:pStyle w:val="Apara"/>
      </w:pPr>
      <w:r>
        <w:tab/>
        <w:t>(b)</w:t>
      </w:r>
      <w:r>
        <w:tab/>
        <w:t>effective means for interior electrical illumination; and</w:t>
      </w:r>
    </w:p>
    <w:p w:rsidR="00B40966" w:rsidRDefault="00B40966">
      <w:pPr>
        <w:pStyle w:val="Apara"/>
      </w:pPr>
      <w:r>
        <w:tab/>
        <w:t>(c)</w:t>
      </w:r>
      <w:r>
        <w:tab/>
        <w:t>facilities on the car roof for attaching an electric light if an inspector so directs; and</w:t>
      </w:r>
    </w:p>
    <w:p w:rsidR="00B40966" w:rsidRDefault="00B40966">
      <w:pPr>
        <w:pStyle w:val="Apara"/>
      </w:pPr>
      <w:r>
        <w:tab/>
        <w:t>(d)</w:t>
      </w:r>
      <w:r>
        <w:tab/>
        <w:t>unless other provision is made for illuminating the pit of the lift, an electric light on the underside of the car.</w:t>
      </w:r>
    </w:p>
    <w:p w:rsidR="00B40966" w:rsidRDefault="00B40966">
      <w:pPr>
        <w:pStyle w:val="AH4SubDiv"/>
      </w:pPr>
      <w:bookmarkStart w:id="57" w:name="_Toc87257915"/>
      <w:r>
        <w:t>Safety gear</w:t>
      </w:r>
      <w:bookmarkEnd w:id="57"/>
    </w:p>
    <w:p w:rsidR="00B40966" w:rsidRDefault="00B40966">
      <w:pPr>
        <w:pStyle w:val="AH5Sec"/>
      </w:pPr>
      <w:bookmarkStart w:id="58" w:name="_Toc87257916"/>
      <w:r>
        <w:rPr>
          <w:rStyle w:val="CharSectNo"/>
        </w:rPr>
        <w:t>35</w:t>
      </w:r>
      <w:bookmarkEnd w:id="58"/>
      <w:r>
        <w:tab/>
        <w:t xml:space="preserve">  </w:t>
      </w:r>
    </w:p>
    <w:p w:rsidR="00B40966" w:rsidRDefault="00B40966">
      <w:pPr>
        <w:pStyle w:val="Amain"/>
      </w:pPr>
      <w:r>
        <w:rPr>
          <w:color w:val="000000"/>
        </w:rPr>
        <w:tab/>
        <w:t>(1)</w:t>
      </w:r>
      <w:r>
        <w:rPr>
          <w:color w:val="000000"/>
        </w:rPr>
        <w:tab/>
        <w:t>The car of every suspended lift other than a service lift shall be provided with effective safety gear.</w:t>
      </w:r>
    </w:p>
    <w:p w:rsidR="00B40966" w:rsidRDefault="00B40966">
      <w:pPr>
        <w:pStyle w:val="Amain"/>
      </w:pPr>
      <w:r>
        <w:rPr>
          <w:color w:val="000000"/>
        </w:rPr>
        <w:tab/>
        <w:t>(2)</w:t>
      </w:r>
      <w:r>
        <w:rPr>
          <w:color w:val="000000"/>
        </w:rPr>
        <w:tab/>
        <w:t xml:space="preserve">A speed governor operating the safety gear shall be provided if the travel of the lift car exceeds 30 feet and on lifts erected after </w:t>
      </w:r>
      <w:r>
        <w:t>19 September 1957</w:t>
      </w:r>
      <w:r>
        <w:rPr>
          <w:color w:val="000000"/>
        </w:rPr>
        <w:t xml:space="preserve"> if the travel exceeds 18 feet.</w:t>
      </w:r>
    </w:p>
    <w:p w:rsidR="00B40966" w:rsidRDefault="00B40966">
      <w:pPr>
        <w:pStyle w:val="Amain"/>
      </w:pPr>
      <w:r>
        <w:rPr>
          <w:color w:val="000000"/>
        </w:rPr>
        <w:tab/>
        <w:t>(3)</w:t>
      </w:r>
      <w:r>
        <w:rPr>
          <w:color w:val="000000"/>
        </w:rPr>
        <w:tab/>
        <w:t>The safety gear shall be of a type that brings the car to an easy and gradual stop when the rated speed of the lift exceeds 200 feet per minute.</w:t>
      </w:r>
    </w:p>
    <w:p w:rsidR="00B40966" w:rsidRDefault="00B40966">
      <w:pPr>
        <w:pStyle w:val="Amain"/>
      </w:pPr>
      <w:r>
        <w:rPr>
          <w:color w:val="000000"/>
        </w:rPr>
        <w:tab/>
        <w:t>(4)</w:t>
      </w:r>
      <w:r>
        <w:rPr>
          <w:color w:val="000000"/>
        </w:rPr>
        <w:tab/>
        <w:t>Instantaneous safety gear operating on timber backings for guides may only be used on lifts the rated speed of which does not exceed 200 feet per minute, or if operating on steel guides may be used on lifts the rated speed of which does not exceed 125 feet per minute.</w:t>
      </w:r>
    </w:p>
    <w:p w:rsidR="00B40966" w:rsidRDefault="00B40966">
      <w:pPr>
        <w:pStyle w:val="Amain"/>
        <w:rPr>
          <w:color w:val="000000"/>
        </w:rPr>
      </w:pPr>
      <w:r>
        <w:rPr>
          <w:color w:val="000000"/>
        </w:rPr>
        <w:tab/>
        <w:t>(5)</w:t>
      </w:r>
      <w:r>
        <w:rPr>
          <w:color w:val="000000"/>
        </w:rPr>
        <w:tab/>
        <w:t>Speed governors shall be constructed, adjusted and maintained as to cause the operation of the safety gear at or before the speeds specified in table 35.</w:t>
      </w:r>
    </w:p>
    <w:p w:rsidR="00B40966" w:rsidRDefault="00B40966">
      <w:pPr>
        <w:pStyle w:val="TableHd"/>
        <w:ind w:hanging="516"/>
      </w:pPr>
      <w:r>
        <w:t>Table 35</w:t>
      </w:r>
    </w:p>
    <w:tbl>
      <w:tblPr>
        <w:tblW w:w="0" w:type="auto"/>
        <w:tblInd w:w="800" w:type="dxa"/>
        <w:tblLayout w:type="fixed"/>
        <w:tblCellMar>
          <w:left w:w="80" w:type="dxa"/>
          <w:right w:w="80" w:type="dxa"/>
        </w:tblCellMar>
        <w:tblLook w:val="0000" w:firstRow="0" w:lastRow="0" w:firstColumn="0" w:lastColumn="0" w:noHBand="0" w:noVBand="0"/>
      </w:tblPr>
      <w:tblGrid>
        <w:gridCol w:w="3610"/>
        <w:gridCol w:w="3230"/>
      </w:tblGrid>
      <w:tr w:rsidR="00B40966">
        <w:trPr>
          <w:cantSplit/>
        </w:trPr>
        <w:tc>
          <w:tcPr>
            <w:tcW w:w="3610" w:type="dxa"/>
            <w:tcBorders>
              <w:bottom w:val="single" w:sz="4" w:space="0" w:color="auto"/>
            </w:tcBorders>
          </w:tcPr>
          <w:p w:rsidR="00B40966" w:rsidRDefault="00B40966">
            <w:pPr>
              <w:pStyle w:val="TableColHd"/>
            </w:pPr>
            <w:r>
              <w:t>rated speed of lift</w:t>
            </w:r>
          </w:p>
          <w:p w:rsidR="00B40966" w:rsidRDefault="00B40966">
            <w:pPr>
              <w:pStyle w:val="TableColHd"/>
            </w:pPr>
            <w:r>
              <w:rPr>
                <w:sz w:val="20"/>
              </w:rPr>
              <w:t>feet/min</w:t>
            </w:r>
          </w:p>
        </w:tc>
        <w:tc>
          <w:tcPr>
            <w:tcW w:w="3230" w:type="dxa"/>
            <w:tcBorders>
              <w:bottom w:val="single" w:sz="4" w:space="0" w:color="auto"/>
            </w:tcBorders>
          </w:tcPr>
          <w:p w:rsidR="00B40966" w:rsidRDefault="00B40966">
            <w:pPr>
              <w:pStyle w:val="TableColHd"/>
            </w:pPr>
            <w:r>
              <w:t>maximum operating speed of governor</w:t>
            </w:r>
          </w:p>
          <w:p w:rsidR="00B40966" w:rsidRDefault="00B40966">
            <w:pPr>
              <w:pStyle w:val="TableColHd"/>
            </w:pPr>
            <w:r>
              <w:rPr>
                <w:sz w:val="20"/>
              </w:rPr>
              <w:t>feet/min or % of rated speed</w:t>
            </w:r>
          </w:p>
        </w:tc>
      </w:tr>
      <w:tr w:rsidR="00B40966">
        <w:trPr>
          <w:cantSplit/>
        </w:trPr>
        <w:tc>
          <w:tcPr>
            <w:tcW w:w="3610" w:type="dxa"/>
            <w:tcBorders>
              <w:top w:val="single" w:sz="4" w:space="0" w:color="auto"/>
            </w:tcBorders>
          </w:tcPr>
          <w:p w:rsidR="00B40966" w:rsidRDefault="00B40966">
            <w:pPr>
              <w:pStyle w:val="TableText"/>
              <w:rPr>
                <w:rFonts w:ascii="Arial" w:hAnsi="Arial"/>
                <w:sz w:val="20"/>
              </w:rPr>
            </w:pPr>
            <w:r>
              <w:rPr>
                <w:rFonts w:ascii="Arial" w:hAnsi="Arial"/>
                <w:sz w:val="20"/>
              </w:rPr>
              <w:t>up to 100</w:t>
            </w:r>
          </w:p>
        </w:tc>
        <w:tc>
          <w:tcPr>
            <w:tcW w:w="3230" w:type="dxa"/>
            <w:tcBorders>
              <w:top w:val="single" w:sz="4" w:space="0" w:color="auto"/>
            </w:tcBorders>
          </w:tcPr>
          <w:p w:rsidR="00B40966" w:rsidRDefault="00B40966">
            <w:pPr>
              <w:pStyle w:val="TableText"/>
              <w:rPr>
                <w:rFonts w:ascii="Arial" w:hAnsi="Arial"/>
                <w:sz w:val="20"/>
              </w:rPr>
            </w:pPr>
            <w:r>
              <w:rPr>
                <w:rFonts w:ascii="Arial" w:hAnsi="Arial"/>
                <w:sz w:val="20"/>
              </w:rPr>
              <w:t>140 feet/min</w:t>
            </w:r>
          </w:p>
        </w:tc>
      </w:tr>
      <w:tr w:rsidR="00B40966">
        <w:trPr>
          <w:cantSplit/>
        </w:trPr>
        <w:tc>
          <w:tcPr>
            <w:tcW w:w="3610" w:type="dxa"/>
          </w:tcPr>
          <w:p w:rsidR="00B40966" w:rsidRDefault="00B40966">
            <w:pPr>
              <w:pStyle w:val="TableText"/>
              <w:rPr>
                <w:rFonts w:ascii="Arial" w:hAnsi="Arial"/>
                <w:sz w:val="20"/>
              </w:rPr>
            </w:pPr>
            <w:r>
              <w:rPr>
                <w:rFonts w:ascii="Arial" w:hAnsi="Arial"/>
                <w:sz w:val="20"/>
              </w:rPr>
              <w:t>from 100 to 500</w:t>
            </w:r>
          </w:p>
        </w:tc>
        <w:tc>
          <w:tcPr>
            <w:tcW w:w="3230" w:type="dxa"/>
          </w:tcPr>
          <w:p w:rsidR="00B40966" w:rsidRDefault="00B40966">
            <w:pPr>
              <w:pStyle w:val="TableText"/>
              <w:rPr>
                <w:rFonts w:ascii="Arial" w:hAnsi="Arial"/>
                <w:sz w:val="20"/>
              </w:rPr>
            </w:pPr>
            <w:r>
              <w:rPr>
                <w:rFonts w:ascii="Arial" w:hAnsi="Arial"/>
                <w:sz w:val="20"/>
              </w:rPr>
              <w:t>40% in excess of rated speed</w:t>
            </w:r>
          </w:p>
        </w:tc>
      </w:tr>
      <w:tr w:rsidR="00B40966">
        <w:trPr>
          <w:cantSplit/>
        </w:trPr>
        <w:tc>
          <w:tcPr>
            <w:tcW w:w="3610" w:type="dxa"/>
          </w:tcPr>
          <w:p w:rsidR="00B40966" w:rsidRDefault="00B40966">
            <w:pPr>
              <w:pStyle w:val="TableText"/>
              <w:rPr>
                <w:rFonts w:ascii="Arial" w:hAnsi="Arial"/>
                <w:sz w:val="20"/>
              </w:rPr>
            </w:pPr>
            <w:r>
              <w:rPr>
                <w:rFonts w:ascii="Arial" w:hAnsi="Arial"/>
                <w:sz w:val="20"/>
              </w:rPr>
              <w:t>over 500</w:t>
            </w:r>
          </w:p>
        </w:tc>
        <w:tc>
          <w:tcPr>
            <w:tcW w:w="3230" w:type="dxa"/>
          </w:tcPr>
          <w:p w:rsidR="00B40966" w:rsidRDefault="00B40966">
            <w:pPr>
              <w:pStyle w:val="TableText"/>
              <w:rPr>
                <w:rFonts w:ascii="Arial" w:hAnsi="Arial"/>
                <w:sz w:val="20"/>
              </w:rPr>
            </w:pPr>
            <w:r>
              <w:rPr>
                <w:rFonts w:ascii="Arial" w:hAnsi="Arial"/>
                <w:sz w:val="20"/>
              </w:rPr>
              <w:t>200 feet/min in excess of rated speed</w:t>
            </w:r>
          </w:p>
        </w:tc>
      </w:tr>
    </w:tbl>
    <w:p w:rsidR="00B40966" w:rsidRDefault="00B40966"/>
    <w:p w:rsidR="00B40966" w:rsidRDefault="00B40966">
      <w:pPr>
        <w:pStyle w:val="Amain"/>
      </w:pPr>
      <w:r>
        <w:rPr>
          <w:color w:val="000000"/>
        </w:rPr>
        <w:tab/>
        <w:t>(6)</w:t>
      </w:r>
      <w:r>
        <w:rPr>
          <w:color w:val="000000"/>
        </w:rPr>
        <w:tab/>
        <w:t>Speed governors of electric lifts whose speed exceeds 200 feet per minute shall have a switch that shall open before or at the time the governor grips the governor rope, and shall open the motor and brake circuits and stop the machine.</w:t>
      </w:r>
    </w:p>
    <w:p w:rsidR="00B40966" w:rsidRDefault="00B40966">
      <w:pPr>
        <w:pStyle w:val="AH4SubDiv"/>
      </w:pPr>
      <w:bookmarkStart w:id="59" w:name="_Toc87257917"/>
      <w:r>
        <w:t>Machines</w:t>
      </w:r>
      <w:bookmarkEnd w:id="59"/>
    </w:p>
    <w:p w:rsidR="00B40966" w:rsidRDefault="00B40966">
      <w:pPr>
        <w:pStyle w:val="AH5Sec"/>
      </w:pPr>
      <w:bookmarkStart w:id="60" w:name="_Toc87257918"/>
      <w:r>
        <w:rPr>
          <w:rStyle w:val="CharSectNo"/>
        </w:rPr>
        <w:t>36</w:t>
      </w:r>
      <w:bookmarkEnd w:id="60"/>
      <w:r>
        <w:tab/>
        <w:t xml:space="preserve">  </w:t>
      </w:r>
    </w:p>
    <w:p w:rsidR="00B40966" w:rsidRDefault="00B40966">
      <w:pPr>
        <w:pStyle w:val="Amain"/>
      </w:pPr>
      <w:r>
        <w:rPr>
          <w:color w:val="000000"/>
        </w:rPr>
        <w:tab/>
        <w:t>(1)</w:t>
      </w:r>
      <w:r>
        <w:rPr>
          <w:color w:val="000000"/>
        </w:rPr>
        <w:tab/>
        <w:t>All lift machines other than hydraulic shall be provided with efficient brake gear.</w:t>
      </w:r>
    </w:p>
    <w:p w:rsidR="00B40966" w:rsidRDefault="00B40966">
      <w:pPr>
        <w:pStyle w:val="Amain"/>
      </w:pPr>
      <w:r>
        <w:rPr>
          <w:color w:val="000000"/>
        </w:rPr>
        <w:tab/>
        <w:t>(2)</w:t>
      </w:r>
      <w:r>
        <w:rPr>
          <w:color w:val="000000"/>
        </w:rPr>
        <w:tab/>
        <w:t>Traction sheaves, except for service lifts, shall not be overhung.</w:t>
      </w:r>
    </w:p>
    <w:p w:rsidR="00B40966" w:rsidRDefault="00B40966">
      <w:pPr>
        <w:pStyle w:val="Amain"/>
      </w:pPr>
      <w:r>
        <w:rPr>
          <w:color w:val="000000"/>
        </w:rPr>
        <w:tab/>
        <w:t>(3)</w:t>
      </w:r>
      <w:r>
        <w:rPr>
          <w:color w:val="000000"/>
        </w:rPr>
        <w:tab/>
        <w:t>Worms and their shafts shall be constructed in a single piece.</w:t>
      </w:r>
    </w:p>
    <w:p w:rsidR="00B40966" w:rsidRDefault="00B40966">
      <w:pPr>
        <w:pStyle w:val="Amain"/>
      </w:pPr>
      <w:r>
        <w:rPr>
          <w:color w:val="000000"/>
        </w:rPr>
        <w:tab/>
        <w:t>(4)</w:t>
      </w:r>
      <w:r>
        <w:rPr>
          <w:color w:val="000000"/>
        </w:rPr>
        <w:tab/>
        <w:t>No drum-drive lift shall have a speed greater than 300 feet per minute.</w:t>
      </w:r>
    </w:p>
    <w:p w:rsidR="00B40966" w:rsidRDefault="00B40966">
      <w:pPr>
        <w:pStyle w:val="AH4SubDiv"/>
      </w:pPr>
      <w:bookmarkStart w:id="61" w:name="_Toc87257919"/>
      <w:r>
        <w:t>Counterweight</w:t>
      </w:r>
      <w:bookmarkEnd w:id="61"/>
    </w:p>
    <w:p w:rsidR="00B40966" w:rsidRDefault="00B40966">
      <w:pPr>
        <w:pStyle w:val="AH5Sec"/>
      </w:pPr>
      <w:bookmarkStart w:id="62" w:name="_Toc87257920"/>
      <w:r>
        <w:rPr>
          <w:rStyle w:val="CharSectNo"/>
        </w:rPr>
        <w:t>37</w:t>
      </w:r>
      <w:bookmarkEnd w:id="62"/>
      <w:r>
        <w:tab/>
        <w:t xml:space="preserve">  </w:t>
      </w:r>
    </w:p>
    <w:p w:rsidR="00B40966" w:rsidRDefault="00B40966">
      <w:pPr>
        <w:pStyle w:val="Amain"/>
      </w:pPr>
      <w:r>
        <w:rPr>
          <w:color w:val="000000"/>
        </w:rPr>
        <w:tab/>
        <w:t>(1)</w:t>
      </w:r>
      <w:r>
        <w:rPr>
          <w:color w:val="000000"/>
        </w:rPr>
        <w:tab/>
        <w:t>The top 15 feet of the counterweight guides of all drum-drive machines, except for service lifts, shall be enclosed by a substantial and firmly secured screen.</w:t>
      </w:r>
    </w:p>
    <w:p w:rsidR="00B40966" w:rsidRDefault="00B40966">
      <w:pPr>
        <w:pStyle w:val="Amain"/>
      </w:pPr>
      <w:r>
        <w:rPr>
          <w:color w:val="000000"/>
        </w:rPr>
        <w:tab/>
        <w:t>(2)</w:t>
      </w:r>
      <w:r>
        <w:rPr>
          <w:color w:val="000000"/>
        </w:rPr>
        <w:tab/>
        <w:t>If a counterweight, other than the one balancing the car travels adjacent to that car, then the path of travel of this counterweight shall be screened from that car.</w:t>
      </w:r>
    </w:p>
    <w:p w:rsidR="00B40966" w:rsidRDefault="00B40966">
      <w:pPr>
        <w:pStyle w:val="AH4SubDiv"/>
      </w:pPr>
      <w:bookmarkStart w:id="63" w:name="_Toc87257921"/>
      <w:r>
        <w:t>Guides</w:t>
      </w:r>
      <w:bookmarkEnd w:id="63"/>
    </w:p>
    <w:p w:rsidR="00B40966" w:rsidRDefault="00B40966">
      <w:pPr>
        <w:pStyle w:val="AH5Sec"/>
      </w:pPr>
      <w:bookmarkStart w:id="64" w:name="_Toc87257922"/>
      <w:r>
        <w:rPr>
          <w:rStyle w:val="CharSectNo"/>
        </w:rPr>
        <w:t>38</w:t>
      </w:r>
      <w:bookmarkEnd w:id="64"/>
      <w:r>
        <w:tab/>
        <w:t xml:space="preserve">  </w:t>
      </w:r>
    </w:p>
    <w:p w:rsidR="00B40966" w:rsidRDefault="00B40966">
      <w:pPr>
        <w:pStyle w:val="Amain"/>
      </w:pPr>
      <w:r>
        <w:rPr>
          <w:color w:val="000000"/>
        </w:rPr>
        <w:tab/>
        <w:t>(1)</w:t>
      </w:r>
      <w:r>
        <w:rPr>
          <w:color w:val="000000"/>
        </w:rPr>
        <w:tab/>
        <w:t>The car and counterweight of every lift shall run between guides of adequate section and so supported as to withstand the loads from guide shoes and the operation of the safety gear without undue deflection.</w:t>
      </w:r>
    </w:p>
    <w:p w:rsidR="00B40966" w:rsidRDefault="00B40966">
      <w:pPr>
        <w:pStyle w:val="Amain"/>
      </w:pPr>
      <w:r>
        <w:rPr>
          <w:color w:val="000000"/>
        </w:rPr>
        <w:tab/>
        <w:t>(2)</w:t>
      </w:r>
      <w:r>
        <w:rPr>
          <w:color w:val="000000"/>
        </w:rPr>
        <w:tab/>
        <w:t>Car and counterweight guides shall be of steel except for service lifts and for lifts operating at a speed not exceeding 100 feet per minute.</w:t>
      </w:r>
    </w:p>
    <w:p w:rsidR="00B40966" w:rsidRDefault="00B40966">
      <w:pPr>
        <w:pStyle w:val="AH4SubDiv"/>
      </w:pPr>
      <w:bookmarkStart w:id="65" w:name="_Toc87257923"/>
      <w:r>
        <w:t>Electrical equipment</w:t>
      </w:r>
      <w:bookmarkEnd w:id="65"/>
    </w:p>
    <w:p w:rsidR="00B40966" w:rsidRDefault="00B40966">
      <w:pPr>
        <w:pStyle w:val="AH5Sec"/>
      </w:pPr>
      <w:bookmarkStart w:id="66" w:name="_Toc87257924"/>
      <w:r>
        <w:rPr>
          <w:rStyle w:val="CharSectNo"/>
        </w:rPr>
        <w:t>39</w:t>
      </w:r>
      <w:bookmarkEnd w:id="66"/>
      <w:r>
        <w:tab/>
        <w:t xml:space="preserve">  </w:t>
      </w:r>
    </w:p>
    <w:p w:rsidR="00B40966" w:rsidRDefault="00B40966">
      <w:pPr>
        <w:pStyle w:val="Amain"/>
        <w:rPr>
          <w:color w:val="000000"/>
        </w:rPr>
      </w:pPr>
      <w:r>
        <w:rPr>
          <w:color w:val="000000"/>
        </w:rPr>
        <w:tab/>
        <w:t>(1)</w:t>
      </w:r>
      <w:r>
        <w:rPr>
          <w:color w:val="000000"/>
        </w:rPr>
        <w:tab/>
        <w:t>All electrical conductors, appliances and equipment used in connection with every lift shall be of sufficient size and so constructed, installed, protected and maintained as to be safe for, and in use.</w:t>
      </w:r>
    </w:p>
    <w:p w:rsidR="00B40966" w:rsidRDefault="00B40966">
      <w:pPr>
        <w:pStyle w:val="Amain"/>
      </w:pPr>
      <w:r>
        <w:rPr>
          <w:color w:val="000000"/>
        </w:rPr>
        <w:tab/>
        <w:t>(2)</w:t>
      </w:r>
      <w:r>
        <w:rPr>
          <w:color w:val="000000"/>
        </w:rPr>
        <w:tab/>
        <w:t>If more specific provision is not made elsewhere in this regulation, they shall conform with the provisions of the S.A.A. Wiring Rules.</w:t>
      </w:r>
    </w:p>
    <w:p w:rsidR="00B40966" w:rsidRDefault="00B40966">
      <w:pPr>
        <w:pStyle w:val="Amain"/>
      </w:pPr>
      <w:r>
        <w:rPr>
          <w:color w:val="000000"/>
        </w:rPr>
        <w:tab/>
        <w:t>(3)</w:t>
      </w:r>
      <w:r>
        <w:rPr>
          <w:color w:val="000000"/>
        </w:rPr>
        <w:tab/>
        <w:t>All electrical wiring in every lift-well, and on every lift car, other than flexible conductors, shall be in screwed conduit.</w:t>
      </w:r>
    </w:p>
    <w:p w:rsidR="00B40966" w:rsidRDefault="00B40966">
      <w:pPr>
        <w:pStyle w:val="Amain"/>
      </w:pPr>
      <w:r>
        <w:rPr>
          <w:color w:val="000000"/>
        </w:rPr>
        <w:tab/>
        <w:t>(4)</w:t>
      </w:r>
      <w:r>
        <w:rPr>
          <w:color w:val="000000"/>
        </w:rPr>
        <w:tab/>
        <w:t>The electric controlling gear of every lift must operate without causing excessive strain in any part of the apparatus, and shall automatically slow down the car and cut off the control current at both limits of travel, and shall ensure that acceleration in starting and deceleration in stopping is not excessive.</w:t>
      </w:r>
    </w:p>
    <w:p w:rsidR="00B40966" w:rsidRDefault="00B40966">
      <w:pPr>
        <w:pStyle w:val="Amain"/>
      </w:pPr>
      <w:r>
        <w:rPr>
          <w:color w:val="000000"/>
        </w:rPr>
        <w:tab/>
        <w:t>(5)</w:t>
      </w:r>
      <w:r>
        <w:rPr>
          <w:color w:val="000000"/>
        </w:rPr>
        <w:tab/>
        <w:t>The control circuits of all lifts shall not exceed 250V and 1 side of the circuits shall be at earth potential.</w:t>
      </w:r>
    </w:p>
    <w:p w:rsidR="00B40966" w:rsidRDefault="00B40966">
      <w:pPr>
        <w:pStyle w:val="Amain"/>
      </w:pPr>
      <w:r>
        <w:rPr>
          <w:color w:val="000000"/>
        </w:rPr>
        <w:tab/>
        <w:t>(6)</w:t>
      </w:r>
      <w:r>
        <w:rPr>
          <w:color w:val="000000"/>
        </w:rPr>
        <w:tab/>
        <w:t>The metal frames and covers of all motors, interlocks and electrical equipment and conduit of every lift shall be effectively earthed.</w:t>
      </w:r>
    </w:p>
    <w:p w:rsidR="00B40966" w:rsidRDefault="00B40966">
      <w:pPr>
        <w:pStyle w:val="AH4SubDiv"/>
      </w:pPr>
      <w:bookmarkStart w:id="67" w:name="_Toc87257925"/>
      <w:r>
        <w:t>Car switch</w:t>
      </w:r>
      <w:bookmarkEnd w:id="67"/>
    </w:p>
    <w:p w:rsidR="00B40966" w:rsidRDefault="00B40966">
      <w:pPr>
        <w:pStyle w:val="AH5Sec"/>
      </w:pPr>
      <w:bookmarkStart w:id="68" w:name="_Toc87257926"/>
      <w:r>
        <w:rPr>
          <w:rStyle w:val="CharSectNo"/>
        </w:rPr>
        <w:t>40</w:t>
      </w:r>
      <w:bookmarkEnd w:id="68"/>
      <w:r>
        <w:tab/>
        <w:t xml:space="preserve">  </w:t>
      </w:r>
    </w:p>
    <w:p w:rsidR="00B40966" w:rsidRDefault="00B40966">
      <w:pPr>
        <w:pStyle w:val="Amain"/>
      </w:pPr>
      <w:r>
        <w:tab/>
        <w:t>(1)</w:t>
      </w:r>
      <w:r>
        <w:tab/>
        <w:t>The switch used in a lift car for normal operation of the lift shall automatically return to the ‘stop’ position on the removal of the operator’s hand, and provision shall be made for the securing of the switch handle in the ‘stop’ position.</w:t>
      </w:r>
    </w:p>
    <w:p w:rsidR="00B40966" w:rsidRDefault="00B40966">
      <w:pPr>
        <w:pStyle w:val="Amain"/>
      </w:pPr>
      <w:r>
        <w:tab/>
        <w:t>(2)</w:t>
      </w:r>
      <w:r>
        <w:tab/>
        <w:t>If the switch in centring does not immediately stop the lift, an emergency switch shall be provided for this purpose and car gates extending the full width of the car openings shall be provided.</w:t>
      </w:r>
    </w:p>
    <w:p w:rsidR="00B40966" w:rsidRDefault="00B40966">
      <w:pPr>
        <w:pStyle w:val="AH4SubDiv"/>
      </w:pPr>
      <w:bookmarkStart w:id="69" w:name="_Toc87257927"/>
      <w:r>
        <w:t>Limit gear</w:t>
      </w:r>
      <w:bookmarkEnd w:id="69"/>
    </w:p>
    <w:p w:rsidR="00B40966" w:rsidRDefault="00B40966">
      <w:pPr>
        <w:pStyle w:val="AH5Sec"/>
      </w:pPr>
      <w:bookmarkStart w:id="70" w:name="_Toc87257928"/>
      <w:r>
        <w:rPr>
          <w:rStyle w:val="CharSectNo"/>
        </w:rPr>
        <w:t>41</w:t>
      </w:r>
      <w:bookmarkEnd w:id="70"/>
      <w:r>
        <w:tab/>
        <w:t xml:space="preserve">  </w:t>
      </w:r>
    </w:p>
    <w:p w:rsidR="00B40966" w:rsidRDefault="00B40966">
      <w:pPr>
        <w:pStyle w:val="Amain"/>
      </w:pPr>
      <w:r>
        <w:rPr>
          <w:color w:val="000000"/>
        </w:rPr>
        <w:tab/>
        <w:t>(1)</w:t>
      </w:r>
      <w:r>
        <w:rPr>
          <w:color w:val="000000"/>
        </w:rPr>
        <w:tab/>
        <w:t>Every lift shall be provided with limit gear that will automatically stop the machine before the car or counterweight lands.</w:t>
      </w:r>
    </w:p>
    <w:p w:rsidR="00B40966" w:rsidRDefault="00B40966">
      <w:pPr>
        <w:pStyle w:val="Amain"/>
      </w:pPr>
      <w:r>
        <w:rPr>
          <w:color w:val="000000"/>
        </w:rPr>
        <w:tab/>
        <w:t>(2)</w:t>
      </w:r>
      <w:r>
        <w:rPr>
          <w:color w:val="000000"/>
        </w:rPr>
        <w:tab/>
        <w:t>Drum-drive machines shall be provided with limit gear integral with the machine and limit gear operated by the movement of the car.</w:t>
      </w:r>
    </w:p>
    <w:p w:rsidR="00B40966" w:rsidRDefault="00B40966">
      <w:pPr>
        <w:pStyle w:val="Amain"/>
      </w:pPr>
      <w:r>
        <w:rPr>
          <w:color w:val="000000"/>
        </w:rPr>
        <w:tab/>
        <w:t>(3)</w:t>
      </w:r>
      <w:r>
        <w:rPr>
          <w:color w:val="000000"/>
        </w:rPr>
        <w:tab/>
        <w:t>Electric lifts other than traction-drive service lifts shall be provided with 2 separate and independent limit gears, 1 of which shall open the control circuit and the other shall completely cut off all electrical pressure from the motor, control and brake.</w:t>
      </w:r>
    </w:p>
    <w:p w:rsidR="00B40966" w:rsidRDefault="00B40966">
      <w:pPr>
        <w:pStyle w:val="Amain"/>
        <w:rPr>
          <w:color w:val="000000"/>
        </w:rPr>
      </w:pPr>
      <w:r>
        <w:rPr>
          <w:color w:val="000000"/>
        </w:rPr>
        <w:tab/>
        <w:t>(4)</w:t>
      </w:r>
      <w:r>
        <w:rPr>
          <w:color w:val="000000"/>
        </w:rPr>
        <w:tab/>
        <w:t>Every electric service lift, other than a drum-drive service lift, fitted with a thermal overload switch shall be provided with a time switch set to stop the machine at not greater than twice the interval of time normally taken for the car to run its full length of travel.</w:t>
      </w:r>
    </w:p>
    <w:p w:rsidR="00B40966" w:rsidRDefault="00B40966">
      <w:pPr>
        <w:pStyle w:val="Amain"/>
      </w:pPr>
      <w:r>
        <w:rPr>
          <w:color w:val="000000"/>
        </w:rPr>
        <w:tab/>
        <w:t>(5)</w:t>
      </w:r>
      <w:r>
        <w:rPr>
          <w:color w:val="000000"/>
        </w:rPr>
        <w:tab/>
        <w:t>The time switch shall be of the normal reset type.</w:t>
      </w:r>
    </w:p>
    <w:p w:rsidR="00B40966" w:rsidRDefault="00B40966">
      <w:pPr>
        <w:pStyle w:val="AH4SubDiv"/>
      </w:pPr>
      <w:bookmarkStart w:id="71" w:name="_Toc87257929"/>
      <w:r>
        <w:t>Slack cable device</w:t>
      </w:r>
      <w:bookmarkEnd w:id="71"/>
    </w:p>
    <w:p w:rsidR="00B40966" w:rsidRDefault="00B40966">
      <w:pPr>
        <w:pStyle w:val="AH5Sec"/>
      </w:pPr>
      <w:bookmarkStart w:id="72" w:name="_Toc87257930"/>
      <w:r>
        <w:rPr>
          <w:rStyle w:val="CharSectNo"/>
        </w:rPr>
        <w:t>42</w:t>
      </w:r>
      <w:bookmarkEnd w:id="72"/>
      <w:r>
        <w:tab/>
        <w:t xml:space="preserve">  </w:t>
      </w:r>
    </w:p>
    <w:p w:rsidR="00B40966" w:rsidRDefault="00B40966">
      <w:pPr>
        <w:pStyle w:val="Amainreturn"/>
      </w:pPr>
      <w:r>
        <w:t>Every drum-drive lift, other than a service lift, shall have a device that will automatically stop the machine should the car lifting ropes become slack from any cause whatsoever.</w:t>
      </w:r>
    </w:p>
    <w:p w:rsidR="00B40966" w:rsidRDefault="00B40966">
      <w:pPr>
        <w:pStyle w:val="AH4SubDiv"/>
      </w:pPr>
      <w:bookmarkStart w:id="73" w:name="_Toc87257931"/>
      <w:r>
        <w:t>Safety gear switch</w:t>
      </w:r>
      <w:bookmarkEnd w:id="73"/>
    </w:p>
    <w:p w:rsidR="00B40966" w:rsidRDefault="00B40966">
      <w:pPr>
        <w:pStyle w:val="AH5Sec"/>
      </w:pPr>
      <w:bookmarkStart w:id="74" w:name="_Toc87257932"/>
      <w:r>
        <w:rPr>
          <w:rStyle w:val="CharSectNo"/>
        </w:rPr>
        <w:t>43</w:t>
      </w:r>
      <w:bookmarkEnd w:id="74"/>
      <w:r>
        <w:tab/>
        <w:t xml:space="preserve">  </w:t>
      </w:r>
    </w:p>
    <w:p w:rsidR="00B40966" w:rsidRDefault="00B40966">
      <w:pPr>
        <w:pStyle w:val="Amainreturn"/>
      </w:pPr>
      <w:r>
        <w:t>All automatic lifts shall be provided with a device that will cut off the current and stop the machine in the event of the safety gear operating.</w:t>
      </w:r>
    </w:p>
    <w:p w:rsidR="00B40966" w:rsidRDefault="00B40966">
      <w:pPr>
        <w:pStyle w:val="AH4SubDiv"/>
      </w:pPr>
      <w:bookmarkStart w:id="75" w:name="_Toc87257933"/>
      <w:r>
        <w:t>Stop button</w:t>
      </w:r>
      <w:bookmarkEnd w:id="75"/>
    </w:p>
    <w:p w:rsidR="00B40966" w:rsidRDefault="00B40966">
      <w:pPr>
        <w:pStyle w:val="AH5Sec"/>
      </w:pPr>
      <w:bookmarkStart w:id="76" w:name="_Toc87257934"/>
      <w:r>
        <w:rPr>
          <w:rStyle w:val="CharSectNo"/>
        </w:rPr>
        <w:t>44</w:t>
      </w:r>
      <w:bookmarkEnd w:id="76"/>
      <w:r>
        <w:tab/>
        <w:t xml:space="preserve">  </w:t>
      </w:r>
    </w:p>
    <w:p w:rsidR="00B40966" w:rsidRDefault="00B40966">
      <w:pPr>
        <w:pStyle w:val="Amainreturn"/>
      </w:pPr>
      <w:r>
        <w:t>Automatic lifts, other than service lifts, shall be provided with an emergency stop button clearly marked as such and placed in close proximity to the control buttons in the car.</w:t>
      </w:r>
    </w:p>
    <w:p w:rsidR="00B40966" w:rsidRDefault="00B40966">
      <w:pPr>
        <w:pStyle w:val="AH4SubDiv"/>
      </w:pPr>
      <w:bookmarkStart w:id="77" w:name="_Toc87257935"/>
      <w:r>
        <w:t>Signal call system</w:t>
      </w:r>
      <w:bookmarkEnd w:id="77"/>
    </w:p>
    <w:p w:rsidR="00B40966" w:rsidRDefault="00B40966">
      <w:pPr>
        <w:pStyle w:val="AH5Sec"/>
      </w:pPr>
      <w:bookmarkStart w:id="78" w:name="_Toc87257936"/>
      <w:r>
        <w:rPr>
          <w:rStyle w:val="CharSectNo"/>
        </w:rPr>
        <w:t>45</w:t>
      </w:r>
      <w:bookmarkEnd w:id="78"/>
      <w:r>
        <w:tab/>
        <w:t xml:space="preserve">  </w:t>
      </w:r>
    </w:p>
    <w:p w:rsidR="00B40966" w:rsidRDefault="00B40966">
      <w:pPr>
        <w:pStyle w:val="Amainreturn"/>
      </w:pPr>
      <w:r>
        <w:t>Every lift, other than an automatic lift, shall have a signal call and indicator in the car that can be operated from each floor except for lifts where response to a call is an automatic function.</w:t>
      </w:r>
    </w:p>
    <w:p w:rsidR="00B40966" w:rsidRDefault="00B40966">
      <w:pPr>
        <w:pStyle w:val="AH4SubDiv"/>
      </w:pPr>
      <w:bookmarkStart w:id="79" w:name="_Toc87257937"/>
      <w:r>
        <w:t>Hydraulic equipment</w:t>
      </w:r>
      <w:bookmarkEnd w:id="79"/>
    </w:p>
    <w:p w:rsidR="00B40966" w:rsidRDefault="00B40966">
      <w:pPr>
        <w:pStyle w:val="AH5Sec"/>
      </w:pPr>
      <w:bookmarkStart w:id="80" w:name="_Toc87257938"/>
      <w:r>
        <w:rPr>
          <w:rStyle w:val="CharSectNo"/>
        </w:rPr>
        <w:t>46</w:t>
      </w:r>
      <w:bookmarkEnd w:id="80"/>
      <w:r>
        <w:tab/>
        <w:t xml:space="preserve">  </w:t>
      </w:r>
    </w:p>
    <w:p w:rsidR="00B40966" w:rsidRDefault="00B40966">
      <w:pPr>
        <w:pStyle w:val="Amain"/>
      </w:pPr>
      <w:r>
        <w:rPr>
          <w:color w:val="000000"/>
        </w:rPr>
        <w:tab/>
        <w:t>(1)</w:t>
      </w:r>
      <w:r>
        <w:rPr>
          <w:color w:val="000000"/>
        </w:rPr>
        <w:tab/>
        <w:t>Only piping, fittings and gear made specially for hydraulic pressures shall be used on hydraulic lifts.</w:t>
      </w:r>
    </w:p>
    <w:p w:rsidR="00B40966" w:rsidRDefault="00B40966">
      <w:pPr>
        <w:pStyle w:val="Amain"/>
        <w:rPr>
          <w:color w:val="000000"/>
        </w:rPr>
      </w:pPr>
      <w:r>
        <w:rPr>
          <w:color w:val="000000"/>
        </w:rPr>
        <w:tab/>
        <w:t>(2)</w:t>
      </w:r>
      <w:r>
        <w:rPr>
          <w:color w:val="000000"/>
        </w:rPr>
        <w:tab/>
        <w:t>The whole of the machinery, gear and piping subject to hydraulic pressure shall be tested to twice the working pressure in the presence of an inspector after the erection of every lift and before it is used.</w:t>
      </w:r>
    </w:p>
    <w:p w:rsidR="00B40966" w:rsidRDefault="00B40966">
      <w:pPr>
        <w:pStyle w:val="Amain"/>
      </w:pPr>
      <w:r>
        <w:rPr>
          <w:color w:val="000000"/>
        </w:rPr>
        <w:tab/>
        <w:t>(3)</w:t>
      </w:r>
      <w:r>
        <w:rPr>
          <w:color w:val="000000"/>
        </w:rPr>
        <w:tab/>
        <w:t>A similar test shall be conducted in relation to any part of machinery, gear and pipes subject to hydraulic pressure on re</w:t>
      </w:r>
      <w:r>
        <w:rPr>
          <w:color w:val="000000"/>
        </w:rPr>
        <w:noBreakHyphen/>
        <w:t>erection, reinstatement or renewal.</w:t>
      </w:r>
    </w:p>
    <w:p w:rsidR="00B40966" w:rsidRDefault="00B40966">
      <w:pPr>
        <w:pStyle w:val="Amain"/>
      </w:pPr>
      <w:r>
        <w:rPr>
          <w:color w:val="000000"/>
        </w:rPr>
        <w:tab/>
        <w:t>(4)</w:t>
      </w:r>
      <w:r>
        <w:rPr>
          <w:color w:val="000000"/>
        </w:rPr>
        <w:tab/>
        <w:t>Rams of all hydraulic lifts shall be provided with permanent stops that will prevent them being forced out of their cylinders.</w:t>
      </w:r>
    </w:p>
    <w:p w:rsidR="00B40966" w:rsidRDefault="00B40966">
      <w:pPr>
        <w:pStyle w:val="Amain"/>
        <w:rPr>
          <w:color w:val="000000"/>
        </w:rPr>
      </w:pPr>
      <w:r>
        <w:rPr>
          <w:color w:val="000000"/>
        </w:rPr>
        <w:tab/>
        <w:t>(5)</w:t>
      </w:r>
      <w:r>
        <w:rPr>
          <w:color w:val="000000"/>
        </w:rPr>
        <w:tab/>
        <w:t>Every hydraulic lift shall be provided with a control valve, a screw down pressure stop valve, a non-return valve, and a tee piece for testing purposes.</w:t>
      </w:r>
    </w:p>
    <w:p w:rsidR="00B40966" w:rsidRDefault="00B40966">
      <w:pPr>
        <w:pStyle w:val="Amain"/>
      </w:pPr>
      <w:r>
        <w:rPr>
          <w:color w:val="000000"/>
        </w:rPr>
        <w:tab/>
        <w:t>(6)</w:t>
      </w:r>
      <w:r>
        <w:rPr>
          <w:color w:val="000000"/>
        </w:rPr>
        <w:tab/>
        <w:t>The non-return valve shall be as close as practicable to the control valve and the tee piece shall be between the non-return valve and the point of entry of the service.</w:t>
      </w:r>
    </w:p>
    <w:p w:rsidR="00B40966" w:rsidRDefault="00B40966">
      <w:pPr>
        <w:pStyle w:val="Amain"/>
        <w:rPr>
          <w:color w:val="000000"/>
        </w:rPr>
      </w:pPr>
      <w:r>
        <w:rPr>
          <w:color w:val="000000"/>
        </w:rPr>
        <w:tab/>
        <w:t>(7)</w:t>
      </w:r>
      <w:r>
        <w:rPr>
          <w:color w:val="000000"/>
        </w:rPr>
        <w:tab/>
        <w:t>The control valve of every hydraulic lift shall automatically cut off the power at both limits of travel of the car before the car lands or the ram reaches its permanent stop and also in the event of the breakage of the control rope.</w:t>
      </w:r>
    </w:p>
    <w:p w:rsidR="00B40966" w:rsidRDefault="00B40966">
      <w:pPr>
        <w:pStyle w:val="Amain"/>
      </w:pPr>
      <w:r>
        <w:rPr>
          <w:color w:val="000000"/>
        </w:rPr>
        <w:tab/>
        <w:t>(8)</w:t>
      </w:r>
      <w:r>
        <w:rPr>
          <w:color w:val="000000"/>
        </w:rPr>
        <w:tab/>
        <w:t>The construction of the valve must preclude the possibility of the valve spindle blowing out should it become parted and both ends of the control rope shall be connected to the control valve mechanism.</w:t>
      </w:r>
    </w:p>
    <w:p w:rsidR="00B40966" w:rsidRDefault="00B40966">
      <w:pPr>
        <w:pStyle w:val="Amain"/>
      </w:pPr>
      <w:r>
        <w:rPr>
          <w:color w:val="000000"/>
        </w:rPr>
        <w:tab/>
        <w:t>(9)</w:t>
      </w:r>
      <w:r>
        <w:rPr>
          <w:color w:val="000000"/>
        </w:rPr>
        <w:tab/>
        <w:t>An air cock shall be fitted at the top of the hydraulic cylinder of every hydraulic lift and provision made to prevent the syphoning of water from the cylinders.</w:t>
      </w:r>
    </w:p>
    <w:p w:rsidR="00B40966" w:rsidRDefault="00B40966">
      <w:pPr>
        <w:pStyle w:val="Amain"/>
      </w:pPr>
      <w:r>
        <w:rPr>
          <w:color w:val="000000"/>
        </w:rPr>
        <w:tab/>
        <w:t>(10)</w:t>
      </w:r>
      <w:r>
        <w:rPr>
          <w:color w:val="000000"/>
        </w:rPr>
        <w:tab/>
        <w:t>The rams of every direct-acting hydraulic lift shall be positively attached to the car, such attachment to have sufficient working clearance.</w:t>
      </w:r>
    </w:p>
    <w:p w:rsidR="00B40966" w:rsidRDefault="00B40966">
      <w:pPr>
        <w:pStyle w:val="Amain"/>
      </w:pPr>
      <w:r>
        <w:rPr>
          <w:color w:val="000000"/>
        </w:rPr>
        <w:tab/>
        <w:t>(11)</w:t>
      </w:r>
      <w:r>
        <w:rPr>
          <w:color w:val="000000"/>
        </w:rPr>
        <w:tab/>
        <w:t>Provision shall be made to permit of the safe and efficient maintenance of all machinery and control mechanism of every hydraulic lift.</w:t>
      </w:r>
    </w:p>
    <w:p w:rsidR="00B40966" w:rsidRDefault="00B40966">
      <w:pPr>
        <w:pStyle w:val="AH4SubDiv"/>
      </w:pPr>
      <w:bookmarkStart w:id="81" w:name="_Toc87257939"/>
      <w:r>
        <w:t>Escalators</w:t>
      </w:r>
      <w:bookmarkEnd w:id="81"/>
    </w:p>
    <w:p w:rsidR="00B40966" w:rsidRDefault="00B40966">
      <w:pPr>
        <w:pStyle w:val="AH5Sec"/>
      </w:pPr>
      <w:bookmarkStart w:id="82" w:name="_Toc87257940"/>
      <w:r>
        <w:rPr>
          <w:rStyle w:val="CharSectNo"/>
        </w:rPr>
        <w:t>47</w:t>
      </w:r>
      <w:bookmarkEnd w:id="82"/>
      <w:r>
        <w:tab/>
        <w:t xml:space="preserve">  </w:t>
      </w:r>
    </w:p>
    <w:p w:rsidR="00B40966" w:rsidRDefault="00B40966">
      <w:pPr>
        <w:pStyle w:val="Amainreturn"/>
      </w:pPr>
      <w:r>
        <w:t>Every escalator and every part of it shall be of sound material, good construction, adequate strength, free from patent defects and be suitable and safe for the purpose for which it is intended.</w:t>
      </w:r>
    </w:p>
    <w:p w:rsidR="00B40966" w:rsidRDefault="00B40966">
      <w:pPr>
        <w:pStyle w:val="AH4SubDiv"/>
      </w:pPr>
      <w:bookmarkStart w:id="83" w:name="_Toc87257941"/>
      <w:r>
        <w:t>Trusses or girders</w:t>
      </w:r>
      <w:bookmarkEnd w:id="83"/>
    </w:p>
    <w:p w:rsidR="00B40966" w:rsidRDefault="00B40966">
      <w:pPr>
        <w:pStyle w:val="AH5Sec"/>
      </w:pPr>
      <w:bookmarkStart w:id="84" w:name="_Toc87257942"/>
      <w:r>
        <w:rPr>
          <w:rStyle w:val="CharSectNo"/>
        </w:rPr>
        <w:t>48</w:t>
      </w:r>
      <w:bookmarkEnd w:id="84"/>
      <w:r>
        <w:tab/>
        <w:t xml:space="preserve">  </w:t>
      </w:r>
    </w:p>
    <w:p w:rsidR="00B40966" w:rsidRDefault="00B40966">
      <w:pPr>
        <w:pStyle w:val="Amainreturn"/>
      </w:pPr>
      <w:r>
        <w:t>Every truss or girder shall be capable of safely keeping the steps and running gear in the event of failure of the track system to keep the running gear in its guides.</w:t>
      </w:r>
    </w:p>
    <w:p w:rsidR="00B40966" w:rsidRDefault="00B40966">
      <w:pPr>
        <w:pStyle w:val="AH4SubDiv"/>
      </w:pPr>
      <w:bookmarkStart w:id="85" w:name="_Toc87257943"/>
      <w:r>
        <w:t>Track arrangement</w:t>
      </w:r>
      <w:bookmarkEnd w:id="85"/>
    </w:p>
    <w:p w:rsidR="00B40966" w:rsidRDefault="00B40966">
      <w:pPr>
        <w:pStyle w:val="AH5Sec"/>
      </w:pPr>
      <w:bookmarkStart w:id="86" w:name="_Toc87257944"/>
      <w:r>
        <w:rPr>
          <w:rStyle w:val="CharSectNo"/>
        </w:rPr>
        <w:t>49</w:t>
      </w:r>
      <w:bookmarkEnd w:id="86"/>
      <w:r>
        <w:tab/>
        <w:t xml:space="preserve">  </w:t>
      </w:r>
    </w:p>
    <w:p w:rsidR="00B40966" w:rsidRDefault="00B40966">
      <w:pPr>
        <w:pStyle w:val="Amainreturn"/>
      </w:pPr>
      <w:r>
        <w:t>The track arrangement of all escalators shall be so designed as to prevent displacement of the treads and running gear in the event of a tread chain breaking.</w:t>
      </w:r>
    </w:p>
    <w:p w:rsidR="00B40966" w:rsidRDefault="00B40966">
      <w:pPr>
        <w:pStyle w:val="AH4SubDiv"/>
      </w:pPr>
      <w:bookmarkStart w:id="87" w:name="_Toc87257945"/>
      <w:r>
        <w:t>Angle of inclination</w:t>
      </w:r>
      <w:bookmarkEnd w:id="87"/>
    </w:p>
    <w:p w:rsidR="00B40966" w:rsidRDefault="00B40966">
      <w:pPr>
        <w:pStyle w:val="AH5Sec"/>
      </w:pPr>
      <w:bookmarkStart w:id="88" w:name="_Toc87257946"/>
      <w:r>
        <w:rPr>
          <w:rStyle w:val="CharSectNo"/>
        </w:rPr>
        <w:t>50</w:t>
      </w:r>
      <w:bookmarkEnd w:id="88"/>
      <w:r>
        <w:tab/>
        <w:t xml:space="preserve">  </w:t>
      </w:r>
    </w:p>
    <w:p w:rsidR="00B40966" w:rsidRDefault="00B40966">
      <w:pPr>
        <w:pStyle w:val="Amainreturn"/>
      </w:pPr>
      <w:r>
        <w:t>The angle of inclination of every escalator shall not exceed 30° from the horizontal.</w:t>
      </w:r>
    </w:p>
    <w:p w:rsidR="00B40966" w:rsidRDefault="00B40966">
      <w:pPr>
        <w:pStyle w:val="AH4SubDiv"/>
      </w:pPr>
      <w:bookmarkStart w:id="89" w:name="_Toc87257947"/>
      <w:r>
        <w:t>Balustrading</w:t>
      </w:r>
      <w:bookmarkEnd w:id="89"/>
    </w:p>
    <w:p w:rsidR="00B40966" w:rsidRDefault="00B40966">
      <w:pPr>
        <w:pStyle w:val="AH5Sec"/>
      </w:pPr>
      <w:bookmarkStart w:id="90" w:name="_Toc87257948"/>
      <w:r>
        <w:rPr>
          <w:rStyle w:val="CharSectNo"/>
        </w:rPr>
        <w:t>51</w:t>
      </w:r>
      <w:bookmarkEnd w:id="90"/>
      <w:r>
        <w:tab/>
        <w:t xml:space="preserve">  </w:t>
      </w:r>
    </w:p>
    <w:p w:rsidR="00B40966" w:rsidRDefault="00B40966">
      <w:pPr>
        <w:pStyle w:val="Amain"/>
      </w:pPr>
      <w:r>
        <w:tab/>
        <w:t>(1)</w:t>
      </w:r>
      <w:r>
        <w:tab/>
        <w:t>Every escalator shall be provided on each side with a solid balustrade.</w:t>
      </w:r>
    </w:p>
    <w:p w:rsidR="00B40966" w:rsidRDefault="00B40966">
      <w:pPr>
        <w:pStyle w:val="Amain"/>
        <w:keepLines/>
      </w:pPr>
      <w:r>
        <w:tab/>
        <w:t>(2)</w:t>
      </w:r>
      <w:r>
        <w:tab/>
        <w:t xml:space="preserve">On the escalator side the balustrade shall be smooth without depressed or raised panelling save that flush panels may be separated by metal mouldings of a thickness of not more than </w:t>
      </w:r>
      <w:r>
        <w:rPr>
          <w:position w:val="6"/>
          <w:sz w:val="18"/>
        </w:rPr>
        <w:t>1</w:t>
      </w:r>
      <w:r>
        <w:t>/</w:t>
      </w:r>
      <w:r>
        <w:rPr>
          <w:sz w:val="18"/>
        </w:rPr>
        <w:t>8 </w:t>
      </w:r>
      <w:r>
        <w:t>of an inch and having bevelled edges.</w:t>
      </w:r>
    </w:p>
    <w:p w:rsidR="00B40966" w:rsidRDefault="00B40966">
      <w:pPr>
        <w:pStyle w:val="Amain"/>
      </w:pPr>
      <w:r>
        <w:tab/>
        <w:t>(3)</w:t>
      </w:r>
      <w:r>
        <w:tab/>
        <w:t>Glass shall not be used on the inside of any balustrade.</w:t>
      </w:r>
    </w:p>
    <w:p w:rsidR="00B40966" w:rsidRDefault="00B40966">
      <w:pPr>
        <w:pStyle w:val="Amain"/>
      </w:pPr>
      <w:r>
        <w:tab/>
        <w:t>(4)</w:t>
      </w:r>
      <w:r>
        <w:tab/>
        <w:t>Every balustrade shall be provided with a continuous handrail without open joints moving at the same speed and in the same direction as the treads.</w:t>
      </w:r>
    </w:p>
    <w:p w:rsidR="00B40966" w:rsidRDefault="00B40966">
      <w:pPr>
        <w:pStyle w:val="AH4SubDiv"/>
      </w:pPr>
      <w:bookmarkStart w:id="91" w:name="_Toc87257949"/>
      <w:r>
        <w:t>Treads and landings</w:t>
      </w:r>
      <w:bookmarkEnd w:id="91"/>
    </w:p>
    <w:p w:rsidR="00B40966" w:rsidRDefault="00B40966">
      <w:pPr>
        <w:pStyle w:val="AH5Sec"/>
      </w:pPr>
      <w:bookmarkStart w:id="92" w:name="_Toc87257950"/>
      <w:r>
        <w:rPr>
          <w:rStyle w:val="CharSectNo"/>
        </w:rPr>
        <w:t>52</w:t>
      </w:r>
      <w:bookmarkEnd w:id="92"/>
      <w:r>
        <w:tab/>
        <w:t xml:space="preserve">  </w:t>
      </w:r>
    </w:p>
    <w:p w:rsidR="00B40966" w:rsidRDefault="00B40966">
      <w:pPr>
        <w:pStyle w:val="Amainreturn"/>
      </w:pPr>
      <w:r>
        <w:t>The treads and landings of every escalator shall be of a material that will afford a secure foothold.</w:t>
      </w:r>
    </w:p>
    <w:p w:rsidR="00B40966" w:rsidRDefault="00B40966">
      <w:pPr>
        <w:pStyle w:val="AH4SubDiv"/>
      </w:pPr>
      <w:bookmarkStart w:id="93" w:name="_Toc87257951"/>
      <w:r>
        <w:t>Power unit</w:t>
      </w:r>
      <w:bookmarkEnd w:id="93"/>
    </w:p>
    <w:p w:rsidR="00B40966" w:rsidRDefault="00B40966">
      <w:pPr>
        <w:pStyle w:val="AH5Sec"/>
      </w:pPr>
      <w:bookmarkStart w:id="94" w:name="_Toc87257952"/>
      <w:r>
        <w:rPr>
          <w:rStyle w:val="CharSectNo"/>
        </w:rPr>
        <w:t>53</w:t>
      </w:r>
      <w:bookmarkEnd w:id="94"/>
      <w:r>
        <w:tab/>
        <w:t xml:space="preserve">  </w:t>
      </w:r>
    </w:p>
    <w:p w:rsidR="00B40966" w:rsidRDefault="00B40966">
      <w:pPr>
        <w:pStyle w:val="Amainreturn"/>
      </w:pPr>
      <w:r>
        <w:t>An electric motor shall not be used to drive 2 or more escalators unless the escalators are situatedd side by side and are operated as a single unit.</w:t>
      </w:r>
    </w:p>
    <w:p w:rsidR="00B40966" w:rsidRDefault="00B40966">
      <w:pPr>
        <w:pStyle w:val="AH4SubDiv"/>
      </w:pPr>
      <w:bookmarkStart w:id="95" w:name="_Toc87257953"/>
      <w:r>
        <w:t>Chains</w:t>
      </w:r>
      <w:bookmarkEnd w:id="95"/>
    </w:p>
    <w:p w:rsidR="00B40966" w:rsidRDefault="00B40966">
      <w:pPr>
        <w:pStyle w:val="AH5Sec"/>
      </w:pPr>
      <w:bookmarkStart w:id="96" w:name="_Toc87257954"/>
      <w:r>
        <w:rPr>
          <w:rStyle w:val="CharSectNo"/>
        </w:rPr>
        <w:t>54</w:t>
      </w:r>
      <w:bookmarkEnd w:id="96"/>
      <w:r>
        <w:tab/>
        <w:t xml:space="preserve">  </w:t>
      </w:r>
    </w:p>
    <w:p w:rsidR="00B40966" w:rsidRDefault="00B40966">
      <w:pPr>
        <w:pStyle w:val="Amainreturn"/>
        <w:keepLines/>
      </w:pPr>
      <w:r>
        <w:t>All chains of every escalator shall have a factor of safety of not less than 10, except if the chain is composed of cast steel links which shall be thoroughly annealed, in which case the factor of safety shall be not less than 20.</w:t>
      </w:r>
    </w:p>
    <w:p w:rsidR="00B40966" w:rsidRDefault="00B40966">
      <w:pPr>
        <w:pStyle w:val="AH4SubDiv"/>
      </w:pPr>
      <w:bookmarkStart w:id="97" w:name="_Toc87257955"/>
      <w:r>
        <w:t>Automatic brakes</w:t>
      </w:r>
      <w:bookmarkEnd w:id="97"/>
    </w:p>
    <w:p w:rsidR="00B40966" w:rsidRDefault="00B40966">
      <w:pPr>
        <w:pStyle w:val="AH5Sec"/>
      </w:pPr>
      <w:bookmarkStart w:id="98" w:name="_Toc87257956"/>
      <w:r>
        <w:rPr>
          <w:rStyle w:val="CharSectNo"/>
        </w:rPr>
        <w:t>55</w:t>
      </w:r>
      <w:bookmarkEnd w:id="98"/>
      <w:r>
        <w:tab/>
        <w:t xml:space="preserve">  </w:t>
      </w:r>
    </w:p>
    <w:p w:rsidR="00B40966" w:rsidRDefault="00B40966">
      <w:pPr>
        <w:pStyle w:val="Amainreturn"/>
      </w:pPr>
      <w:r>
        <w:t>Every escalator shall be provided with an electrically released mechanically applied brake that shall stop the escalator automatically when the power supply is cut off.</w:t>
      </w:r>
    </w:p>
    <w:p w:rsidR="00B40966" w:rsidRDefault="00B40966">
      <w:pPr>
        <w:pStyle w:val="AH4SubDiv"/>
      </w:pPr>
      <w:bookmarkStart w:id="99" w:name="_Toc87257957"/>
      <w:r>
        <w:t>Starting switch and stop button</w:t>
      </w:r>
      <w:bookmarkEnd w:id="99"/>
    </w:p>
    <w:p w:rsidR="00B40966" w:rsidRDefault="00B40966">
      <w:pPr>
        <w:pStyle w:val="AH5Sec"/>
      </w:pPr>
      <w:bookmarkStart w:id="100" w:name="_Toc87257958"/>
      <w:r>
        <w:rPr>
          <w:rStyle w:val="CharSectNo"/>
        </w:rPr>
        <w:t>56</w:t>
      </w:r>
      <w:bookmarkEnd w:id="100"/>
      <w:r>
        <w:tab/>
        <w:t xml:space="preserve">  </w:t>
      </w:r>
    </w:p>
    <w:p w:rsidR="00B40966" w:rsidRDefault="00B40966">
      <w:pPr>
        <w:pStyle w:val="Amain"/>
      </w:pPr>
      <w:r>
        <w:rPr>
          <w:color w:val="000000"/>
        </w:rPr>
        <w:tab/>
        <w:t>(1)</w:t>
      </w:r>
      <w:r>
        <w:rPr>
          <w:color w:val="000000"/>
        </w:rPr>
        <w:tab/>
        <w:t>The starting of every escalator shall be by means of a key operated switch or a switch inaccessible to the public.</w:t>
      </w:r>
    </w:p>
    <w:p w:rsidR="00B40966" w:rsidRDefault="00B40966">
      <w:pPr>
        <w:pStyle w:val="Amain"/>
        <w:rPr>
          <w:color w:val="000000"/>
        </w:rPr>
      </w:pPr>
      <w:r>
        <w:rPr>
          <w:color w:val="000000"/>
        </w:rPr>
        <w:tab/>
        <w:t>(2)</w:t>
      </w:r>
      <w:r>
        <w:rPr>
          <w:color w:val="000000"/>
        </w:rPr>
        <w:tab/>
        <w:t>A button for stopping the escalator shall be placed accessible to the public at the top and bottom landings of every escalator.</w:t>
      </w:r>
    </w:p>
    <w:p w:rsidR="00B40966" w:rsidRDefault="00B40966">
      <w:pPr>
        <w:pStyle w:val="Amain"/>
      </w:pPr>
      <w:r>
        <w:rPr>
          <w:color w:val="000000"/>
        </w:rPr>
        <w:tab/>
        <w:t>(3)</w:t>
      </w:r>
      <w:r>
        <w:rPr>
          <w:color w:val="000000"/>
        </w:rPr>
        <w:tab/>
        <w:t>The buttons shall be permanently and prominently marked ‘Stop Button’.</w:t>
      </w:r>
    </w:p>
    <w:p w:rsidR="00B40966" w:rsidRDefault="00B40966">
      <w:pPr>
        <w:pStyle w:val="Amain"/>
      </w:pPr>
      <w:r>
        <w:tab/>
        <w:t>(4)</w:t>
      </w:r>
      <w:r>
        <w:tab/>
        <w:t>The release or pressing of a stop button must not start the escalator.</w:t>
      </w:r>
    </w:p>
    <w:p w:rsidR="00B40966" w:rsidRDefault="00B40966">
      <w:pPr>
        <w:pStyle w:val="AH4SubDiv"/>
      </w:pPr>
      <w:bookmarkStart w:id="101" w:name="_Toc87257959"/>
      <w:r>
        <w:t>Safety devices</w:t>
      </w:r>
      <w:bookmarkEnd w:id="101"/>
    </w:p>
    <w:p w:rsidR="00B40966" w:rsidRDefault="00B40966">
      <w:pPr>
        <w:pStyle w:val="AH5Sec"/>
      </w:pPr>
      <w:bookmarkStart w:id="102" w:name="_Toc87257960"/>
      <w:r>
        <w:rPr>
          <w:rStyle w:val="CharSectNo"/>
        </w:rPr>
        <w:t>57</w:t>
      </w:r>
      <w:bookmarkEnd w:id="102"/>
      <w:r>
        <w:tab/>
        <w:t xml:space="preserve">  </w:t>
      </w:r>
    </w:p>
    <w:p w:rsidR="00B40966" w:rsidRDefault="00B40966">
      <w:pPr>
        <w:pStyle w:val="Amainreturn"/>
      </w:pPr>
      <w:r>
        <w:t>Every escalator shall be equipped with safety devices that will cause the power to be cut off—</w:t>
      </w:r>
    </w:p>
    <w:p w:rsidR="00B40966" w:rsidRDefault="00B40966">
      <w:pPr>
        <w:pStyle w:val="Apara"/>
      </w:pPr>
      <w:r>
        <w:tab/>
        <w:t>(a)</w:t>
      </w:r>
      <w:r>
        <w:tab/>
        <w:t>in the event of the breaking of any tread chain; or</w:t>
      </w:r>
    </w:p>
    <w:p w:rsidR="00B40966" w:rsidRDefault="00B40966">
      <w:pPr>
        <w:pStyle w:val="Apara"/>
      </w:pPr>
      <w:r>
        <w:tab/>
        <w:t>(b)</w:t>
      </w:r>
      <w:r>
        <w:tab/>
        <w:t>whenever the speed of the escalator exceeds the rated speed by 20%; or</w:t>
      </w:r>
    </w:p>
    <w:p w:rsidR="00B40966" w:rsidRDefault="00B40966">
      <w:pPr>
        <w:pStyle w:val="Apara"/>
      </w:pPr>
      <w:r>
        <w:tab/>
        <w:t>(c)</w:t>
      </w:r>
      <w:r>
        <w:tab/>
        <w:t>in the event of the accidental reversal of the escalator when it is set to operate in the ascending direction.</w:t>
      </w:r>
    </w:p>
    <w:p w:rsidR="00B40966" w:rsidRDefault="00B40966">
      <w:pPr>
        <w:pStyle w:val="AH4SubDiv"/>
      </w:pPr>
      <w:bookmarkStart w:id="103" w:name="_Toc87257961"/>
      <w:r>
        <w:t>Reverse phase relay</w:t>
      </w:r>
      <w:bookmarkEnd w:id="103"/>
    </w:p>
    <w:p w:rsidR="00B40966" w:rsidRDefault="00B40966">
      <w:pPr>
        <w:pStyle w:val="AH5Sec"/>
      </w:pPr>
      <w:bookmarkStart w:id="104" w:name="_Toc87257962"/>
      <w:r>
        <w:rPr>
          <w:rStyle w:val="CharSectNo"/>
        </w:rPr>
        <w:t>58</w:t>
      </w:r>
      <w:bookmarkEnd w:id="104"/>
      <w:r>
        <w:tab/>
        <w:t xml:space="preserve">  </w:t>
      </w:r>
    </w:p>
    <w:p w:rsidR="00B40966" w:rsidRDefault="00B40966">
      <w:pPr>
        <w:pStyle w:val="Amainreturn"/>
      </w:pPr>
      <w:r>
        <w:t>Every escalator operated by a polyphase electric motor shall be provided with a device that will prevent the motor being started while the phase rotation is in the wrong direction or while there exists a failure of any phase.</w:t>
      </w:r>
    </w:p>
    <w:p w:rsidR="00B40966" w:rsidRDefault="00B40966">
      <w:pPr>
        <w:pStyle w:val="AH4SubDiv"/>
      </w:pPr>
      <w:bookmarkStart w:id="105" w:name="_Toc87257963"/>
      <w:r>
        <w:t>Machine room</w:t>
      </w:r>
      <w:bookmarkEnd w:id="105"/>
    </w:p>
    <w:p w:rsidR="00B40966" w:rsidRDefault="00B40966">
      <w:pPr>
        <w:pStyle w:val="AH5Sec"/>
      </w:pPr>
      <w:bookmarkStart w:id="106" w:name="_Toc87257964"/>
      <w:r>
        <w:rPr>
          <w:rStyle w:val="CharSectNo"/>
        </w:rPr>
        <w:t>59</w:t>
      </w:r>
      <w:bookmarkEnd w:id="106"/>
      <w:r>
        <w:tab/>
        <w:t xml:space="preserve">  </w:t>
      </w:r>
    </w:p>
    <w:p w:rsidR="00B40966" w:rsidRDefault="00B40966">
      <w:pPr>
        <w:pStyle w:val="Amainreturn"/>
      </w:pPr>
      <w:r>
        <w:t>The machine room of every escalator shall be of such size as will permit of the safe and efficient maintenance of all parts of the machinery and other equipment located in it, and the machine room shall be adequately lighted and shall be provided with safe means of access.</w:t>
      </w:r>
    </w:p>
    <w:p w:rsidR="00B40966" w:rsidRDefault="00B40966">
      <w:pPr>
        <w:pStyle w:val="AH4SubDiv"/>
      </w:pPr>
      <w:bookmarkStart w:id="107" w:name="_Toc87257965"/>
      <w:r>
        <w:t>Construction of conveyors</w:t>
      </w:r>
      <w:bookmarkEnd w:id="107"/>
    </w:p>
    <w:p w:rsidR="00B40966" w:rsidRDefault="00B40966">
      <w:pPr>
        <w:pStyle w:val="AH5Sec"/>
      </w:pPr>
      <w:bookmarkStart w:id="108" w:name="_Toc87257966"/>
      <w:r>
        <w:rPr>
          <w:rStyle w:val="CharSectNo"/>
        </w:rPr>
        <w:t>60</w:t>
      </w:r>
      <w:bookmarkEnd w:id="108"/>
      <w:r>
        <w:tab/>
        <w:t xml:space="preserve">  </w:t>
      </w:r>
    </w:p>
    <w:p w:rsidR="00B40966" w:rsidRDefault="00B40966">
      <w:pPr>
        <w:pStyle w:val="Amainreturn"/>
      </w:pPr>
      <w:r>
        <w:t>Every conveyor and every part of it shall be of sound material, good construction, adequate strength, free from patent defects and be suitable and safe for the purpose for which it is intended to be used.</w:t>
      </w:r>
    </w:p>
    <w:p w:rsidR="00B40966" w:rsidRDefault="00B40966">
      <w:pPr>
        <w:pStyle w:val="AH4SubDiv"/>
      </w:pPr>
      <w:bookmarkStart w:id="109" w:name="_Toc87257967"/>
      <w:r>
        <w:t>Electrical installation</w:t>
      </w:r>
      <w:bookmarkEnd w:id="109"/>
    </w:p>
    <w:p w:rsidR="00B40966" w:rsidRDefault="00B40966">
      <w:pPr>
        <w:pStyle w:val="AH5Sec"/>
      </w:pPr>
      <w:bookmarkStart w:id="110" w:name="_Toc87257968"/>
      <w:r>
        <w:rPr>
          <w:rStyle w:val="CharSectNo"/>
        </w:rPr>
        <w:t>61</w:t>
      </w:r>
      <w:bookmarkEnd w:id="110"/>
      <w:r>
        <w:tab/>
        <w:t xml:space="preserve">  </w:t>
      </w:r>
    </w:p>
    <w:p w:rsidR="00B40966" w:rsidRDefault="00B40966">
      <w:pPr>
        <w:pStyle w:val="Amain"/>
        <w:keepLines/>
      </w:pPr>
      <w:r>
        <w:tab/>
        <w:t>(1)</w:t>
      </w:r>
      <w:r>
        <w:tab/>
        <w:t>All electrical conductors, appliances and equipment used in connection with every conveyor shall be of sufficient size and so constructed, installed, protected and maintained as to be safe for, and in use.</w:t>
      </w:r>
    </w:p>
    <w:p w:rsidR="00B40966" w:rsidRDefault="00B40966">
      <w:pPr>
        <w:pStyle w:val="Amain"/>
      </w:pPr>
      <w:r>
        <w:tab/>
        <w:t>(2)</w:t>
      </w:r>
      <w:r>
        <w:tab/>
        <w:t>If more specific provision is not made elsewhere in this regulation, they shall conform with the provisions of the S.A.A. Wiring Rules.</w:t>
      </w:r>
    </w:p>
    <w:p w:rsidR="00B40966" w:rsidRDefault="00B40966">
      <w:pPr>
        <w:pStyle w:val="AH4SubDiv"/>
      </w:pPr>
      <w:bookmarkStart w:id="111" w:name="_Toc87257969"/>
      <w:r>
        <w:t>Control</w:t>
      </w:r>
      <w:bookmarkEnd w:id="111"/>
    </w:p>
    <w:p w:rsidR="00B40966" w:rsidRDefault="00B40966">
      <w:pPr>
        <w:pStyle w:val="AH5Sec"/>
      </w:pPr>
      <w:bookmarkStart w:id="112" w:name="_Toc87257970"/>
      <w:r>
        <w:rPr>
          <w:rStyle w:val="CharSectNo"/>
        </w:rPr>
        <w:t>62</w:t>
      </w:r>
      <w:bookmarkEnd w:id="112"/>
      <w:r>
        <w:tab/>
        <w:t xml:space="preserve">  </w:t>
      </w:r>
    </w:p>
    <w:p w:rsidR="00B40966" w:rsidRDefault="00B40966">
      <w:pPr>
        <w:pStyle w:val="Amain"/>
      </w:pPr>
      <w:r>
        <w:tab/>
        <w:t>(1)</w:t>
      </w:r>
      <w:r>
        <w:tab/>
        <w:t>Provision shall be made on every conveyor—</w:t>
      </w:r>
    </w:p>
    <w:p w:rsidR="00B40966" w:rsidRDefault="00B40966">
      <w:pPr>
        <w:pStyle w:val="Apara"/>
      </w:pPr>
      <w:r>
        <w:tab/>
        <w:t>(a)</w:t>
      </w:r>
      <w:r>
        <w:tab/>
        <w:t>to ensure that the conveyor will stop when the driving power is cut off and remain stopped until the power is restored; and</w:t>
      </w:r>
    </w:p>
    <w:p w:rsidR="00B40966" w:rsidRDefault="00B40966">
      <w:pPr>
        <w:pStyle w:val="Apara"/>
      </w:pPr>
      <w:r>
        <w:tab/>
        <w:t>(b)</w:t>
      </w:r>
      <w:r>
        <w:tab/>
        <w:t>to permit the conveyor being stopped at each point of loading or delivery; and</w:t>
      </w:r>
    </w:p>
    <w:p w:rsidR="00B40966" w:rsidRDefault="00B40966">
      <w:pPr>
        <w:pStyle w:val="Apara"/>
      </w:pPr>
      <w:r>
        <w:tab/>
        <w:t>(c)</w:t>
      </w:r>
      <w:r>
        <w:tab/>
        <w:t>to prevent the conveyor being restarted from any point until the device by which it was stopped has been reset in the running position.</w:t>
      </w:r>
    </w:p>
    <w:p w:rsidR="00B40966" w:rsidRDefault="00B40966">
      <w:pPr>
        <w:pStyle w:val="Amain"/>
      </w:pPr>
      <w:r>
        <w:tab/>
        <w:t>(2)</w:t>
      </w:r>
      <w:r>
        <w:tab/>
        <w:t>Any push button used for stopping the conveyor must be capable of being secured in the stop position.</w:t>
      </w:r>
    </w:p>
    <w:p w:rsidR="00B40966" w:rsidRDefault="00B40966">
      <w:pPr>
        <w:pStyle w:val="AH4SubDiv"/>
      </w:pPr>
      <w:bookmarkStart w:id="113" w:name="_Toc87257971"/>
      <w:r>
        <w:t>Enclosures</w:t>
      </w:r>
      <w:bookmarkEnd w:id="113"/>
    </w:p>
    <w:p w:rsidR="00B40966" w:rsidRDefault="00B40966">
      <w:pPr>
        <w:pStyle w:val="AH5Sec"/>
      </w:pPr>
      <w:bookmarkStart w:id="114" w:name="_Toc87257972"/>
      <w:r>
        <w:rPr>
          <w:rStyle w:val="CharSectNo"/>
        </w:rPr>
        <w:t>63</w:t>
      </w:r>
      <w:bookmarkEnd w:id="114"/>
      <w:r>
        <w:tab/>
        <w:t xml:space="preserve">  </w:t>
      </w:r>
    </w:p>
    <w:p w:rsidR="00B40966" w:rsidRDefault="00B40966">
      <w:pPr>
        <w:pStyle w:val="Amain"/>
      </w:pPr>
      <w:r>
        <w:tab/>
        <w:t>(1)</w:t>
      </w:r>
      <w:r>
        <w:tab/>
        <w:t>Every conveyor shall be adequately enclosed and guarded.</w:t>
      </w:r>
    </w:p>
    <w:p w:rsidR="00B40966" w:rsidRDefault="00B40966">
      <w:pPr>
        <w:pStyle w:val="Amain"/>
      </w:pPr>
      <w:r>
        <w:tab/>
        <w:t>(2)</w:t>
      </w:r>
      <w:r>
        <w:tab/>
        <w:t>The enclosing and guarding shall be to the satisfaction of the inspector.</w:t>
      </w:r>
    </w:p>
    <w:p w:rsidR="00B40966" w:rsidRDefault="00B40966">
      <w:pPr>
        <w:pStyle w:val="AH4SubDiv"/>
      </w:pPr>
      <w:bookmarkStart w:id="115" w:name="_Toc87257973"/>
      <w:r>
        <w:t>Provision for maintenance</w:t>
      </w:r>
      <w:bookmarkEnd w:id="115"/>
    </w:p>
    <w:p w:rsidR="00B40966" w:rsidRDefault="00B40966">
      <w:pPr>
        <w:pStyle w:val="AH5Sec"/>
      </w:pPr>
      <w:bookmarkStart w:id="116" w:name="_Toc87257974"/>
      <w:r>
        <w:rPr>
          <w:rStyle w:val="CharSectNo"/>
        </w:rPr>
        <w:t>64</w:t>
      </w:r>
      <w:bookmarkEnd w:id="116"/>
      <w:r>
        <w:tab/>
        <w:t xml:space="preserve">  </w:t>
      </w:r>
    </w:p>
    <w:p w:rsidR="00B40966" w:rsidRDefault="00B40966">
      <w:pPr>
        <w:pStyle w:val="Amainreturn"/>
      </w:pPr>
      <w:r>
        <w:t>Provision shall be made to permit of the safe and efficient maintenance of all machinery and control mechanism of every conveyor.</w:t>
      </w:r>
    </w:p>
    <w:p w:rsidR="00B40966" w:rsidRDefault="00B40966">
      <w:pPr>
        <w:pStyle w:val="AH4SubDiv"/>
      </w:pPr>
      <w:bookmarkStart w:id="117" w:name="_Toc87257975"/>
      <w:r>
        <w:t>No persons permitted to travel</w:t>
      </w:r>
      <w:bookmarkEnd w:id="117"/>
    </w:p>
    <w:p w:rsidR="00B40966" w:rsidRDefault="00B40966">
      <w:pPr>
        <w:pStyle w:val="AH5Sec"/>
      </w:pPr>
      <w:bookmarkStart w:id="118" w:name="_Toc87257976"/>
      <w:r>
        <w:rPr>
          <w:rStyle w:val="CharSectNo"/>
        </w:rPr>
        <w:t>65</w:t>
      </w:r>
      <w:bookmarkEnd w:id="118"/>
      <w:r>
        <w:tab/>
        <w:t xml:space="preserve">  </w:t>
      </w:r>
    </w:p>
    <w:p w:rsidR="00B40966" w:rsidRDefault="00B40966">
      <w:pPr>
        <w:pStyle w:val="Amainreturn"/>
      </w:pPr>
      <w:r>
        <w:t>No person shall travel or be permitted to travel on a conveyor.</w:t>
      </w:r>
    </w:p>
    <w:p w:rsidR="00B40966" w:rsidRDefault="00B40966">
      <w:pPr>
        <w:pStyle w:val="AH4SubDiv"/>
      </w:pPr>
      <w:bookmarkStart w:id="119" w:name="_Toc87257977"/>
      <w:r>
        <w:t>Load notice</w:t>
      </w:r>
      <w:bookmarkEnd w:id="119"/>
    </w:p>
    <w:p w:rsidR="00B40966" w:rsidRDefault="00B40966">
      <w:pPr>
        <w:pStyle w:val="AH5Sec"/>
      </w:pPr>
      <w:bookmarkStart w:id="120" w:name="_Toc87257978"/>
      <w:r>
        <w:rPr>
          <w:rStyle w:val="CharSectNo"/>
        </w:rPr>
        <w:t>66</w:t>
      </w:r>
      <w:bookmarkEnd w:id="120"/>
      <w:r>
        <w:tab/>
        <w:t xml:space="preserve">  </w:t>
      </w:r>
    </w:p>
    <w:p w:rsidR="00B40966" w:rsidRDefault="00B40966">
      <w:pPr>
        <w:pStyle w:val="Amainreturn"/>
      </w:pPr>
      <w:r>
        <w:t>A safe working load notice shall be exhibited at each point of loading of every conveyor.</w:t>
      </w:r>
    </w:p>
    <w:p w:rsidR="00B40966" w:rsidRDefault="00B40966">
      <w:pPr>
        <w:pStyle w:val="AH3Div"/>
      </w:pPr>
      <w:bookmarkStart w:id="121" w:name="_Toc87257979"/>
      <w:r>
        <w:rPr>
          <w:rStyle w:val="CharDivNo"/>
        </w:rPr>
        <w:t>Division 4.3</w:t>
      </w:r>
      <w:r>
        <w:rPr>
          <w:rStyle w:val="CharDivNo"/>
        </w:rPr>
        <w:tab/>
      </w:r>
      <w:r>
        <w:rPr>
          <w:rStyle w:val="CharDivText"/>
        </w:rPr>
        <w:t>Maintenance of lifts</w:t>
      </w:r>
      <w:bookmarkEnd w:id="121"/>
    </w:p>
    <w:p w:rsidR="00B40966" w:rsidRDefault="00B40966">
      <w:pPr>
        <w:pStyle w:val="AH5Sec"/>
      </w:pPr>
      <w:bookmarkStart w:id="122" w:name="_Toc87257980"/>
      <w:r>
        <w:rPr>
          <w:rStyle w:val="CharSectNo"/>
        </w:rPr>
        <w:t>67</w:t>
      </w:r>
      <w:bookmarkEnd w:id="122"/>
      <w:r>
        <w:tab/>
        <w:t xml:space="preserve">  </w:t>
      </w:r>
    </w:p>
    <w:p w:rsidR="00B40966" w:rsidRDefault="00B40966">
      <w:pPr>
        <w:pStyle w:val="Amain"/>
      </w:pPr>
      <w:r>
        <w:rPr>
          <w:color w:val="000000"/>
        </w:rPr>
        <w:tab/>
        <w:t>(1)</w:t>
      </w:r>
      <w:r>
        <w:rPr>
          <w:color w:val="000000"/>
        </w:rPr>
        <w:tab/>
        <w:t>Every lift and all parts of it shall be maintained in conformity with this regulation and in safe and proper working condition, and in accordance with the following provisions:</w:t>
      </w:r>
    </w:p>
    <w:p w:rsidR="00B40966" w:rsidRDefault="00B40966">
      <w:pPr>
        <w:pStyle w:val="Apara"/>
      </w:pPr>
      <w:r>
        <w:tab/>
        <w:t>(a)</w:t>
      </w:r>
      <w:r>
        <w:tab/>
        <w:t>all motor rooms, wells and pits shall be kept clean and free from accumulation of rubbish, dirt, dust or impedimenta;</w:t>
      </w:r>
    </w:p>
    <w:p w:rsidR="00B40966" w:rsidRDefault="00B40966">
      <w:pPr>
        <w:pStyle w:val="Apara"/>
      </w:pPr>
      <w:r>
        <w:tab/>
        <w:t>(b)</w:t>
      </w:r>
      <w:r>
        <w:tab/>
        <w:t>pits shall be kept dry;</w:t>
      </w:r>
    </w:p>
    <w:p w:rsidR="00B40966" w:rsidRDefault="00B40966">
      <w:pPr>
        <w:pStyle w:val="Apara"/>
      </w:pPr>
      <w:r>
        <w:tab/>
        <w:t>(c)</w:t>
      </w:r>
      <w:r>
        <w:tab/>
        <w:t>all guides, safety gear, machinery and equipment shall be kept lubricated, and machines and equipment shall be kept clean and free from accumulation of dust and dirt;</w:t>
      </w:r>
    </w:p>
    <w:p w:rsidR="00B40966" w:rsidRDefault="00B40966">
      <w:pPr>
        <w:pStyle w:val="Apara"/>
      </w:pPr>
      <w:r>
        <w:tab/>
        <w:t>(d)</w:t>
      </w:r>
      <w:r>
        <w:tab/>
        <w:t>all ropes showing indications of excessive wear, splintering, stranding, bunching or rust shall at once be replaced by new ropes;</w:t>
      </w:r>
    </w:p>
    <w:p w:rsidR="00B40966" w:rsidRDefault="00B40966">
      <w:pPr>
        <w:pStyle w:val="Apara"/>
      </w:pPr>
      <w:r>
        <w:tab/>
        <w:t>(e)</w:t>
      </w:r>
      <w:r>
        <w:tab/>
        <w:t>ropes liable to rust shall be treated with a suitable lubricant or a rust preventive compound;</w:t>
      </w:r>
    </w:p>
    <w:p w:rsidR="00B40966" w:rsidRDefault="00B40966">
      <w:pPr>
        <w:pStyle w:val="Apara"/>
      </w:pPr>
      <w:r>
        <w:tab/>
        <w:t>(f)</w:t>
      </w:r>
      <w:r>
        <w:tab/>
        <w:t>all enclosures shall be maintained in a safe and effective condition;</w:t>
      </w:r>
    </w:p>
    <w:p w:rsidR="00B40966" w:rsidRDefault="00B40966">
      <w:pPr>
        <w:pStyle w:val="Apara"/>
      </w:pPr>
      <w:r>
        <w:tab/>
        <w:t>(g)</w:t>
      </w:r>
      <w:r>
        <w:tab/>
        <w:t>all enclosure doors shall be maintained in proper working condition, and so that they cannot leave their tracks or guides;</w:t>
      </w:r>
    </w:p>
    <w:p w:rsidR="00B40966" w:rsidRDefault="00B40966">
      <w:pPr>
        <w:pStyle w:val="Apara"/>
      </w:pPr>
      <w:r>
        <w:tab/>
        <w:t>(h)</w:t>
      </w:r>
      <w:r>
        <w:tab/>
        <w:t>the enclosure door interlocks shall be maintained in conformity with section 29;</w:t>
      </w:r>
    </w:p>
    <w:p w:rsidR="00B40966" w:rsidRDefault="00B40966">
      <w:pPr>
        <w:pStyle w:val="Apara"/>
      </w:pPr>
      <w:r>
        <w:tab/>
        <w:t>(i)</w:t>
      </w:r>
      <w:r>
        <w:tab/>
        <w:t>all safety gear shall be kept in effective working condition;</w:t>
      </w:r>
    </w:p>
    <w:p w:rsidR="00B40966" w:rsidRDefault="00B40966">
      <w:pPr>
        <w:pStyle w:val="Apara"/>
      </w:pPr>
      <w:r>
        <w:tab/>
        <w:t>(j)</w:t>
      </w:r>
      <w:r>
        <w:tab/>
        <w:t>all limit gear, and other safety devices shall be maintained in proper working condition and correct adjustment;</w:t>
      </w:r>
    </w:p>
    <w:p w:rsidR="00B40966" w:rsidRDefault="00B40966">
      <w:pPr>
        <w:pStyle w:val="Apara"/>
      </w:pPr>
      <w:r>
        <w:tab/>
        <w:t>(k)</w:t>
      </w:r>
      <w:r>
        <w:tab/>
        <w:t>the rams of all hydraulic lifts shall be kept in such condition that there shall be no leakage at the gland, and this without unduly pinching the ram;</w:t>
      </w:r>
    </w:p>
    <w:p w:rsidR="00B40966" w:rsidRDefault="00B40966">
      <w:pPr>
        <w:pStyle w:val="Apara"/>
      </w:pPr>
      <w:r>
        <w:tab/>
        <w:t>(l)</w:t>
      </w:r>
      <w:r>
        <w:tab/>
        <w:t>the controlling mechanism of all hydraulic lifts shall be maintained in such condition that—</w:t>
      </w:r>
    </w:p>
    <w:p w:rsidR="00B40966" w:rsidRDefault="00B40966">
      <w:pPr>
        <w:pStyle w:val="Asubpara"/>
      </w:pPr>
      <w:r>
        <w:tab/>
        <w:t>(i)</w:t>
      </w:r>
      <w:r>
        <w:tab/>
        <w:t>the lift will automatically stop before the car lands or the ram reaches its permanent stop; and</w:t>
      </w:r>
    </w:p>
    <w:p w:rsidR="00B40966" w:rsidRDefault="00B40966">
      <w:pPr>
        <w:pStyle w:val="Asubpara"/>
      </w:pPr>
      <w:r>
        <w:tab/>
        <w:t>(ii)</w:t>
      </w:r>
      <w:r>
        <w:tab/>
        <w:t>the lift will stop in the event of breakage of the control rope, and</w:t>
      </w:r>
    </w:p>
    <w:p w:rsidR="00B40966" w:rsidRDefault="00B40966">
      <w:pPr>
        <w:pStyle w:val="Asubpara"/>
      </w:pPr>
      <w:r>
        <w:tab/>
        <w:t>(iii)</w:t>
      </w:r>
      <w:r>
        <w:tab/>
        <w:t>creeping will not occur when the valve is in the ‘stop’ position.</w:t>
      </w:r>
    </w:p>
    <w:p w:rsidR="00B40966" w:rsidRDefault="00B40966">
      <w:pPr>
        <w:pStyle w:val="Amain"/>
      </w:pPr>
      <w:r>
        <w:rPr>
          <w:color w:val="000000"/>
        </w:rPr>
        <w:tab/>
        <w:t>(2)</w:t>
      </w:r>
      <w:r>
        <w:rPr>
          <w:color w:val="000000"/>
        </w:rPr>
        <w:tab/>
        <w:t>It shall be the duty of the owner of a lift to observe the provisions of this section.</w:t>
      </w:r>
    </w:p>
    <w:p w:rsidR="00B40966" w:rsidRDefault="00B40966">
      <w:pPr>
        <w:pStyle w:val="AH3Div"/>
      </w:pPr>
      <w:bookmarkStart w:id="123" w:name="_Toc87257981"/>
      <w:r>
        <w:rPr>
          <w:rStyle w:val="CharDivNo"/>
        </w:rPr>
        <w:t>Division 4.4</w:t>
      </w:r>
      <w:r>
        <w:rPr>
          <w:rStyle w:val="CharDivNo"/>
        </w:rPr>
        <w:tab/>
      </w:r>
      <w:r>
        <w:rPr>
          <w:rStyle w:val="CharDivText"/>
        </w:rPr>
        <w:t>Use of lifts</w:t>
      </w:r>
      <w:bookmarkEnd w:id="123"/>
    </w:p>
    <w:p w:rsidR="00B40966" w:rsidRDefault="00B40966">
      <w:pPr>
        <w:pStyle w:val="AH5Sec"/>
      </w:pPr>
      <w:bookmarkStart w:id="124" w:name="_Toc87257982"/>
      <w:r>
        <w:rPr>
          <w:rStyle w:val="CharSectNo"/>
        </w:rPr>
        <w:t>68</w:t>
      </w:r>
      <w:bookmarkEnd w:id="124"/>
      <w:r>
        <w:tab/>
        <w:t xml:space="preserve">  </w:t>
      </w:r>
    </w:p>
    <w:p w:rsidR="00B40966" w:rsidRDefault="00B40966">
      <w:pPr>
        <w:pStyle w:val="Amain"/>
      </w:pPr>
      <w:r>
        <w:rPr>
          <w:color w:val="000000"/>
        </w:rPr>
        <w:tab/>
        <w:t>(1)</w:t>
      </w:r>
      <w:r>
        <w:rPr>
          <w:color w:val="000000"/>
        </w:rPr>
        <w:tab/>
        <w:t>No person shall operate any lift by manipulation of the enclosure door interlocks or car gate interlocks or of the control mechanism in the machine room.</w:t>
      </w:r>
    </w:p>
    <w:p w:rsidR="00B40966" w:rsidRDefault="00B40966">
      <w:pPr>
        <w:pStyle w:val="Amain"/>
      </w:pPr>
      <w:r>
        <w:rPr>
          <w:color w:val="000000"/>
        </w:rPr>
        <w:tab/>
        <w:t>(2)</w:t>
      </w:r>
      <w:r>
        <w:rPr>
          <w:color w:val="000000"/>
        </w:rPr>
        <w:tab/>
        <w:t>No person shall operate any rope control lift, other than a service lift, from any landing or any place other than the car.</w:t>
      </w:r>
    </w:p>
    <w:p w:rsidR="00B40966" w:rsidRDefault="00B40966">
      <w:pPr>
        <w:pStyle w:val="Amain"/>
      </w:pPr>
      <w:r>
        <w:rPr>
          <w:color w:val="000000"/>
        </w:rPr>
        <w:tab/>
        <w:t>(3)</w:t>
      </w:r>
      <w:r>
        <w:rPr>
          <w:color w:val="000000"/>
        </w:rPr>
        <w:tab/>
        <w:t>No person shall load any lift in excess of its safe working load.</w:t>
      </w:r>
    </w:p>
    <w:p w:rsidR="00B40966" w:rsidRDefault="00B40966">
      <w:pPr>
        <w:pStyle w:val="Amain"/>
      </w:pPr>
      <w:r>
        <w:rPr>
          <w:color w:val="000000"/>
        </w:rPr>
        <w:tab/>
        <w:t>(4)</w:t>
      </w:r>
      <w:r>
        <w:rPr>
          <w:color w:val="000000"/>
        </w:rPr>
        <w:tab/>
        <w:t>No person in charge of any lift shall—</w:t>
      </w:r>
    </w:p>
    <w:p w:rsidR="00B40966" w:rsidRDefault="00B40966">
      <w:pPr>
        <w:pStyle w:val="Apara"/>
      </w:pPr>
      <w:r>
        <w:tab/>
        <w:t>(a)</w:t>
      </w:r>
      <w:r>
        <w:tab/>
        <w:t>load or permit the lift to be loaded in excess of the safe working load; or</w:t>
      </w:r>
    </w:p>
    <w:p w:rsidR="00B40966" w:rsidRDefault="00B40966">
      <w:pPr>
        <w:pStyle w:val="Apara"/>
      </w:pPr>
      <w:r>
        <w:tab/>
        <w:t>(b)</w:t>
      </w:r>
      <w:r>
        <w:tab/>
        <w:t>move the car from any landing unless all the enclosure doors are closed and locked and the car gates are closed; or</w:t>
      </w:r>
    </w:p>
    <w:p w:rsidR="00B40966" w:rsidRDefault="00B40966">
      <w:pPr>
        <w:pStyle w:val="Apara"/>
      </w:pPr>
      <w:r>
        <w:tab/>
        <w:t>(c)</w:t>
      </w:r>
      <w:r>
        <w:tab/>
        <w:t>permit the car to be loaded or unloaded or take in or let out passengers unless the car is at rest, the power shut off and the car switch is secure in the stop position; or</w:t>
      </w:r>
    </w:p>
    <w:p w:rsidR="00B40966" w:rsidRDefault="00B40966">
      <w:pPr>
        <w:pStyle w:val="Apara"/>
      </w:pPr>
      <w:r>
        <w:tab/>
        <w:t>(d)</w:t>
      </w:r>
      <w:r>
        <w:tab/>
        <w:t>for a rope controlled lift—leave the car unless the rope is locked in the stop position.</w:t>
      </w:r>
    </w:p>
    <w:p w:rsidR="00B40966" w:rsidRDefault="00B40966">
      <w:pPr>
        <w:pStyle w:val="Amain"/>
      </w:pPr>
      <w:r>
        <w:rPr>
          <w:color w:val="000000"/>
        </w:rPr>
        <w:tab/>
        <w:t>(5)</w:t>
      </w:r>
      <w:r>
        <w:rPr>
          <w:color w:val="000000"/>
        </w:rPr>
        <w:tab/>
        <w:t>This section shall not apply to any bona fide worker engaged in erecting, repairing, inspecting or testing a lift, or to an inspector.</w:t>
      </w:r>
    </w:p>
    <w:p w:rsidR="00B40966" w:rsidRDefault="00B40966">
      <w:pPr>
        <w:pStyle w:val="AH4SubDiv"/>
      </w:pPr>
      <w:bookmarkStart w:id="125" w:name="_Toc87257983"/>
      <w:r>
        <w:t>Change of ownership</w:t>
      </w:r>
      <w:bookmarkEnd w:id="125"/>
    </w:p>
    <w:p w:rsidR="00B40966" w:rsidRDefault="00B40966">
      <w:pPr>
        <w:pStyle w:val="AH5Sec"/>
      </w:pPr>
      <w:bookmarkStart w:id="126" w:name="_Toc87257984"/>
      <w:r>
        <w:rPr>
          <w:rStyle w:val="CharSectNo"/>
        </w:rPr>
        <w:t>69</w:t>
      </w:r>
      <w:bookmarkEnd w:id="126"/>
      <w:r>
        <w:tab/>
        <w:t xml:space="preserve">  </w:t>
      </w:r>
    </w:p>
    <w:p w:rsidR="00B40966" w:rsidRDefault="00B40966">
      <w:pPr>
        <w:pStyle w:val="Amainreturn"/>
      </w:pPr>
      <w:r>
        <w:t>If the ownership of any lift has been changed, the new owner shall, within 7 days of the change give notice of the change to the chief inspector.</w:t>
      </w:r>
    </w:p>
    <w:p w:rsidR="00B40966" w:rsidRDefault="00B40966">
      <w:pPr>
        <w:pStyle w:val="AH5Sec"/>
      </w:pPr>
      <w:bookmarkStart w:id="127" w:name="_Toc87257985"/>
      <w:r>
        <w:rPr>
          <w:rStyle w:val="CharSectNo"/>
        </w:rPr>
        <w:t>70</w:t>
      </w:r>
      <w:bookmarkEnd w:id="127"/>
      <w:r>
        <w:tab/>
        <w:t xml:space="preserve">  </w:t>
      </w:r>
    </w:p>
    <w:p w:rsidR="00B40966" w:rsidRDefault="00B40966">
      <w:pPr>
        <w:pStyle w:val="Amainreturn"/>
      </w:pPr>
      <w:r>
        <w:t>There shall be placed and kept in the car of every lift other than a service lift—</w:t>
      </w:r>
    </w:p>
    <w:p w:rsidR="00B40966" w:rsidRDefault="00B40966">
      <w:pPr>
        <w:pStyle w:val="Apara"/>
      </w:pPr>
      <w:r>
        <w:tab/>
        <w:t>(a)</w:t>
      </w:r>
      <w:r>
        <w:tab/>
        <w:t>a legible notice stating—</w:t>
      </w:r>
    </w:p>
    <w:p w:rsidR="00B40966" w:rsidRDefault="00B40966">
      <w:pPr>
        <w:pStyle w:val="Asubpara"/>
      </w:pPr>
      <w:r>
        <w:tab/>
        <w:t>(i)</w:t>
      </w:r>
      <w:r>
        <w:tab/>
        <w:t>the safe working load of the lift; and</w:t>
      </w:r>
    </w:p>
    <w:p w:rsidR="00B40966" w:rsidRDefault="00B40966">
      <w:pPr>
        <w:pStyle w:val="Asubpara"/>
      </w:pPr>
      <w:r>
        <w:tab/>
        <w:t>(ii)</w:t>
      </w:r>
      <w:r>
        <w:tab/>
        <w:t>for a goods lift—the names of the persons specifically empowered by the owner to work or operate the lift; and</w:t>
      </w:r>
    </w:p>
    <w:p w:rsidR="00B40966" w:rsidRDefault="00B40966">
      <w:pPr>
        <w:pStyle w:val="Asubpara"/>
      </w:pPr>
      <w:r>
        <w:tab/>
        <w:t>(iii)</w:t>
      </w:r>
      <w:r>
        <w:tab/>
        <w:t>the name, address and telephone number of the company or person maintaining the lift or engaged to attend the lift in case of stoppage or accident; and</w:t>
      </w:r>
    </w:p>
    <w:p w:rsidR="00B40966" w:rsidRDefault="00B40966">
      <w:pPr>
        <w:pStyle w:val="Asubpara"/>
      </w:pPr>
      <w:r>
        <w:tab/>
        <w:t>(iv)</w:t>
      </w:r>
      <w:r>
        <w:tab/>
        <w:t>for multi-tenanted buildings without resident caretakers—if the inspector so directs, the name and address of the owner of the lift; and</w:t>
      </w:r>
    </w:p>
    <w:p w:rsidR="00B40966" w:rsidRDefault="00B40966">
      <w:pPr>
        <w:pStyle w:val="Apara"/>
        <w:keepNext/>
      </w:pPr>
      <w:r>
        <w:tab/>
        <w:t>(b)</w:t>
      </w:r>
      <w:r>
        <w:tab/>
        <w:t>a copy of section 68 and section 69 and a statement as follows:</w:t>
      </w:r>
    </w:p>
    <w:p w:rsidR="00B40966" w:rsidRDefault="00B40966">
      <w:pPr>
        <w:pStyle w:val="Amainreturn"/>
      </w:pPr>
      <w:r>
        <w:t>Section 18 of the Act requires accidents to be notified to the chief inspector by the owner or person in charge of a lift, and prohibits the use of a lift after an accident without permission of an inspector.</w:t>
      </w:r>
    </w:p>
    <w:p w:rsidR="00B40966" w:rsidRDefault="00B40966">
      <w:pPr>
        <w:pStyle w:val="Amainreturn"/>
      </w:pPr>
      <w:r>
        <w:t xml:space="preserve">For the purposes of the Act, </w:t>
      </w:r>
      <w:r>
        <w:rPr>
          <w:b/>
          <w:i/>
        </w:rPr>
        <w:t>owner</w:t>
      </w:r>
      <w:r>
        <w:t xml:space="preserve"> of a lift includes the owner, mortgagee in possession, lessee, hirer or borrower thereof.</w:t>
      </w:r>
    </w:p>
    <w:p w:rsidR="00B40966" w:rsidRDefault="00B40966">
      <w:pPr>
        <w:pStyle w:val="AH5Sec"/>
      </w:pPr>
      <w:bookmarkStart w:id="128" w:name="_Toc87257986"/>
      <w:r>
        <w:rPr>
          <w:rStyle w:val="CharSectNo"/>
        </w:rPr>
        <w:t>71</w:t>
      </w:r>
      <w:bookmarkEnd w:id="128"/>
      <w:r>
        <w:tab/>
        <w:t xml:space="preserve">  </w:t>
      </w:r>
    </w:p>
    <w:p w:rsidR="00B40966" w:rsidRDefault="00B40966">
      <w:pPr>
        <w:pStyle w:val="Amainreturn"/>
      </w:pPr>
      <w:r>
        <w:t>There shall be placed and kept beside the control at the principal landing and the other landings that the inspector may direct of every service lift a copy of section 68 (1) and (3) and a notice stating the safe working load of the lift.</w:t>
      </w:r>
    </w:p>
    <w:p w:rsidR="00B40966" w:rsidRDefault="00B40966">
      <w:pPr>
        <w:pStyle w:val="AH5Sec"/>
      </w:pPr>
      <w:bookmarkStart w:id="129" w:name="_Toc87257987"/>
      <w:r>
        <w:rPr>
          <w:rStyle w:val="CharSectNo"/>
        </w:rPr>
        <w:t>72</w:t>
      </w:r>
      <w:bookmarkEnd w:id="129"/>
      <w:r>
        <w:tab/>
        <w:t xml:space="preserve">  </w:t>
      </w:r>
    </w:p>
    <w:p w:rsidR="00B40966" w:rsidRDefault="00B40966">
      <w:pPr>
        <w:pStyle w:val="Amainreturn"/>
      </w:pPr>
      <w:r>
        <w:t>The owner of a lift shall be responsible for the observance of the provisions of section 70 and section 71.</w:t>
      </w:r>
    </w:p>
    <w:p w:rsidR="00B40966" w:rsidRDefault="00B40966">
      <w:pPr>
        <w:pStyle w:val="PageBreak"/>
      </w:pPr>
      <w:r>
        <w:br w:type="page"/>
      </w:r>
    </w:p>
    <w:p w:rsidR="00B40966" w:rsidRDefault="00B40966">
      <w:pPr>
        <w:pStyle w:val="AH2Part"/>
      </w:pPr>
      <w:bookmarkStart w:id="130" w:name="_Toc87257988"/>
      <w:r>
        <w:rPr>
          <w:rStyle w:val="CharPartNo"/>
        </w:rPr>
        <w:t>Part 5</w:t>
      </w:r>
      <w:r>
        <w:rPr>
          <w:caps/>
        </w:rPr>
        <w:tab/>
      </w:r>
      <w:r>
        <w:rPr>
          <w:rStyle w:val="CharPartText"/>
        </w:rPr>
        <w:t>Safeguards and measures to be taken for securing the safety and health of persons engaged in building work</w:t>
      </w:r>
      <w:bookmarkEnd w:id="130"/>
    </w:p>
    <w:p w:rsidR="00B40966" w:rsidRDefault="00B40966">
      <w:pPr>
        <w:pStyle w:val="AH3Div"/>
      </w:pPr>
      <w:bookmarkStart w:id="131" w:name="_Toc87257989"/>
      <w:r>
        <w:rPr>
          <w:rStyle w:val="CharDivNo"/>
        </w:rPr>
        <w:t>Division 5.1</w:t>
      </w:r>
      <w:r>
        <w:rPr>
          <w:rStyle w:val="CharDivNo"/>
        </w:rPr>
        <w:tab/>
      </w:r>
      <w:r>
        <w:rPr>
          <w:rStyle w:val="CharDivText"/>
        </w:rPr>
        <w:t>General</w:t>
      </w:r>
      <w:bookmarkEnd w:id="131"/>
    </w:p>
    <w:p w:rsidR="00B40966" w:rsidRDefault="00B40966">
      <w:pPr>
        <w:pStyle w:val="AH5Sec"/>
      </w:pPr>
      <w:bookmarkStart w:id="132" w:name="_Toc87257990"/>
      <w:r>
        <w:rPr>
          <w:rStyle w:val="CharSectNo"/>
        </w:rPr>
        <w:t>73</w:t>
      </w:r>
      <w:bookmarkEnd w:id="132"/>
      <w:r>
        <w:tab/>
        <w:t xml:space="preserve">  </w:t>
      </w:r>
    </w:p>
    <w:p w:rsidR="00B40966" w:rsidRDefault="00B40966">
      <w:pPr>
        <w:pStyle w:val="Amain"/>
      </w:pPr>
      <w:r>
        <w:tab/>
        <w:t>(1)</w:t>
      </w:r>
      <w:r>
        <w:tab/>
        <w:t>Any person who directly or by his or her servants or agents (including every independent contractor from time to time engaged in that work) carries out any building work shall take all measures that appear necessary or advisable to minimise accident risk and to prevent injury to the health of persons engaged in the building work and for this purpose, without limiting the generality of the foregoing, the person shall—</w:t>
      </w:r>
    </w:p>
    <w:p w:rsidR="00B40966" w:rsidRDefault="00B40966">
      <w:pPr>
        <w:pStyle w:val="Apara"/>
      </w:pPr>
      <w:r>
        <w:tab/>
        <w:t>(a)</w:t>
      </w:r>
      <w:r>
        <w:tab/>
        <w:t>provide suitable and safe scaffolding, which shall conform to the requirements of this regulation, for all work that cannot be done safely by a person standing on permanent or solid construction, except when the work can be done safely from ladders constructed in conformity with the provisions of this regulation; and</w:t>
      </w:r>
    </w:p>
    <w:p w:rsidR="00B40966" w:rsidRDefault="00B40966">
      <w:pPr>
        <w:pStyle w:val="Apara"/>
      </w:pPr>
      <w:r>
        <w:tab/>
        <w:t>(b)</w:t>
      </w:r>
      <w:r>
        <w:tab/>
        <w:t>provide and maintain safe means of access to every place where any person has to work at any time; and</w:t>
      </w:r>
    </w:p>
    <w:p w:rsidR="00B40966" w:rsidRDefault="00B40966">
      <w:pPr>
        <w:pStyle w:val="Apara"/>
      </w:pPr>
      <w:r>
        <w:tab/>
        <w:t>(c)</w:t>
      </w:r>
      <w:r>
        <w:tab/>
        <w:t>provide means by fencing or otherwise for securing the safety of any person working at a place from which the person would be liable to fall a distance of more than 6 feet; and</w:t>
      </w:r>
    </w:p>
    <w:p w:rsidR="00B40966" w:rsidRDefault="00B40966">
      <w:pPr>
        <w:pStyle w:val="Apara"/>
      </w:pPr>
      <w:r>
        <w:tab/>
        <w:t>(d)</w:t>
      </w:r>
      <w:r>
        <w:tab/>
        <w:t>make provision to secure and maintain lighting (natural or artificial) sufficient and suitable for the illumination of all work places, stairways, corridors and passageways where persons must frequent, pass or use in the performance of their work or in passage to or from their work; and</w:t>
      </w:r>
    </w:p>
    <w:p w:rsidR="00B40966" w:rsidRDefault="00B40966">
      <w:pPr>
        <w:pStyle w:val="Apara"/>
      </w:pPr>
      <w:r>
        <w:tab/>
        <w:t>(e)</w:t>
      </w:r>
      <w:r>
        <w:tab/>
        <w:t>whenever artificial lighting is provided—ensure that the lamps are so placed and shaded that they will not affect the safety of persons by producing glare or deep shadows and that the lamps are protected against breakage by wire guards; and</w:t>
      </w:r>
    </w:p>
    <w:p w:rsidR="00B40966" w:rsidRDefault="00B40966">
      <w:pPr>
        <w:pStyle w:val="Apara"/>
      </w:pPr>
      <w:r>
        <w:tab/>
        <w:t>(f)</w:t>
      </w:r>
      <w:r>
        <w:tab/>
        <w:t>keep all stairways, corridors and passageways free from loose materials and debris, building materials, supplies and obstructions of every kind; and</w:t>
      </w:r>
    </w:p>
    <w:p w:rsidR="00B40966" w:rsidRDefault="00B40966">
      <w:pPr>
        <w:pStyle w:val="Apara"/>
      </w:pPr>
      <w:r>
        <w:tab/>
        <w:t>(g)</w:t>
      </w:r>
      <w:r>
        <w:tab/>
        <w:t>where practicable provide overhead protection for persons working below other persons or where there is a likelihood of persons being injured by objects falling from above; and</w:t>
      </w:r>
    </w:p>
    <w:p w:rsidR="00B40966" w:rsidRDefault="00B40966">
      <w:pPr>
        <w:pStyle w:val="Apara"/>
      </w:pPr>
      <w:r>
        <w:tab/>
        <w:t>(h)</w:t>
      </w:r>
      <w:r>
        <w:tab/>
        <w:t>ensure that the overhead protection is by means of timber or other material of strength and construction reasonably adequate to catch, deflect or hold any reasonable weight of material or objects that may fall on the protective construction; and</w:t>
      </w:r>
    </w:p>
    <w:p w:rsidR="00B40966" w:rsidRDefault="00B40966">
      <w:pPr>
        <w:pStyle w:val="Apara"/>
      </w:pPr>
      <w:r>
        <w:tab/>
        <w:t>(i)</w:t>
      </w:r>
      <w:r>
        <w:tab/>
        <w:t>provide head protective helmets, of an approved type, for the use of persons working in places over which it is impracticable to fix overhead protection; and</w:t>
      </w:r>
    </w:p>
    <w:p w:rsidR="00B40966" w:rsidRDefault="00B40966">
      <w:pPr>
        <w:pStyle w:val="Apara"/>
      </w:pPr>
      <w:r>
        <w:tab/>
        <w:t>(j)</w:t>
      </w:r>
      <w:r>
        <w:tab/>
        <w:t>effectively fence in the way prescribed by this regulation, all platforms, the open sides of all floors, openings in floors, roofs and platforms into which persons could accidentally walk, the open sides of stairways and stairway landings and all excavations and holes more than 5 feet deep; and</w:t>
      </w:r>
    </w:p>
    <w:p w:rsidR="00B40966" w:rsidRDefault="00B40966">
      <w:pPr>
        <w:pStyle w:val="Apara"/>
      </w:pPr>
      <w:r>
        <w:tab/>
        <w:t>(k)</w:t>
      </w:r>
      <w:r>
        <w:tab/>
        <w:t>cause all working places and approaches to them to be adequately ventilated by the circulation of fresh air the ventilation to be such as to render harmless all fumes, dust or other impurities that may be injurious to health, generated or produced by any means in any such working place and approach; and</w:t>
      </w:r>
    </w:p>
    <w:p w:rsidR="00B40966" w:rsidRDefault="00B40966">
      <w:pPr>
        <w:pStyle w:val="Apara"/>
      </w:pPr>
      <w:r>
        <w:tab/>
        <w:t>(l)</w:t>
      </w:r>
      <w:r>
        <w:tab/>
        <w:t>if in connection with any chipping, grinding, cleaning, spraying or manipulation of any material, there is given off any dust or fume of such a character and to such extent as to be likely to be injurious to the health of persons employed—take all practicable measures either by securing adequate ventilation or by the provision and use of respirators (of a type approved by the chief inspector) or otherwise to prevent inhalation of the dust or fume; and</w:t>
      </w:r>
    </w:p>
    <w:p w:rsidR="00B40966" w:rsidRDefault="00B40966">
      <w:pPr>
        <w:pStyle w:val="Apara"/>
      </w:pPr>
      <w:r>
        <w:tab/>
        <w:t>(m)</w:t>
      </w:r>
      <w:r>
        <w:tab/>
        <w:t>cause all exhaust gases of every engine used in an enclosed or confined space to be conducted to the open air and the place to be adequately ventilated so as to prevent danger to health from the exhaust gases; and</w:t>
      </w:r>
    </w:p>
    <w:p w:rsidR="00B40966" w:rsidRDefault="00B40966">
      <w:pPr>
        <w:pStyle w:val="Apara"/>
      </w:pPr>
      <w:r>
        <w:tab/>
        <w:t>(n)</w:t>
      </w:r>
      <w:r>
        <w:tab/>
        <w:t>if any persons are employed in a process in which a lead compound or other poisonous substance is used—provide for the use of persons liable to come into contact with the compound or substance adequate and suitable facilities for washing, which shall include nail brushes, soap and towels; and</w:t>
      </w:r>
    </w:p>
    <w:p w:rsidR="00B40966" w:rsidRDefault="00B40966">
      <w:pPr>
        <w:pStyle w:val="Apara"/>
      </w:pPr>
      <w:r>
        <w:tab/>
        <w:t>(o)</w:t>
      </w:r>
      <w:r>
        <w:tab/>
        <w:t>provide, where there is carried on any process specified schedule 4, the goggles of the types that are approved by the chief inspector, or effective screens to protect the eyes of persons employed on the building work; and</w:t>
      </w:r>
    </w:p>
    <w:p w:rsidR="00B40966" w:rsidRDefault="00B40966">
      <w:pPr>
        <w:pStyle w:val="Apara"/>
      </w:pPr>
      <w:r>
        <w:tab/>
        <w:t>(p)</w:t>
      </w:r>
      <w:r>
        <w:tab/>
        <w:t>cause measures to be taken to ensure that scaffolding materials, tools and other objects and materials (including waste material) shall not be thrown, tipped or shot down from a height where they are liable to cause injury, but to be properly lowered, and in any place where proper lowering is not practicable and also where any part of a structure is being demolished or broken off to cause adequate steps to be taken, if necessary, to protect persons from falling or flying debris; and</w:t>
      </w:r>
    </w:p>
    <w:p w:rsidR="00B40966" w:rsidRDefault="00B40966">
      <w:pPr>
        <w:pStyle w:val="Apara"/>
      </w:pPr>
      <w:r>
        <w:tab/>
        <w:t>(q)</w:t>
      </w:r>
      <w:r>
        <w:tab/>
        <w:t>cause protruding nails to be knocked in or removed from all materials used in the construction of scaffolding, false work and shuttering and take measures to ensure that no timber or material with projecting nails is allowed to remain in any place where persons are liable to come into contact with them; and</w:t>
      </w:r>
    </w:p>
    <w:p w:rsidR="00B40966" w:rsidRDefault="00B40966">
      <w:pPr>
        <w:pStyle w:val="Apara"/>
      </w:pPr>
      <w:r>
        <w:tab/>
        <w:t>(r)</w:t>
      </w:r>
      <w:r>
        <w:tab/>
        <w:t>take all practicable precautions by the use of adequate temporary guys, stays, supports and fixings or otherwise to prevent danger to any person through the collapse of any part of a building or structure during any temporary state of weakness or instability of the building or structure or part before the building or structure is completed; and</w:t>
      </w:r>
    </w:p>
    <w:p w:rsidR="00B40966" w:rsidRDefault="00B40966">
      <w:pPr>
        <w:pStyle w:val="Apara"/>
      </w:pPr>
      <w:r>
        <w:tab/>
        <w:t>(s)</w:t>
      </w:r>
      <w:r>
        <w:tab/>
        <w:t>if any building work is carried on that is likely to reduce, so as to endanger any person, the security or stability of any part of an existing building or structure or of a building or structure in course of construction—take all practicable precautions by shoring or otherwise to prevent danger to any person from the collapse of the building or structure or the fall of any part of it; and</w:t>
      </w:r>
    </w:p>
    <w:p w:rsidR="00B40966" w:rsidRDefault="00B40966">
      <w:pPr>
        <w:pStyle w:val="Apara"/>
      </w:pPr>
      <w:r>
        <w:tab/>
        <w:t>(t)</w:t>
      </w:r>
      <w:r>
        <w:tab/>
        <w:t>not move or permit or allow to be moved on the site of the building work any ironwork or steelwork on which there is wet paint other than paint for the purpose of jointing; and</w:t>
      </w:r>
    </w:p>
    <w:p w:rsidR="00B40966" w:rsidRDefault="00B40966">
      <w:pPr>
        <w:pStyle w:val="Apara"/>
      </w:pPr>
      <w:r>
        <w:tab/>
        <w:t>(u)</w:t>
      </w:r>
      <w:r>
        <w:tab/>
        <w:t>if on or adjacent to the site of any building work to which this regulation applies there is water into which a person employed is in the course of his or her employment liable to fall with risk of drowning—provide and keep ready for use suitable rescue equipment of an approved type and take all steps necessary for the prompt rescue of any such person in danger of drowning; and</w:t>
      </w:r>
    </w:p>
    <w:p w:rsidR="00B40966" w:rsidRDefault="00B40966">
      <w:pPr>
        <w:pStyle w:val="Apara"/>
      </w:pPr>
      <w:r>
        <w:tab/>
        <w:t>(v)</w:t>
      </w:r>
      <w:r>
        <w:tab/>
        <w:t>cause electric light and electric power installations and the electrical equipment of cranes, hoists, and plant to be installed, used and maintained in conformity with the provisions of this regulation; and</w:t>
      </w:r>
    </w:p>
    <w:p w:rsidR="00B40966" w:rsidRDefault="00B40966">
      <w:pPr>
        <w:pStyle w:val="Apara"/>
      </w:pPr>
      <w:r>
        <w:tab/>
        <w:t>(w)</w:t>
      </w:r>
      <w:r>
        <w:tab/>
        <w:t>provide adequate and suitable overhead protection to prevent persons being struck by the falling products of an electric arc or flame metal cutting process; and</w:t>
      </w:r>
    </w:p>
    <w:p w:rsidR="00B40966" w:rsidRDefault="00B40966">
      <w:pPr>
        <w:pStyle w:val="Apara"/>
      </w:pPr>
      <w:r>
        <w:tab/>
        <w:t>(x)</w:t>
      </w:r>
      <w:r>
        <w:tab/>
        <w:t>provide the first-aid equipment, sanitary conveniences, washing facilities, drinking water and shelter, change and dining accommodation that are prescribed by this regulation.</w:t>
      </w:r>
    </w:p>
    <w:p w:rsidR="00B40966" w:rsidRDefault="00B40966">
      <w:pPr>
        <w:pStyle w:val="Amain"/>
      </w:pPr>
      <w:r>
        <w:tab/>
        <w:t>(2)</w:t>
      </w:r>
      <w:r>
        <w:tab/>
        <w:t>However, despite subsection (1) (j) it shall be permissible to remove when necessary any guardrail, fence or part of it for the purpose of handling materials or for the installation of other work, subject to the guardrail, fence or part being at once replaced on completion of the work.</w:t>
      </w:r>
    </w:p>
    <w:p w:rsidR="00B40966" w:rsidRDefault="00B40966">
      <w:pPr>
        <w:pStyle w:val="Amain"/>
      </w:pPr>
      <w:r>
        <w:tab/>
        <w:t>(3)</w:t>
      </w:r>
      <w:r>
        <w:tab/>
        <w:t>For this section:</w:t>
      </w:r>
    </w:p>
    <w:p w:rsidR="00B40966" w:rsidRDefault="00B40966">
      <w:pPr>
        <w:pStyle w:val="aDef"/>
      </w:pPr>
      <w:r>
        <w:rPr>
          <w:rStyle w:val="charBoldItals"/>
        </w:rPr>
        <w:t>lead compound</w:t>
      </w:r>
      <w:r>
        <w:t xml:space="preserve"> means any material containing lead which, when treated in the way prescribed in schedule 5, yields to an aqueous solution of hydrochloric acid a quantity of soluble lead compound exceeding, when calculated as lead monoxide, 5% of the dry weight of the sample taken for analysis.</w:t>
      </w:r>
    </w:p>
    <w:p w:rsidR="00B40966" w:rsidRDefault="00B40966">
      <w:pPr>
        <w:pStyle w:val="AH5Sec"/>
      </w:pPr>
      <w:bookmarkStart w:id="133" w:name="_Toc87257991"/>
      <w:r>
        <w:rPr>
          <w:rStyle w:val="CharSectNo"/>
        </w:rPr>
        <w:t>74</w:t>
      </w:r>
      <w:bookmarkEnd w:id="133"/>
      <w:r>
        <w:tab/>
        <w:t xml:space="preserve">  </w:t>
      </w:r>
    </w:p>
    <w:p w:rsidR="00B40966" w:rsidRDefault="00B40966">
      <w:pPr>
        <w:pStyle w:val="Amainreturn"/>
      </w:pPr>
      <w:r>
        <w:t>If the special nature or circumstances of any part of a building work render impracticable compliance with the provisions of section 73 designed to prevent the fall of any person engaged on that part of the building work, then those provisions shall be complied with so far as practicable and, except for persons for whom there is adequate hand hold and foothold, the contractor or person in charge of the building work shall provide safety nets or safety belts and life lines of a type approved by the chief inspector which will so far as practicable enable the persons to carry out work without risk of serious injury.</w:t>
      </w:r>
    </w:p>
    <w:p w:rsidR="00B40966" w:rsidRDefault="00B40966">
      <w:pPr>
        <w:pStyle w:val="AH4SubDiv"/>
      </w:pPr>
      <w:bookmarkStart w:id="134" w:name="_Toc87257992"/>
      <w:r>
        <w:t>Fencing of floors, landings, stairways and the like</w:t>
      </w:r>
      <w:bookmarkEnd w:id="134"/>
    </w:p>
    <w:p w:rsidR="00B40966" w:rsidRDefault="00B40966">
      <w:pPr>
        <w:pStyle w:val="AH5Sec"/>
      </w:pPr>
      <w:bookmarkStart w:id="135" w:name="_Toc87257993"/>
      <w:r>
        <w:rPr>
          <w:rStyle w:val="CharSectNo"/>
        </w:rPr>
        <w:t>75</w:t>
      </w:r>
      <w:bookmarkEnd w:id="135"/>
      <w:r>
        <w:tab/>
        <w:t xml:space="preserve">  </w:t>
      </w:r>
    </w:p>
    <w:p w:rsidR="00B40966" w:rsidRDefault="00B40966">
      <w:pPr>
        <w:pStyle w:val="Amain"/>
        <w:keepLines/>
      </w:pPr>
      <w:r>
        <w:tab/>
        <w:t>(1)</w:t>
      </w:r>
      <w:r>
        <w:tab/>
        <w:t>Wherever, by this part, it is required that a floor, platform, landing, working place, stairway or stairway landing, excavation or hold, or an opening in a floor, roof, platform or landing or that any other place shall be fenced, then the fencing shall be effected by—</w:t>
      </w:r>
    </w:p>
    <w:p w:rsidR="00B40966" w:rsidRDefault="00B40966">
      <w:pPr>
        <w:pStyle w:val="Apara"/>
      </w:pPr>
      <w:r>
        <w:tab/>
        <w:t>(a)</w:t>
      </w:r>
      <w:r>
        <w:tab/>
        <w:t>positively fastening in position uprights or posts of 4 inch by 2 inch timber at a distance of not more than 8 feet apart; and</w:t>
      </w:r>
    </w:p>
    <w:p w:rsidR="00B40966" w:rsidRDefault="00B40966">
      <w:pPr>
        <w:pStyle w:val="Apara"/>
      </w:pPr>
      <w:r>
        <w:tab/>
        <w:t>(b)</w:t>
      </w:r>
      <w:r>
        <w:tab/>
        <w:t>bolting to each upright or post mentioned in paragraph (a) the length or lengths of 4 inch by 2 inch timber that are necessary to form the top guardrail of the fence, the 4 inch by 2 inch timber being bolted at such position to each upright or post that the distance from its top edge to the level of the place being fenced is 3 feet 6 inches; and</w:t>
      </w:r>
    </w:p>
    <w:p w:rsidR="00B40966" w:rsidRDefault="00B40966">
      <w:pPr>
        <w:pStyle w:val="Apara"/>
      </w:pPr>
      <w:r>
        <w:tab/>
        <w:t>(c)</w:t>
      </w:r>
      <w:r>
        <w:tab/>
        <w:t>positively fastening to the upright or posts mentioned in paragraph (a) toe or fender boards, of not less than 9 inches by 1 inch timber, in such way that the bottom edge of each toe or fender board is level with the place being fenced and so that an opening or gap is not left between the bottom edge of the toe or fender board and the surface of the place being fenced.</w:t>
      </w:r>
    </w:p>
    <w:p w:rsidR="00B40966" w:rsidRDefault="00B40966">
      <w:pPr>
        <w:pStyle w:val="Amain"/>
      </w:pPr>
      <w:r>
        <w:tab/>
        <w:t>(2)</w:t>
      </w:r>
      <w:r>
        <w:tab/>
        <w:t>Alternatively the fence may be constructed of steel members, provided that each steel member used possesses the strength and rigidity of its corresponding timber member as provided in this section.</w:t>
      </w:r>
    </w:p>
    <w:p w:rsidR="00B40966" w:rsidRDefault="00B40966">
      <w:pPr>
        <w:pStyle w:val="Amain"/>
      </w:pPr>
      <w:r>
        <w:tab/>
        <w:t>(3)</w:t>
      </w:r>
      <w:r>
        <w:tab/>
        <w:t>As a further alternative the 4 inch by 2 inch guardrail may be replaced by a flexible steel wire rope, or by a fibre rope not less than 3 inches in circumference, provided that the rope is kept taut and is properly secured to the uprights or posts.</w:t>
      </w:r>
    </w:p>
    <w:p w:rsidR="00B40966" w:rsidRDefault="00B40966">
      <w:pPr>
        <w:pStyle w:val="02Text"/>
        <w:sectPr w:rsidR="00B40966">
          <w:headerReference w:type="even" r:id="rId19"/>
          <w:headerReference w:type="default" r:id="rId20"/>
          <w:footerReference w:type="even" r:id="rId21"/>
          <w:footerReference w:type="default" r:id="rId22"/>
          <w:footerReference w:type="first" r:id="rId23"/>
          <w:pgSz w:w="11907" w:h="16839" w:code="9"/>
          <w:pgMar w:top="3000" w:right="1900" w:bottom="2500" w:left="2300" w:header="2480" w:footer="2100" w:gutter="0"/>
          <w:pgNumType w:start="1"/>
          <w:cols w:space="720"/>
          <w:titlePg/>
          <w:docGrid w:linePitch="254"/>
        </w:sectPr>
      </w:pPr>
    </w:p>
    <w:p w:rsidR="00B40966" w:rsidRDefault="00B40966">
      <w:pPr>
        <w:pStyle w:val="AH3Div"/>
        <w:keepLines/>
      </w:pPr>
      <w:bookmarkStart w:id="136" w:name="_Toc87257994"/>
      <w:r>
        <w:rPr>
          <w:rStyle w:val="CharDivNo"/>
        </w:rPr>
        <w:t>Division 5.2</w:t>
      </w:r>
      <w:r>
        <w:rPr>
          <w:rStyle w:val="CharDivText"/>
        </w:rPr>
        <w:tab/>
        <w:t>Constructing, erecting, adding to, altering, repairing, finishing, painting and cleaning buildings and structures</w:t>
      </w:r>
      <w:bookmarkEnd w:id="136"/>
    </w:p>
    <w:p w:rsidR="00B40966" w:rsidRDefault="00B40966">
      <w:pPr>
        <w:pStyle w:val="AH4SubDiv"/>
        <w:sectPr w:rsidR="00B40966">
          <w:headerReference w:type="even" r:id="rId24"/>
          <w:headerReference w:type="default" r:id="rId25"/>
          <w:footerReference w:type="even" r:id="rId26"/>
          <w:footerReference w:type="default" r:id="rId27"/>
          <w:footerReference w:type="first" r:id="rId28"/>
          <w:pgSz w:w="11907" w:h="16839" w:code="9"/>
          <w:pgMar w:top="3000" w:right="1900" w:bottom="2500" w:left="2300" w:header="2480" w:footer="2100" w:gutter="0"/>
          <w:cols w:space="720"/>
          <w:docGrid w:linePitch="254"/>
        </w:sectPr>
      </w:pPr>
      <w:bookmarkStart w:id="137" w:name="_Toc87257995"/>
    </w:p>
    <w:p w:rsidR="00B40966" w:rsidRDefault="00B40966">
      <w:pPr>
        <w:pStyle w:val="AH4SubDiv"/>
      </w:pPr>
      <w:r>
        <w:t>Stability of walls</w:t>
      </w:r>
      <w:bookmarkEnd w:id="137"/>
    </w:p>
    <w:p w:rsidR="00B40966" w:rsidRDefault="00B40966">
      <w:pPr>
        <w:pStyle w:val="AH5Sec"/>
      </w:pPr>
      <w:bookmarkStart w:id="138" w:name="_Toc87257996"/>
      <w:r>
        <w:rPr>
          <w:rStyle w:val="CharSectNo"/>
        </w:rPr>
        <w:t>77</w:t>
      </w:r>
      <w:bookmarkEnd w:id="138"/>
      <w:r>
        <w:tab/>
        <w:t xml:space="preserve">  </w:t>
      </w:r>
    </w:p>
    <w:p w:rsidR="00B40966" w:rsidRDefault="00B40966">
      <w:pPr>
        <w:pStyle w:val="Amainreturn"/>
      </w:pPr>
      <w:r>
        <w:t>No wall or part of a wall shall, during its construction, be built to a greater height than 5 feet or 6 times its thickness, whichever is the greater, unless it is supported by temporary shores, proper scaffolding or buttresses at intervals of length not greater than 30 times its thickness until roof or floor ties or cross walls are in position.</w:t>
      </w:r>
    </w:p>
    <w:p w:rsidR="00B40966" w:rsidRDefault="00B40966">
      <w:pPr>
        <w:pStyle w:val="AH4SubDiv"/>
      </w:pPr>
      <w:bookmarkStart w:id="139" w:name="_Toc87257997"/>
      <w:r>
        <w:t>Protection in liftwells and stairwells</w:t>
      </w:r>
      <w:bookmarkEnd w:id="139"/>
    </w:p>
    <w:p w:rsidR="00B40966" w:rsidRDefault="00B40966">
      <w:pPr>
        <w:pStyle w:val="AH5Sec"/>
      </w:pPr>
      <w:bookmarkStart w:id="140" w:name="_Toc87257998"/>
      <w:r>
        <w:rPr>
          <w:rStyle w:val="CharSectNo"/>
        </w:rPr>
        <w:t>78</w:t>
      </w:r>
      <w:bookmarkEnd w:id="140"/>
      <w:r>
        <w:tab/>
        <w:t xml:space="preserve">  </w:t>
      </w:r>
    </w:p>
    <w:p w:rsidR="00B40966" w:rsidRDefault="00B40966">
      <w:pPr>
        <w:pStyle w:val="Amain"/>
      </w:pPr>
      <w:r>
        <w:tab/>
        <w:t>(1)</w:t>
      </w:r>
      <w:r>
        <w:tab/>
        <w:t>When workers are working in a lift-well or stair-well during the construction, alteration or equipping of a building, protection shall be provided not more than 2 stories above nor 1 storey below the level at which the workers are working.</w:t>
      </w:r>
    </w:p>
    <w:p w:rsidR="00B40966" w:rsidRDefault="00B40966">
      <w:pPr>
        <w:pStyle w:val="Amain"/>
      </w:pPr>
      <w:r>
        <w:tab/>
        <w:t>(2)</w:t>
      </w:r>
      <w:r>
        <w:tab/>
        <w:t>The protection shall be of timber planks not less than 2 inches thick, laid across the lift-well or stair-well.</w:t>
      </w:r>
    </w:p>
    <w:p w:rsidR="00B40966" w:rsidRDefault="00B40966">
      <w:pPr>
        <w:pStyle w:val="AH4SubDiv"/>
      </w:pPr>
      <w:bookmarkStart w:id="141" w:name="_Toc87257999"/>
      <w:r>
        <w:t>Temporary ramps</w:t>
      </w:r>
      <w:bookmarkEnd w:id="141"/>
    </w:p>
    <w:p w:rsidR="00B40966" w:rsidRDefault="00B40966">
      <w:pPr>
        <w:pStyle w:val="AH5Sec"/>
      </w:pPr>
      <w:bookmarkStart w:id="142" w:name="_Toc87258000"/>
      <w:r>
        <w:rPr>
          <w:rStyle w:val="CharSectNo"/>
        </w:rPr>
        <w:t>79</w:t>
      </w:r>
      <w:bookmarkEnd w:id="142"/>
      <w:r>
        <w:tab/>
        <w:t xml:space="preserve">  </w:t>
      </w:r>
    </w:p>
    <w:p w:rsidR="00B40966" w:rsidRDefault="00B40966">
      <w:pPr>
        <w:pStyle w:val="Amain"/>
      </w:pPr>
      <w:r>
        <w:tab/>
        <w:t>(1)</w:t>
      </w:r>
      <w:r>
        <w:tab/>
        <w:t>A temporary ramp built to provide access for vehicles to the site of a building work shall have a grade safe for vehicles using it and shall possess adequate strength and stability under the effects of the maximum loads to which it is subjected.</w:t>
      </w:r>
    </w:p>
    <w:p w:rsidR="00B40966" w:rsidRDefault="00B40966">
      <w:pPr>
        <w:pStyle w:val="Amain"/>
      </w:pPr>
      <w:r>
        <w:tab/>
        <w:t>(2)</w:t>
      </w:r>
      <w:r>
        <w:tab/>
        <w:t>The minimum width of every such ramp shall be 10 feet and a guide or kerb, at least 9 inches in height and 6 inches in width, shall be positively fixed in position at each side.</w:t>
      </w:r>
    </w:p>
    <w:p w:rsidR="00B40966" w:rsidRDefault="00B40966">
      <w:pPr>
        <w:pStyle w:val="AH4SubDiv"/>
      </w:pPr>
      <w:bookmarkStart w:id="143" w:name="_Toc87258001"/>
      <w:r>
        <w:t>Provision and use of ladders and stepladders</w:t>
      </w:r>
      <w:bookmarkEnd w:id="143"/>
    </w:p>
    <w:p w:rsidR="00B40966" w:rsidRDefault="00B40966">
      <w:pPr>
        <w:pStyle w:val="AH5Sec"/>
      </w:pPr>
      <w:bookmarkStart w:id="144" w:name="_Toc87258002"/>
      <w:r>
        <w:rPr>
          <w:rStyle w:val="CharSectNo"/>
        </w:rPr>
        <w:t>80</w:t>
      </w:r>
      <w:bookmarkEnd w:id="144"/>
      <w:r>
        <w:tab/>
        <w:t xml:space="preserve">  </w:t>
      </w:r>
    </w:p>
    <w:p w:rsidR="00B40966" w:rsidRDefault="00B40966">
      <w:pPr>
        <w:pStyle w:val="Assectheading"/>
      </w:pPr>
      <w:r>
        <w:t>Definitions</w:t>
      </w:r>
    </w:p>
    <w:p w:rsidR="00B40966" w:rsidRDefault="00B40966">
      <w:pPr>
        <w:pStyle w:val="Amain"/>
        <w:rPr>
          <w:color w:val="000000"/>
        </w:rPr>
      </w:pPr>
      <w:r>
        <w:rPr>
          <w:color w:val="000000"/>
        </w:rPr>
        <w:tab/>
        <w:t>(1)</w:t>
      </w:r>
      <w:r>
        <w:rPr>
          <w:color w:val="000000"/>
        </w:rPr>
        <w:tab/>
        <w:t>In this section:</w:t>
      </w:r>
    </w:p>
    <w:p w:rsidR="00B40966" w:rsidRDefault="00B40966">
      <w:pPr>
        <w:pStyle w:val="aDef"/>
      </w:pPr>
      <w:r>
        <w:rPr>
          <w:rStyle w:val="charBoldItals"/>
        </w:rPr>
        <w:t>ladder</w:t>
      </w:r>
      <w:r>
        <w:t>—see section 142.</w:t>
      </w:r>
    </w:p>
    <w:p w:rsidR="00B40966" w:rsidRDefault="00B40966">
      <w:pPr>
        <w:pStyle w:val="aDef"/>
      </w:pPr>
      <w:r>
        <w:rPr>
          <w:rStyle w:val="charBoldItals"/>
        </w:rPr>
        <w:t>stepladder</w:t>
      </w:r>
      <w:r>
        <w:t>—see section 142.</w:t>
      </w:r>
    </w:p>
    <w:p w:rsidR="00B40966" w:rsidRDefault="00B40966">
      <w:pPr>
        <w:pStyle w:val="Assectheading"/>
        <w:rPr>
          <w:i w:val="0"/>
        </w:rPr>
      </w:pPr>
      <w:r>
        <w:rPr>
          <w:rStyle w:val="charItals"/>
          <w:i/>
        </w:rPr>
        <w:t>Design and construction</w:t>
      </w:r>
    </w:p>
    <w:p w:rsidR="00B40966" w:rsidRDefault="00B40966">
      <w:pPr>
        <w:pStyle w:val="Amain"/>
        <w:rPr>
          <w:color w:val="000000"/>
        </w:rPr>
      </w:pPr>
      <w:r>
        <w:rPr>
          <w:color w:val="000000"/>
        </w:rPr>
        <w:tab/>
        <w:t>(2)</w:t>
      </w:r>
      <w:r>
        <w:rPr>
          <w:color w:val="000000"/>
        </w:rPr>
        <w:tab/>
        <w:t>Every ladder and every stepladder used for any purpose covered by this regulation shall be designed and constructed as prescribed by this regulation.</w:t>
      </w:r>
    </w:p>
    <w:p w:rsidR="00B40966" w:rsidRDefault="00B40966">
      <w:pPr>
        <w:pStyle w:val="Assectheading"/>
        <w:rPr>
          <w:i w:val="0"/>
        </w:rPr>
      </w:pPr>
      <w:r>
        <w:rPr>
          <w:rStyle w:val="charItals"/>
          <w:i/>
        </w:rPr>
        <w:t>To be provided and maintained</w:t>
      </w:r>
    </w:p>
    <w:p w:rsidR="00B40966" w:rsidRDefault="00B40966">
      <w:pPr>
        <w:pStyle w:val="Amain"/>
        <w:rPr>
          <w:color w:val="000000"/>
        </w:rPr>
      </w:pPr>
      <w:r>
        <w:rPr>
          <w:color w:val="000000"/>
        </w:rPr>
        <w:tab/>
        <w:t>(3)</w:t>
      </w:r>
      <w:r>
        <w:rPr>
          <w:color w:val="000000"/>
        </w:rPr>
        <w:tab/>
        <w:t>Any person who directly or by his or her agents or servants carries out any building work shall provide and maintain in place during working hours the ladders that are necessary to provide safe means of access to all floor levels and to all places where any person has to work until the time that temporary or permanent stairways are completed and are available as such safe means of access.</w:t>
      </w:r>
    </w:p>
    <w:p w:rsidR="00B40966" w:rsidRDefault="00B40966">
      <w:pPr>
        <w:pStyle w:val="Assectheading"/>
        <w:rPr>
          <w:i w:val="0"/>
        </w:rPr>
      </w:pPr>
      <w:r>
        <w:rPr>
          <w:rStyle w:val="charItals"/>
          <w:i/>
        </w:rPr>
        <w:t>Placing of ladders</w:t>
      </w:r>
    </w:p>
    <w:p w:rsidR="00B40966" w:rsidRDefault="00B40966">
      <w:pPr>
        <w:pStyle w:val="Amain"/>
      </w:pPr>
      <w:r>
        <w:rPr>
          <w:color w:val="000000"/>
        </w:rPr>
        <w:tab/>
        <w:t>(4)</w:t>
      </w:r>
      <w:r>
        <w:rPr>
          <w:color w:val="000000"/>
        </w:rPr>
        <w:tab/>
        <w:t>Ladders shall be placed so that—</w:t>
      </w:r>
    </w:p>
    <w:p w:rsidR="00B40966" w:rsidRDefault="00B40966">
      <w:pPr>
        <w:pStyle w:val="Apara"/>
      </w:pPr>
      <w:r>
        <w:tab/>
        <w:t>(a)</w:t>
      </w:r>
      <w:r>
        <w:tab/>
        <w:t>each side rail or stile has a level and firm footing and the top rest for each side rail or stile is level, reasonably rigid and of adequate strength to support the maximum applied load; and</w:t>
      </w:r>
    </w:p>
    <w:p w:rsidR="00B40966" w:rsidRDefault="00B40966">
      <w:pPr>
        <w:pStyle w:val="Apara"/>
      </w:pPr>
      <w:r>
        <w:tab/>
        <w:t>(b)</w:t>
      </w:r>
      <w:r>
        <w:tab/>
        <w:t>the side rails or stiles are not supported by boxes, loose bricks, or other loose packing.</w:t>
      </w:r>
    </w:p>
    <w:p w:rsidR="00B40966" w:rsidRDefault="00B40966">
      <w:pPr>
        <w:pStyle w:val="Assectheading"/>
        <w:rPr>
          <w:i w:val="0"/>
        </w:rPr>
      </w:pPr>
      <w:r>
        <w:rPr>
          <w:rStyle w:val="charItals"/>
          <w:i/>
        </w:rPr>
        <w:t>In front of doors</w:t>
      </w:r>
    </w:p>
    <w:p w:rsidR="00B40966" w:rsidRDefault="00B40966">
      <w:pPr>
        <w:pStyle w:val="Amain"/>
        <w:rPr>
          <w:color w:val="000000"/>
        </w:rPr>
      </w:pPr>
      <w:r>
        <w:rPr>
          <w:color w:val="000000"/>
        </w:rPr>
        <w:tab/>
        <w:t>(5)</w:t>
      </w:r>
      <w:r>
        <w:rPr>
          <w:color w:val="000000"/>
        </w:rPr>
        <w:tab/>
        <w:t>A ladder shall not be placed in front of a door, opening towards the ladder, unless the door is fastened open or is locked or guarded.</w:t>
      </w:r>
    </w:p>
    <w:p w:rsidR="00B40966" w:rsidRDefault="00B40966">
      <w:pPr>
        <w:pStyle w:val="Assectheading"/>
        <w:rPr>
          <w:i w:val="0"/>
        </w:rPr>
      </w:pPr>
      <w:r>
        <w:rPr>
          <w:rStyle w:val="charItals"/>
          <w:i/>
        </w:rPr>
        <w:t>To be securely fixed</w:t>
      </w:r>
    </w:p>
    <w:p w:rsidR="00B40966" w:rsidRDefault="00B40966">
      <w:pPr>
        <w:pStyle w:val="Amain"/>
        <w:rPr>
          <w:color w:val="000000"/>
        </w:rPr>
      </w:pPr>
      <w:r>
        <w:rPr>
          <w:color w:val="000000"/>
        </w:rPr>
        <w:tab/>
        <w:t>(6)</w:t>
      </w:r>
      <w:r>
        <w:rPr>
          <w:color w:val="000000"/>
        </w:rPr>
        <w:tab/>
        <w:t>Every ladder shall so far as practicable be securely fixed so that it cannot move either from its top or from its bottom points of rest.</w:t>
      </w:r>
    </w:p>
    <w:p w:rsidR="00B40966" w:rsidRDefault="00B40966">
      <w:pPr>
        <w:pStyle w:val="Amain"/>
        <w:rPr>
          <w:color w:val="000000"/>
        </w:rPr>
      </w:pPr>
      <w:r>
        <w:rPr>
          <w:color w:val="000000"/>
        </w:rPr>
        <w:tab/>
        <w:t>(7)</w:t>
      </w:r>
      <w:r>
        <w:rPr>
          <w:color w:val="000000"/>
        </w:rPr>
        <w:tab/>
        <w:t>If it cannot be so securely fixed it shall where practicable be securely fixed at the base or if such fixing at the base is impracticable a person shall be stationed at the base of the ladder to prevent slipping.</w:t>
      </w:r>
    </w:p>
    <w:p w:rsidR="00B40966" w:rsidRDefault="00B40966">
      <w:pPr>
        <w:pStyle w:val="Assectheading"/>
        <w:rPr>
          <w:i w:val="0"/>
        </w:rPr>
      </w:pPr>
      <w:r>
        <w:rPr>
          <w:rStyle w:val="charItals"/>
          <w:i/>
        </w:rPr>
        <w:t>In public thoroughfares</w:t>
      </w:r>
    </w:p>
    <w:p w:rsidR="00B40966" w:rsidRDefault="00B40966">
      <w:pPr>
        <w:pStyle w:val="Amain"/>
        <w:rPr>
          <w:color w:val="000000"/>
        </w:rPr>
      </w:pPr>
      <w:r>
        <w:rPr>
          <w:color w:val="000000"/>
        </w:rPr>
        <w:tab/>
        <w:t>(8)</w:t>
      </w:r>
      <w:r>
        <w:rPr>
          <w:color w:val="000000"/>
        </w:rPr>
        <w:tab/>
        <w:t>Effective means shall be provided to prevent the displacement of a ladder set up in a public thoroughfare or in any other place where accidental collision with the ladder may occur.</w:t>
      </w:r>
    </w:p>
    <w:p w:rsidR="00B40966" w:rsidRDefault="00B40966">
      <w:pPr>
        <w:pStyle w:val="Assectheading"/>
        <w:rPr>
          <w:i w:val="0"/>
        </w:rPr>
      </w:pPr>
      <w:r>
        <w:rPr>
          <w:rStyle w:val="charItals"/>
          <w:i/>
        </w:rPr>
        <w:t>Placed against window frames</w:t>
      </w:r>
    </w:p>
    <w:p w:rsidR="00B40966" w:rsidRDefault="00B40966">
      <w:pPr>
        <w:pStyle w:val="Amain"/>
        <w:rPr>
          <w:color w:val="000000"/>
        </w:rPr>
      </w:pPr>
      <w:r>
        <w:rPr>
          <w:color w:val="000000"/>
        </w:rPr>
        <w:tab/>
        <w:t>(9)</w:t>
      </w:r>
      <w:r>
        <w:rPr>
          <w:color w:val="000000"/>
        </w:rPr>
        <w:tab/>
        <w:t>A ladder so placed that its top end rests against a window frame shall be fitted with a board fixed to its top end the board being of such dimensions that the applied load is safely distributed over the window frame.</w:t>
      </w:r>
    </w:p>
    <w:p w:rsidR="00B40966" w:rsidRDefault="00B40966">
      <w:pPr>
        <w:pStyle w:val="Assectheading"/>
        <w:rPr>
          <w:i w:val="0"/>
        </w:rPr>
      </w:pPr>
      <w:r>
        <w:rPr>
          <w:rStyle w:val="charItals"/>
          <w:i/>
        </w:rPr>
        <w:t>Footings for stepladders</w:t>
      </w:r>
    </w:p>
    <w:p w:rsidR="00B40966" w:rsidRDefault="00B40966">
      <w:pPr>
        <w:pStyle w:val="Amain"/>
        <w:rPr>
          <w:color w:val="000000"/>
        </w:rPr>
      </w:pPr>
      <w:r>
        <w:rPr>
          <w:color w:val="000000"/>
        </w:rPr>
        <w:tab/>
        <w:t>(10)</w:t>
      </w:r>
      <w:r>
        <w:rPr>
          <w:color w:val="000000"/>
        </w:rPr>
        <w:tab/>
        <w:t>A stepladder shall be set up on a level and firm footing and shall not be stood on loose bricks or other loose packing.</w:t>
      </w:r>
    </w:p>
    <w:p w:rsidR="00B40966" w:rsidRDefault="00B40966">
      <w:pPr>
        <w:pStyle w:val="Assectheading"/>
        <w:rPr>
          <w:i w:val="0"/>
        </w:rPr>
      </w:pPr>
      <w:r>
        <w:rPr>
          <w:rStyle w:val="charItals"/>
          <w:i/>
        </w:rPr>
        <w:t>Ladders not to support scaffolding planks</w:t>
      </w:r>
    </w:p>
    <w:p w:rsidR="00B40966" w:rsidRDefault="00B40966">
      <w:pPr>
        <w:pStyle w:val="Amain"/>
        <w:rPr>
          <w:color w:val="000000"/>
        </w:rPr>
      </w:pPr>
      <w:r>
        <w:rPr>
          <w:color w:val="000000"/>
        </w:rPr>
        <w:tab/>
        <w:t>(11)</w:t>
      </w:r>
      <w:r>
        <w:rPr>
          <w:color w:val="000000"/>
        </w:rPr>
        <w:tab/>
        <w:t>No ladder except a trestle ladder shall be used to support a plank on which a person has to work.</w:t>
      </w:r>
    </w:p>
    <w:p w:rsidR="00B40966" w:rsidRDefault="00B40966">
      <w:pPr>
        <w:pStyle w:val="Assectheading"/>
        <w:rPr>
          <w:i w:val="0"/>
        </w:rPr>
      </w:pPr>
      <w:r>
        <w:rPr>
          <w:rStyle w:val="charItals"/>
          <w:i/>
        </w:rPr>
        <w:t>Height above landings</w:t>
      </w:r>
    </w:p>
    <w:p w:rsidR="00B40966" w:rsidRDefault="00B40966">
      <w:pPr>
        <w:pStyle w:val="Amain"/>
        <w:rPr>
          <w:color w:val="000000"/>
        </w:rPr>
      </w:pPr>
      <w:r>
        <w:rPr>
          <w:color w:val="000000"/>
        </w:rPr>
        <w:tab/>
        <w:t>(12)</w:t>
      </w:r>
      <w:r>
        <w:rPr>
          <w:color w:val="000000"/>
        </w:rPr>
        <w:tab/>
        <w:t>Ladders used for the purposes mentioned in subsection (3) shall rise to a height of at least 3 feet 6 inches above the place of landing for persons using the ladders.</w:t>
      </w:r>
    </w:p>
    <w:p w:rsidR="00B40966" w:rsidRDefault="00B40966">
      <w:pPr>
        <w:pStyle w:val="Assectheading"/>
        <w:rPr>
          <w:i w:val="0"/>
        </w:rPr>
      </w:pPr>
      <w:r>
        <w:rPr>
          <w:rStyle w:val="charItals"/>
          <w:i/>
        </w:rPr>
        <w:t>Height when used as a working place</w:t>
      </w:r>
    </w:p>
    <w:p w:rsidR="00B40966" w:rsidRDefault="00B40966">
      <w:pPr>
        <w:pStyle w:val="Amain"/>
        <w:rPr>
          <w:color w:val="000000"/>
        </w:rPr>
      </w:pPr>
      <w:r>
        <w:rPr>
          <w:color w:val="000000"/>
        </w:rPr>
        <w:tab/>
        <w:t>(13)</w:t>
      </w:r>
      <w:r>
        <w:rPr>
          <w:color w:val="000000"/>
        </w:rPr>
        <w:tab/>
        <w:t>A ladder used as a place from which a person has to work shall rise to a height of at least 3 feet 6 inches above the highest rung to be reached by the feet of the person working on the ladder or if that is impracticable then to the greatest practicable height.</w:t>
      </w:r>
    </w:p>
    <w:p w:rsidR="00B40966" w:rsidRDefault="00B40966">
      <w:pPr>
        <w:pStyle w:val="Assectheading"/>
        <w:rPr>
          <w:i w:val="0"/>
        </w:rPr>
      </w:pPr>
      <w:r>
        <w:rPr>
          <w:rStyle w:val="charItals"/>
          <w:i/>
        </w:rPr>
        <w:t>Landing places</w:t>
      </w:r>
    </w:p>
    <w:p w:rsidR="00B40966" w:rsidRDefault="00B40966">
      <w:pPr>
        <w:pStyle w:val="Amain"/>
      </w:pPr>
      <w:r>
        <w:rPr>
          <w:color w:val="000000"/>
        </w:rPr>
        <w:tab/>
        <w:t>(14)</w:t>
      </w:r>
      <w:r>
        <w:rPr>
          <w:color w:val="000000"/>
        </w:rPr>
        <w:tab/>
        <w:t>A landing place at least 27 inches in width and 48 inches in length shall be provided at the head and base of every ladder for the purposes mentioned in subsection (3) and if any person is liable to fall for a distance of more than 6 feet from it then the landing place shall be fenced in the way mentioned in section 75.</w:t>
      </w:r>
    </w:p>
    <w:p w:rsidR="00B40966" w:rsidRDefault="00B40966">
      <w:pPr>
        <w:pStyle w:val="Amain"/>
      </w:pPr>
      <w:r>
        <w:tab/>
        <w:t>(15)</w:t>
      </w:r>
      <w:r>
        <w:tab/>
        <w:t>If a ladder passes through an opening in the floor of a landing place, the opening shall be as small as is reasonably practicable.</w:t>
      </w:r>
    </w:p>
    <w:p w:rsidR="00B40966" w:rsidRDefault="00B40966">
      <w:pPr>
        <w:pStyle w:val="Amain"/>
      </w:pPr>
      <w:r>
        <w:tab/>
        <w:t>(16)</w:t>
      </w:r>
      <w:r>
        <w:tab/>
        <w:t>Every ladder or run of ladders rising a vertical distance of 20 feet or over shall be provided with an intermediate landing place or places so that the vertical distance between any 2 successive landing places shall not exceed 20 feet.</w:t>
      </w:r>
    </w:p>
    <w:p w:rsidR="00B40966" w:rsidRDefault="00B40966">
      <w:pPr>
        <w:pStyle w:val="Assectheading"/>
        <w:rPr>
          <w:i w:val="0"/>
        </w:rPr>
      </w:pPr>
      <w:r>
        <w:rPr>
          <w:rStyle w:val="charItals"/>
          <w:i/>
        </w:rPr>
        <w:t>Angle of ladders</w:t>
      </w:r>
    </w:p>
    <w:p w:rsidR="00B40966" w:rsidRDefault="00B40966">
      <w:pPr>
        <w:pStyle w:val="Amain"/>
        <w:rPr>
          <w:color w:val="000000"/>
        </w:rPr>
      </w:pPr>
      <w:r>
        <w:rPr>
          <w:color w:val="000000"/>
        </w:rPr>
        <w:tab/>
        <w:t>(17)</w:t>
      </w:r>
      <w:r>
        <w:rPr>
          <w:color w:val="000000"/>
        </w:rPr>
        <w:tab/>
        <w:t xml:space="preserve">Every ladder shall, if possible, be used at such an angle that the horizontal distance from the top support to the foot of the ladder is equal to </w:t>
      </w:r>
      <w:r>
        <w:rPr>
          <w:color w:val="000000"/>
          <w:position w:val="6"/>
          <w:sz w:val="18"/>
        </w:rPr>
        <w:t>1</w:t>
      </w:r>
      <w:r>
        <w:rPr>
          <w:color w:val="000000"/>
        </w:rPr>
        <w:t>/</w:t>
      </w:r>
      <w:r>
        <w:rPr>
          <w:color w:val="000000"/>
          <w:sz w:val="18"/>
        </w:rPr>
        <w:t>4</w:t>
      </w:r>
      <w:r>
        <w:rPr>
          <w:color w:val="000000"/>
        </w:rPr>
        <w:t xml:space="preserve"> of the length of the ladder.</w:t>
      </w:r>
    </w:p>
    <w:p w:rsidR="00B40966" w:rsidRDefault="00B40966">
      <w:pPr>
        <w:pStyle w:val="Assectheading"/>
        <w:rPr>
          <w:i w:val="0"/>
        </w:rPr>
      </w:pPr>
      <w:r>
        <w:rPr>
          <w:rStyle w:val="charItals"/>
          <w:i/>
        </w:rPr>
        <w:t>Crowding on ladders</w:t>
      </w:r>
    </w:p>
    <w:p w:rsidR="00B40966" w:rsidRDefault="00B40966">
      <w:pPr>
        <w:pStyle w:val="Amain"/>
        <w:rPr>
          <w:color w:val="000000"/>
        </w:rPr>
      </w:pPr>
      <w:r>
        <w:rPr>
          <w:color w:val="000000"/>
        </w:rPr>
        <w:tab/>
        <w:t>(18)</w:t>
      </w:r>
      <w:r>
        <w:rPr>
          <w:color w:val="000000"/>
        </w:rPr>
        <w:tab/>
        <w:t>Persons shall not crowd together on ladders.</w:t>
      </w:r>
    </w:p>
    <w:p w:rsidR="00B40966" w:rsidRDefault="00B40966">
      <w:pPr>
        <w:pStyle w:val="Assectheading"/>
        <w:rPr>
          <w:i w:val="0"/>
        </w:rPr>
      </w:pPr>
      <w:r>
        <w:rPr>
          <w:rStyle w:val="charItals"/>
          <w:i/>
        </w:rPr>
        <w:t>Separate ladders for ascent and descen</w:t>
      </w:r>
      <w:r>
        <w:rPr>
          <w:i w:val="0"/>
          <w:color w:val="000000"/>
        </w:rPr>
        <w:t>t</w:t>
      </w:r>
    </w:p>
    <w:p w:rsidR="00B40966" w:rsidRDefault="00B40966">
      <w:pPr>
        <w:pStyle w:val="Amain"/>
        <w:rPr>
          <w:color w:val="000000"/>
        </w:rPr>
      </w:pPr>
      <w:r>
        <w:rPr>
          <w:color w:val="000000"/>
        </w:rPr>
        <w:tab/>
        <w:t>(19)</w:t>
      </w:r>
      <w:r>
        <w:rPr>
          <w:color w:val="000000"/>
        </w:rPr>
        <w:tab/>
        <w:t>If, in connection with any building work, traffic conditions on ladders are such as to warrant the use of separate ladders for the purposes of ascent and descent, then such separate ladders shall be provided, designated, and used for such purposes.</w:t>
      </w:r>
    </w:p>
    <w:p w:rsidR="00B40966" w:rsidRDefault="00B40966">
      <w:pPr>
        <w:pStyle w:val="Assectheading"/>
        <w:rPr>
          <w:i w:val="0"/>
        </w:rPr>
      </w:pPr>
      <w:r>
        <w:rPr>
          <w:rStyle w:val="charItals"/>
          <w:i/>
        </w:rPr>
        <w:t>Ladders to be faced</w:t>
      </w:r>
    </w:p>
    <w:p w:rsidR="00B40966" w:rsidRDefault="00B40966">
      <w:pPr>
        <w:pStyle w:val="Amain"/>
        <w:rPr>
          <w:color w:val="000000"/>
        </w:rPr>
      </w:pPr>
      <w:r>
        <w:rPr>
          <w:color w:val="000000"/>
        </w:rPr>
        <w:tab/>
        <w:t>(20)</w:t>
      </w:r>
      <w:r>
        <w:rPr>
          <w:color w:val="000000"/>
        </w:rPr>
        <w:tab/>
        <w:t>Persons using ladders shall face them while in the act of ascending or descending.</w:t>
      </w:r>
    </w:p>
    <w:p w:rsidR="00B40966" w:rsidRDefault="00B40966">
      <w:pPr>
        <w:pStyle w:val="Assectheading"/>
        <w:rPr>
          <w:i w:val="0"/>
        </w:rPr>
      </w:pPr>
      <w:r>
        <w:rPr>
          <w:rStyle w:val="charItals"/>
          <w:i/>
        </w:rPr>
        <w:t>Ladders not to be joined</w:t>
      </w:r>
    </w:p>
    <w:p w:rsidR="00B40966" w:rsidRDefault="00B40966">
      <w:pPr>
        <w:pStyle w:val="Amain"/>
        <w:rPr>
          <w:color w:val="000000"/>
        </w:rPr>
      </w:pPr>
      <w:r>
        <w:rPr>
          <w:color w:val="000000"/>
        </w:rPr>
        <w:tab/>
        <w:t>(21)</w:t>
      </w:r>
      <w:r>
        <w:rPr>
          <w:color w:val="000000"/>
        </w:rPr>
        <w:tab/>
        <w:t>Ladders shall not be joined together to form a longer ladder unless a longer ladder so formed is of the strength and rigidity prescribed for ladders by this regulation.</w:t>
      </w:r>
    </w:p>
    <w:p w:rsidR="00B40966" w:rsidRDefault="00B40966">
      <w:pPr>
        <w:pStyle w:val="Assectheading"/>
        <w:rPr>
          <w:i w:val="0"/>
        </w:rPr>
      </w:pPr>
      <w:r>
        <w:rPr>
          <w:rStyle w:val="charItals"/>
          <w:i/>
        </w:rPr>
        <w:t>Single rail ladders prohibited</w:t>
      </w:r>
    </w:p>
    <w:p w:rsidR="00B40966" w:rsidRDefault="00B40966">
      <w:pPr>
        <w:pStyle w:val="Amain"/>
        <w:rPr>
          <w:color w:val="000000"/>
        </w:rPr>
      </w:pPr>
      <w:r>
        <w:rPr>
          <w:color w:val="000000"/>
        </w:rPr>
        <w:tab/>
        <w:t>(22)</w:t>
      </w:r>
      <w:r>
        <w:rPr>
          <w:color w:val="000000"/>
        </w:rPr>
        <w:tab/>
        <w:t>Ladders made by fastening cleats across a single rail shall not be used.</w:t>
      </w:r>
    </w:p>
    <w:p w:rsidR="00B40966" w:rsidRDefault="00B40966">
      <w:pPr>
        <w:pStyle w:val="Assectheading"/>
        <w:rPr>
          <w:i w:val="0"/>
        </w:rPr>
      </w:pPr>
      <w:r>
        <w:rPr>
          <w:rStyle w:val="charItals"/>
          <w:i/>
        </w:rPr>
        <w:t>Defective ladders and stepladders</w:t>
      </w:r>
    </w:p>
    <w:p w:rsidR="00B40966" w:rsidRDefault="00B40966">
      <w:pPr>
        <w:pStyle w:val="Amain"/>
        <w:keepNext/>
      </w:pPr>
      <w:r>
        <w:rPr>
          <w:color w:val="000000"/>
        </w:rPr>
        <w:tab/>
        <w:t>(23)</w:t>
      </w:r>
      <w:r>
        <w:rPr>
          <w:color w:val="000000"/>
        </w:rPr>
        <w:tab/>
        <w:t>No ladder or stepladder shall be used that has—</w:t>
      </w:r>
    </w:p>
    <w:p w:rsidR="00B40966" w:rsidRDefault="00B40966">
      <w:pPr>
        <w:pStyle w:val="Apara"/>
      </w:pPr>
      <w:r>
        <w:tab/>
        <w:t>(a)</w:t>
      </w:r>
      <w:r>
        <w:tab/>
        <w:t>a missing or a weakened, broken or otherwise defective rung or tread or a broken or defective stile; or</w:t>
      </w:r>
    </w:p>
    <w:p w:rsidR="00B40966" w:rsidRDefault="00B40966">
      <w:pPr>
        <w:pStyle w:val="Apara"/>
      </w:pPr>
      <w:r>
        <w:tab/>
        <w:t>(b)</w:t>
      </w:r>
      <w:r>
        <w:tab/>
        <w:t>any rung or tread that depends for its support solely on nails, spikes, or other similar fixing.</w:t>
      </w:r>
    </w:p>
    <w:p w:rsidR="00B40966" w:rsidRDefault="00B40966">
      <w:pPr>
        <w:pStyle w:val="Assectheading"/>
        <w:rPr>
          <w:i w:val="0"/>
        </w:rPr>
      </w:pPr>
      <w:r>
        <w:rPr>
          <w:rStyle w:val="charItals"/>
          <w:i/>
        </w:rPr>
        <w:t>Prohibited uses of ladders</w:t>
      </w:r>
    </w:p>
    <w:p w:rsidR="00B40966" w:rsidRDefault="00B40966">
      <w:pPr>
        <w:pStyle w:val="Amain"/>
      </w:pPr>
      <w:r>
        <w:rPr>
          <w:color w:val="000000"/>
        </w:rPr>
        <w:tab/>
        <w:t>(24)</w:t>
      </w:r>
      <w:r>
        <w:rPr>
          <w:color w:val="000000"/>
        </w:rPr>
        <w:tab/>
        <w:t>A ladder shall not be used as a guy, brace, tom, strut, beam or skid or for any other than its intended purpose.</w:t>
      </w:r>
    </w:p>
    <w:p w:rsidR="00B40966" w:rsidRDefault="00B40966">
      <w:pPr>
        <w:pStyle w:val="AH4SubDiv"/>
        <w:tabs>
          <w:tab w:val="clear" w:pos="2600"/>
          <w:tab w:val="left" w:pos="0"/>
        </w:tabs>
        <w:ind w:left="0" w:firstLine="0"/>
      </w:pPr>
      <w:bookmarkStart w:id="145" w:name="_Toc87258003"/>
      <w:r>
        <w:t>Cleaning and maintenance of roof monitors, gutters, windows, louvres and ventilators</w:t>
      </w:r>
      <w:bookmarkEnd w:id="145"/>
    </w:p>
    <w:p w:rsidR="00B40966" w:rsidRDefault="00B40966">
      <w:pPr>
        <w:pStyle w:val="AH5Sec"/>
      </w:pPr>
      <w:bookmarkStart w:id="146" w:name="_Toc87258004"/>
      <w:r>
        <w:rPr>
          <w:rStyle w:val="CharSectNo"/>
        </w:rPr>
        <w:t>81</w:t>
      </w:r>
      <w:bookmarkEnd w:id="146"/>
      <w:r>
        <w:tab/>
        <w:t xml:space="preserve">  </w:t>
      </w:r>
    </w:p>
    <w:p w:rsidR="00B40966" w:rsidRDefault="00B40966">
      <w:pPr>
        <w:pStyle w:val="Assectheading"/>
        <w:rPr>
          <w:i w:val="0"/>
        </w:rPr>
      </w:pPr>
      <w:r>
        <w:rPr>
          <w:rStyle w:val="charItals"/>
          <w:i/>
        </w:rPr>
        <w:t>Safe means of access to be provided</w:t>
      </w:r>
    </w:p>
    <w:p w:rsidR="00B40966" w:rsidRDefault="00B40966">
      <w:pPr>
        <w:pStyle w:val="Amain"/>
        <w:rPr>
          <w:color w:val="000000"/>
        </w:rPr>
      </w:pPr>
      <w:r>
        <w:rPr>
          <w:color w:val="000000"/>
        </w:rPr>
        <w:tab/>
        <w:t>(1)</w:t>
      </w:r>
      <w:r>
        <w:rPr>
          <w:color w:val="000000"/>
        </w:rPr>
        <w:tab/>
        <w:t>The owner of any building (other than a private domestic dwelling house) or of any structure shall provide and maintain in good order and condition, on all roofs of it permanent means of safe access to any monitors, gutters, windows, louvres, ventilators or other fixtures, parts, or equipment that require periodical cleaning or maintenance.</w:t>
      </w:r>
    </w:p>
    <w:p w:rsidR="00B40966" w:rsidRDefault="00B40966">
      <w:pPr>
        <w:pStyle w:val="Assectheading"/>
        <w:rPr>
          <w:i w:val="0"/>
        </w:rPr>
      </w:pPr>
      <w:r>
        <w:rPr>
          <w:rStyle w:val="charItals"/>
          <w:i/>
        </w:rPr>
        <w:t>Catwalks</w:t>
      </w:r>
    </w:p>
    <w:p w:rsidR="00B40966" w:rsidRDefault="00B40966">
      <w:pPr>
        <w:pStyle w:val="Amain"/>
        <w:rPr>
          <w:color w:val="000000"/>
        </w:rPr>
      </w:pPr>
      <w:r>
        <w:rPr>
          <w:color w:val="000000"/>
        </w:rPr>
        <w:tab/>
        <w:t>(2)</w:t>
      </w:r>
      <w:r>
        <w:rPr>
          <w:color w:val="000000"/>
        </w:rPr>
        <w:tab/>
        <w:t>If catwalks are provided for the purposes mentioned in subsection (1), the catwalks shall be of hardwood or other approved material.</w:t>
      </w:r>
    </w:p>
    <w:p w:rsidR="00B40966" w:rsidRDefault="00B40966">
      <w:pPr>
        <w:pStyle w:val="Amain"/>
      </w:pPr>
      <w:r>
        <w:rPr>
          <w:color w:val="000000"/>
        </w:rPr>
        <w:tab/>
        <w:t>(3)</w:t>
      </w:r>
      <w:r>
        <w:rPr>
          <w:color w:val="000000"/>
        </w:rPr>
        <w:tab/>
        <w:t>They shall be not less than 10 inches in width and if of hardwood not less than 2 inches in thickness.</w:t>
      </w:r>
    </w:p>
    <w:p w:rsidR="00B40966" w:rsidRDefault="00B40966">
      <w:pPr>
        <w:pStyle w:val="Amain"/>
      </w:pPr>
      <w:r>
        <w:tab/>
        <w:t>(4)</w:t>
      </w:r>
      <w:r>
        <w:tab/>
        <w:t>The upper surfaces of all catwalks shall be approximately horizontal in transverse planes and the surfaces shall be flat and free from obstructions or projections.</w:t>
      </w:r>
    </w:p>
    <w:p w:rsidR="00B40966" w:rsidRDefault="00B40966">
      <w:pPr>
        <w:pStyle w:val="Amain"/>
      </w:pPr>
      <w:r>
        <w:tab/>
        <w:t>(5)</w:t>
      </w:r>
      <w:r>
        <w:tab/>
        <w:t>Catwalks shall be adequately supported and positively and strongly secured in position.</w:t>
      </w:r>
    </w:p>
    <w:p w:rsidR="00B40966" w:rsidRDefault="00B40966">
      <w:pPr>
        <w:pStyle w:val="Amain"/>
      </w:pPr>
      <w:r>
        <w:tab/>
        <w:t>(6)</w:t>
      </w:r>
      <w:r>
        <w:tab/>
        <w:t>If catwalks are inclined longitudinally at more than 10° to the horizontal, or if they are so placed that a person, or object could fall a distance of more than 6 feet from them, they shall be fenced in accordance with section 75.</w:t>
      </w:r>
    </w:p>
    <w:p w:rsidR="00B40966" w:rsidRDefault="00B40966">
      <w:pPr>
        <w:pStyle w:val="AH4SubDiv"/>
      </w:pPr>
      <w:bookmarkStart w:id="147" w:name="_Toc87258005"/>
      <w:r>
        <w:t>Window cleaning</w:t>
      </w:r>
      <w:bookmarkEnd w:id="147"/>
    </w:p>
    <w:p w:rsidR="00B40966" w:rsidRDefault="00B40966">
      <w:pPr>
        <w:pStyle w:val="AH5Sec"/>
      </w:pPr>
      <w:bookmarkStart w:id="148" w:name="_Toc87258006"/>
      <w:r>
        <w:rPr>
          <w:rStyle w:val="CharSectNo"/>
        </w:rPr>
        <w:t>82</w:t>
      </w:r>
      <w:bookmarkEnd w:id="148"/>
      <w:r>
        <w:tab/>
        <w:t xml:space="preserve">  </w:t>
      </w:r>
    </w:p>
    <w:p w:rsidR="00B40966" w:rsidRDefault="00B40966">
      <w:pPr>
        <w:pStyle w:val="Assectheading"/>
        <w:rPr>
          <w:i w:val="0"/>
        </w:rPr>
      </w:pPr>
      <w:r>
        <w:rPr>
          <w:rStyle w:val="charItals"/>
          <w:i/>
        </w:rPr>
        <w:t>Definitions</w:t>
      </w:r>
    </w:p>
    <w:p w:rsidR="00B40966" w:rsidRDefault="00B40966">
      <w:pPr>
        <w:pStyle w:val="Amain"/>
        <w:rPr>
          <w:color w:val="000000"/>
        </w:rPr>
      </w:pPr>
      <w:r>
        <w:rPr>
          <w:color w:val="000000"/>
        </w:rPr>
        <w:tab/>
        <w:t>(1)</w:t>
      </w:r>
      <w:r>
        <w:rPr>
          <w:color w:val="000000"/>
        </w:rPr>
        <w:tab/>
        <w:t>In this section:</w:t>
      </w:r>
    </w:p>
    <w:p w:rsidR="00B40966" w:rsidRDefault="00B40966">
      <w:pPr>
        <w:pStyle w:val="aDef"/>
      </w:pPr>
      <w:r>
        <w:rPr>
          <w:rStyle w:val="charBoldItals"/>
        </w:rPr>
        <w:t>anchor</w:t>
      </w:r>
      <w:r>
        <w:t xml:space="preserve"> means a fitting secured to a window frame or wall to which fitting a safety strap or line terminal is or is intended to be attached.</w:t>
      </w:r>
    </w:p>
    <w:p w:rsidR="00B40966" w:rsidRDefault="00B40966">
      <w:pPr>
        <w:pStyle w:val="aDef"/>
      </w:pPr>
      <w:r>
        <w:rPr>
          <w:rStyle w:val="charBoldItals"/>
        </w:rPr>
        <w:t>body belt</w:t>
      </w:r>
      <w:r>
        <w:rPr>
          <w:b/>
        </w:rPr>
        <w:t xml:space="preserve"> </w:t>
      </w:r>
      <w:r>
        <w:t>means a belt constructed to fit the body, at or about the waistline, of a person engaged in window cleaning.</w:t>
      </w:r>
    </w:p>
    <w:p w:rsidR="00B40966" w:rsidRDefault="00B40966">
      <w:pPr>
        <w:pStyle w:val="aDef"/>
      </w:pPr>
      <w:r>
        <w:rPr>
          <w:rStyle w:val="charBoldItals"/>
        </w:rPr>
        <w:t>safety belt</w:t>
      </w:r>
      <w:r>
        <w:t xml:space="preserve"> means the complete assembly of body belt, safety strap or line and all fittings.</w:t>
      </w:r>
    </w:p>
    <w:p w:rsidR="00B40966" w:rsidRDefault="00B40966">
      <w:pPr>
        <w:pStyle w:val="aDef"/>
      </w:pPr>
      <w:r>
        <w:rPr>
          <w:rStyle w:val="charBoldItals"/>
        </w:rPr>
        <w:t>safety strap or line</w:t>
      </w:r>
      <w:r>
        <w:t xml:space="preserve"> means the safety strap or line that passes through loops fitted at the back of a body belt and is provided with terminal fittings to enable each of its terminals to be secured to an anchor.</w:t>
      </w:r>
    </w:p>
    <w:p w:rsidR="00B40966" w:rsidRDefault="00B40966">
      <w:pPr>
        <w:pStyle w:val="aDef"/>
      </w:pPr>
      <w:r>
        <w:rPr>
          <w:rStyle w:val="charBoldItals"/>
        </w:rPr>
        <w:t>window cleaning</w:t>
      </w:r>
      <w:r>
        <w:t xml:space="preserve"> includes the operations of washing, wiping or other method of cleaning windows of buildings.</w:t>
      </w:r>
    </w:p>
    <w:p w:rsidR="00B40966" w:rsidRDefault="00B40966">
      <w:pPr>
        <w:pStyle w:val="Assectheading"/>
        <w:rPr>
          <w:i w:val="0"/>
        </w:rPr>
      </w:pPr>
      <w:r>
        <w:rPr>
          <w:rStyle w:val="charItals"/>
          <w:i/>
        </w:rPr>
        <w:t>Liabilities of owners</w:t>
      </w:r>
    </w:p>
    <w:p w:rsidR="00B40966" w:rsidRDefault="00B40966">
      <w:pPr>
        <w:pStyle w:val="Amain"/>
      </w:pPr>
      <w:r>
        <w:rPr>
          <w:color w:val="000000"/>
        </w:rPr>
        <w:tab/>
        <w:t>(2)</w:t>
      </w:r>
      <w:r>
        <w:rPr>
          <w:color w:val="000000"/>
        </w:rPr>
        <w:tab/>
        <w:t>The owner of a building, the windows of that are cleaned from the outside, shall install and maintain anchors on each such window, the lowest part of the frame of which is more than 12 feet above the ground or adjoining flat roof, or the owner shall provide other approved safe means for cleaning every such window of such building.</w:t>
      </w:r>
    </w:p>
    <w:p w:rsidR="00B40966" w:rsidRDefault="00B40966">
      <w:pPr>
        <w:pStyle w:val="Amain"/>
        <w:rPr>
          <w:color w:val="000000"/>
        </w:rPr>
      </w:pPr>
      <w:r>
        <w:rPr>
          <w:color w:val="000000"/>
        </w:rPr>
        <w:tab/>
        <w:t>(3)</w:t>
      </w:r>
      <w:r>
        <w:rPr>
          <w:color w:val="000000"/>
        </w:rPr>
        <w:tab/>
        <w:t>The owner of any building shall not require, permit, suffer or allow any window in such building to be cleaned unless anchors or other approved means are provided to enable such work to be done in a safe way.</w:t>
      </w:r>
    </w:p>
    <w:p w:rsidR="00B40966" w:rsidRDefault="00B40966">
      <w:pPr>
        <w:pStyle w:val="Assectheading"/>
      </w:pPr>
      <w:r>
        <w:t>Liabilities of contractors</w:t>
      </w:r>
    </w:p>
    <w:p w:rsidR="00B40966" w:rsidRDefault="00B40966">
      <w:pPr>
        <w:pStyle w:val="Amain"/>
      </w:pPr>
      <w:r>
        <w:rPr>
          <w:color w:val="000000"/>
        </w:rPr>
        <w:tab/>
        <w:t>(4)</w:t>
      </w:r>
      <w:r>
        <w:rPr>
          <w:color w:val="000000"/>
        </w:rPr>
        <w:tab/>
        <w:t>Every contractor shall use and require his or her employee to use while engaged in window cleaning the equipment and safety devices required by this section to be provided and used.</w:t>
      </w:r>
    </w:p>
    <w:p w:rsidR="00B40966" w:rsidRDefault="00B40966">
      <w:pPr>
        <w:pStyle w:val="Assectheading"/>
      </w:pPr>
      <w:r>
        <w:t>Exemption—cleaning exterior face of windows from inside</w:t>
      </w:r>
    </w:p>
    <w:p w:rsidR="00B40966" w:rsidRDefault="00B40966">
      <w:pPr>
        <w:pStyle w:val="Amain"/>
      </w:pPr>
      <w:r>
        <w:rPr>
          <w:color w:val="000000"/>
        </w:rPr>
        <w:tab/>
        <w:t>(5)</w:t>
      </w:r>
      <w:r>
        <w:rPr>
          <w:color w:val="000000"/>
        </w:rPr>
        <w:tab/>
      </w:r>
      <w:r>
        <w:t>This section shall not apply to any window that is constructed in an approved way so that the exterior face can be and is cleaned entirely from the inside and during which cleaning operation no part of the window cleaner’s body except 1 arm or hand is required to project beyond the frame in which the window is set.</w:t>
      </w:r>
    </w:p>
    <w:p w:rsidR="00B40966" w:rsidRDefault="00B40966">
      <w:pPr>
        <w:pStyle w:val="Assectheading"/>
        <w:rPr>
          <w:i w:val="0"/>
        </w:rPr>
      </w:pPr>
      <w:r>
        <w:rPr>
          <w:rStyle w:val="charItals"/>
          <w:i/>
        </w:rPr>
        <w:t>Exemption—windows on balconies, fire-escapes and flat roofs</w:t>
      </w:r>
    </w:p>
    <w:p w:rsidR="00B40966" w:rsidRDefault="00B40966">
      <w:pPr>
        <w:pStyle w:val="Amain"/>
      </w:pPr>
      <w:r>
        <w:tab/>
        <w:t>(6)</w:t>
      </w:r>
      <w:r>
        <w:tab/>
        <w:t>This section shall not apply to any window opening on a balcony having a railing 36 inches high, nor to a window opening on a fire</w:t>
      </w:r>
      <w:r>
        <w:noBreakHyphen/>
        <w:t>escape, nor to any window opening on a roof if the roof has a pitch of not more than 1 inch in 12 inches, is 6 feet or more in width and is capable of safely sustaining the weight of the window cleaner and his or her equipment.</w:t>
      </w:r>
    </w:p>
    <w:p w:rsidR="00B40966" w:rsidRDefault="00B40966">
      <w:pPr>
        <w:pStyle w:val="Assectheading"/>
        <w:rPr>
          <w:rStyle w:val="charItals"/>
        </w:rPr>
      </w:pPr>
      <w:r>
        <w:t>Exemption—c</w:t>
      </w:r>
      <w:r>
        <w:rPr>
          <w:rStyle w:val="charItals"/>
          <w:i/>
        </w:rPr>
        <w:t>leaning inside face of windows</w:t>
      </w:r>
    </w:p>
    <w:p w:rsidR="00B40966" w:rsidRDefault="00B40966">
      <w:pPr>
        <w:pStyle w:val="Amain"/>
      </w:pPr>
      <w:r>
        <w:tab/>
        <w:t>(7)</w:t>
      </w:r>
      <w:r>
        <w:tab/>
        <w:t>This section shall not apply to the cleaning of the inside face of any window except if the window cleaner performs the operation while resting on a level that is more than 6 feet above a floor.</w:t>
      </w:r>
    </w:p>
    <w:p w:rsidR="00B40966" w:rsidRDefault="00B40966">
      <w:pPr>
        <w:pStyle w:val="Assectheading"/>
        <w:rPr>
          <w:i w:val="0"/>
        </w:rPr>
      </w:pPr>
      <w:r>
        <w:rPr>
          <w:rStyle w:val="charItals"/>
          <w:i/>
        </w:rPr>
        <w:t>General requirements</w:t>
      </w:r>
      <w:r>
        <w:rPr>
          <w:i w:val="0"/>
          <w:color w:val="000000"/>
        </w:rPr>
        <w:t>—</w:t>
      </w:r>
      <w:r>
        <w:rPr>
          <w:color w:val="000000"/>
        </w:rPr>
        <w:t>w</w:t>
      </w:r>
      <w:r>
        <w:rPr>
          <w:rStyle w:val="charItals"/>
          <w:i/>
        </w:rPr>
        <w:t>indows more than 12 feet above ground</w:t>
      </w:r>
    </w:p>
    <w:p w:rsidR="00B40966" w:rsidRDefault="00B40966">
      <w:pPr>
        <w:pStyle w:val="Amain"/>
      </w:pPr>
      <w:r>
        <w:tab/>
        <w:t>(8)</w:t>
      </w:r>
      <w:r>
        <w:tab/>
        <w:t>No person shall clean a window required to be provided with anchors unless the person wears an approved type of safety belt and the person shall only clean the windows while the safety strap or line terminals are in position on the anchors, provided that windows may be cleaned by any other safe means that are approved or are permitted by this section.</w:t>
      </w:r>
    </w:p>
    <w:p w:rsidR="00B40966" w:rsidRDefault="00B40966">
      <w:pPr>
        <w:pStyle w:val="Assectheading"/>
      </w:pPr>
      <w:r>
        <w:t>General requirements—</w:t>
      </w:r>
      <w:r>
        <w:rPr>
          <w:rStyle w:val="charItals"/>
          <w:i/>
        </w:rPr>
        <w:t>portable auxiliary sills</w:t>
      </w:r>
    </w:p>
    <w:p w:rsidR="00B40966" w:rsidRDefault="00B40966">
      <w:pPr>
        <w:pStyle w:val="Amain"/>
      </w:pPr>
      <w:r>
        <w:tab/>
        <w:t>(9)</w:t>
      </w:r>
      <w:r>
        <w:tab/>
        <w:t>If any window is by this section required to be cleaned by a person wearing a safety belt and the sill of the window extends less than 6 inches out from the window frame or is inclined at a slope of more than 1 in 12 or is otherwise unsafe for the person to stand on, the owner shall provide an approved portable auxiliary sill or other approved device on which the person can stand with safety.</w:t>
      </w:r>
    </w:p>
    <w:p w:rsidR="00B40966" w:rsidRDefault="00B40966">
      <w:pPr>
        <w:pStyle w:val="Amain"/>
      </w:pPr>
      <w:r>
        <w:tab/>
        <w:t>(10)</w:t>
      </w:r>
      <w:r>
        <w:tab/>
        <w:t>Every such portable sill shall be not less than 10 inches wide and it shall be equal in length to the clear width of the window opening, less 3 inches.</w:t>
      </w:r>
    </w:p>
    <w:p w:rsidR="00B40966" w:rsidRDefault="00B40966">
      <w:pPr>
        <w:pStyle w:val="Amain"/>
      </w:pPr>
      <w:r>
        <w:tab/>
        <w:t>(11)</w:t>
      </w:r>
      <w:r>
        <w:tab/>
        <w:t>Every such portable sill and other device shall be so designed and constructed that it is safely held in place and so that it can be safely and readily put into position and removed.</w:t>
      </w:r>
    </w:p>
    <w:p w:rsidR="00B40966" w:rsidRDefault="00B40966">
      <w:pPr>
        <w:pStyle w:val="Assectheading"/>
      </w:pPr>
      <w:r>
        <w:t>General requirements—l</w:t>
      </w:r>
      <w:r>
        <w:rPr>
          <w:rStyle w:val="charItals"/>
          <w:i/>
        </w:rPr>
        <w:t>imitation on use of safety belts and anchors</w:t>
      </w:r>
    </w:p>
    <w:p w:rsidR="00B40966" w:rsidRDefault="00B40966">
      <w:pPr>
        <w:pStyle w:val="Amain"/>
        <w:keepLines/>
      </w:pPr>
      <w:r>
        <w:tab/>
        <w:t>(12)</w:t>
      </w:r>
      <w:r>
        <w:tab/>
        <w:t>Anchors shall be deemed adequate safety devices only if the window and its approaches are so constructed and maintained that the window cleaner can safely reach the sill and attach 1 safety strap or line terminal to the anchor before stepping out on to the sill and if it is possible for 1 belt terminal to remain attached to the anchor while the window cleaner steps back into the building.</w:t>
      </w:r>
    </w:p>
    <w:p w:rsidR="00B40966" w:rsidRDefault="00B40966">
      <w:pPr>
        <w:pStyle w:val="Amain"/>
      </w:pPr>
      <w:r>
        <w:tab/>
        <w:t>(13)</w:t>
      </w:r>
      <w:r>
        <w:tab/>
        <w:t>No person shall use a safety belt in any place where it is liable to be detrimentally affected by acids or other deleterious chemicals.</w:t>
      </w:r>
    </w:p>
    <w:p w:rsidR="00B40966" w:rsidRDefault="00B40966">
      <w:pPr>
        <w:pStyle w:val="Assectheading"/>
      </w:pPr>
      <w:r>
        <w:t>General requirements—</w:t>
      </w:r>
      <w:r>
        <w:rPr>
          <w:rStyle w:val="charItals"/>
          <w:i/>
        </w:rPr>
        <w:t>use of corrosive substances</w:t>
      </w:r>
    </w:p>
    <w:p w:rsidR="00B40966" w:rsidRDefault="00B40966">
      <w:pPr>
        <w:pStyle w:val="Amain"/>
      </w:pPr>
      <w:r>
        <w:tab/>
        <w:t>(14)</w:t>
      </w:r>
      <w:r>
        <w:tab/>
        <w:t>Acids or other deleterious chemicals may be used for window cleaning only under the following conditions:</w:t>
      </w:r>
    </w:p>
    <w:p w:rsidR="00B40966" w:rsidRDefault="00B40966">
      <w:pPr>
        <w:pStyle w:val="Apara"/>
      </w:pPr>
      <w:r>
        <w:tab/>
        <w:t>(a)</w:t>
      </w:r>
      <w:r>
        <w:tab/>
        <w:t>scaffolding, conforming to the provisions of this regulation, shall be used but if scaffolding of the light swinging stage type is used it shall be suspended by flexible steel wire rope instead of fibre rope;</w:t>
      </w:r>
    </w:p>
    <w:p w:rsidR="00B40966" w:rsidRDefault="00B40966">
      <w:pPr>
        <w:pStyle w:val="Apara"/>
      </w:pPr>
      <w:r>
        <w:tab/>
        <w:t>(b)</w:t>
      </w:r>
      <w:r>
        <w:tab/>
        <w:t>the use of fibre rope in connection with any scaffolding for this purpose is prohibited;</w:t>
      </w:r>
    </w:p>
    <w:p w:rsidR="00B40966" w:rsidRDefault="00B40966">
      <w:pPr>
        <w:pStyle w:val="Apara"/>
      </w:pPr>
      <w:r>
        <w:tab/>
        <w:t>(c)</w:t>
      </w:r>
      <w:r>
        <w:tab/>
        <w:t>a highly dilute solution (not more than 5%) of hydrochloric (muriatic) acid or hydrofluoric acid shall be used;</w:t>
      </w:r>
    </w:p>
    <w:p w:rsidR="00B40966" w:rsidRDefault="00B40966">
      <w:pPr>
        <w:pStyle w:val="Apara"/>
      </w:pPr>
      <w:r>
        <w:tab/>
        <w:t>(d)</w:t>
      </w:r>
      <w:r>
        <w:tab/>
        <w:t>the window cleaner shall wear rubber gloves and shall apply the acid solution with a brush;</w:t>
      </w:r>
    </w:p>
    <w:p w:rsidR="00B40966" w:rsidRDefault="00B40966">
      <w:pPr>
        <w:pStyle w:val="Apara"/>
      </w:pPr>
      <w:r>
        <w:tab/>
        <w:t>(e)</w:t>
      </w:r>
      <w:r>
        <w:tab/>
        <w:t>all parts of the scaffolding and other equipment so used shall be liberally washed with water after each use to prevent corrosive reactions.</w:t>
      </w:r>
    </w:p>
    <w:p w:rsidR="00B40966" w:rsidRDefault="00B40966">
      <w:pPr>
        <w:pStyle w:val="Assectheading"/>
      </w:pPr>
      <w:r>
        <w:t>General requirements—</w:t>
      </w:r>
      <w:r>
        <w:rPr>
          <w:rStyle w:val="charItals"/>
          <w:i/>
        </w:rPr>
        <w:t>maintenance of equipment</w:t>
      </w:r>
    </w:p>
    <w:p w:rsidR="00B40966" w:rsidRDefault="00B40966">
      <w:pPr>
        <w:pStyle w:val="Amain"/>
      </w:pPr>
      <w:r>
        <w:tab/>
        <w:t>(15)</w:t>
      </w:r>
      <w:r>
        <w:tab/>
        <w:t>All equipment and safety devices required by this section shall be maintained by the owners of them in good order and condition and in accordance with this regulation.</w:t>
      </w:r>
    </w:p>
    <w:p w:rsidR="00B40966" w:rsidRDefault="00B40966">
      <w:pPr>
        <w:pStyle w:val="Assectheading"/>
      </w:pPr>
      <w:r>
        <w:t>General requirements—</w:t>
      </w:r>
      <w:r>
        <w:rPr>
          <w:rStyle w:val="charItals"/>
          <w:i/>
        </w:rPr>
        <w:t>detachable draft deflectors</w:t>
      </w:r>
    </w:p>
    <w:p w:rsidR="00B40966" w:rsidRDefault="00B40966">
      <w:pPr>
        <w:pStyle w:val="Amain"/>
      </w:pPr>
      <w:r>
        <w:tab/>
        <w:t>(16)</w:t>
      </w:r>
      <w:r>
        <w:tab/>
        <w:t>Detachable draft deflectors fitted to window openings shall be removed before a window cleaning operation is begun.</w:t>
      </w:r>
    </w:p>
    <w:p w:rsidR="00B40966" w:rsidRDefault="00B40966">
      <w:pPr>
        <w:pStyle w:val="Assectheading"/>
      </w:pPr>
      <w:r>
        <w:t>General requirements—</w:t>
      </w:r>
      <w:r>
        <w:rPr>
          <w:rStyle w:val="charItals"/>
          <w:i/>
        </w:rPr>
        <w:t>broken sash chains or cords</w:t>
      </w:r>
    </w:p>
    <w:p w:rsidR="00B40966" w:rsidRDefault="00B40966">
      <w:pPr>
        <w:pStyle w:val="Amain"/>
      </w:pPr>
      <w:r>
        <w:tab/>
        <w:t>(17)</w:t>
      </w:r>
      <w:r>
        <w:tab/>
        <w:t>No person shall clean a window having broken sash chains or cords.</w:t>
      </w:r>
    </w:p>
    <w:p w:rsidR="00B40966" w:rsidRDefault="00B40966">
      <w:pPr>
        <w:pStyle w:val="Assectheading"/>
      </w:pPr>
      <w:r>
        <w:t>General requirements—</w:t>
      </w:r>
      <w:r>
        <w:rPr>
          <w:rStyle w:val="charItals"/>
          <w:i/>
        </w:rPr>
        <w:t>skilled operators for scaffolding and boatswain’s chairs</w:t>
      </w:r>
    </w:p>
    <w:p w:rsidR="00B40966" w:rsidRDefault="00B40966">
      <w:pPr>
        <w:pStyle w:val="Amain"/>
      </w:pPr>
      <w:r>
        <w:tab/>
        <w:t>(18)</w:t>
      </w:r>
      <w:r>
        <w:tab/>
        <w:t>Only experienced and properly trained persons shall be permitted or employed to clean windows by working on scaffolding or in boatswain’s chairs.</w:t>
      </w:r>
    </w:p>
    <w:p w:rsidR="00B40966" w:rsidRDefault="00B40966">
      <w:pPr>
        <w:pStyle w:val="Assectheading"/>
      </w:pPr>
      <w:r>
        <w:t>General requirements—s</w:t>
      </w:r>
      <w:r>
        <w:rPr>
          <w:rStyle w:val="charItals"/>
          <w:i/>
        </w:rPr>
        <w:t>crews and expansion bolts</w:t>
      </w:r>
    </w:p>
    <w:p w:rsidR="00B40966" w:rsidRDefault="00B40966">
      <w:pPr>
        <w:pStyle w:val="Amain"/>
      </w:pPr>
      <w:r>
        <w:tab/>
        <w:t>(19)</w:t>
      </w:r>
      <w:r>
        <w:tab/>
        <w:t>No person shall use wood screws, coach screws, or expansion bolts as a means of fastening anchors.</w:t>
      </w:r>
    </w:p>
    <w:p w:rsidR="00B40966" w:rsidRDefault="00B40966">
      <w:pPr>
        <w:pStyle w:val="Assectheading"/>
      </w:pPr>
      <w:r>
        <w:t>General requirements—p</w:t>
      </w:r>
      <w:r>
        <w:rPr>
          <w:rStyle w:val="charItals"/>
          <w:i/>
        </w:rPr>
        <w:t>assing from window to window prohibited</w:t>
      </w:r>
    </w:p>
    <w:p w:rsidR="00B40966" w:rsidRDefault="00B40966">
      <w:pPr>
        <w:pStyle w:val="Amain"/>
      </w:pPr>
      <w:r>
        <w:tab/>
        <w:t>(20)</w:t>
      </w:r>
      <w:r>
        <w:tab/>
        <w:t>A window cleaner shall not pass on the outside of a building from one window to another window.</w:t>
      </w:r>
    </w:p>
    <w:p w:rsidR="00B40966" w:rsidRDefault="00B40966">
      <w:pPr>
        <w:pStyle w:val="Assectheading"/>
      </w:pPr>
      <w:r>
        <w:t>General requirements—w</w:t>
      </w:r>
      <w:r>
        <w:rPr>
          <w:rStyle w:val="charItals"/>
          <w:i/>
        </w:rPr>
        <w:t>ide fixed sash windows</w:t>
      </w:r>
    </w:p>
    <w:p w:rsidR="00B40966" w:rsidRDefault="00B40966">
      <w:pPr>
        <w:pStyle w:val="Amain"/>
      </w:pPr>
      <w:r>
        <w:tab/>
        <w:t>(21)</w:t>
      </w:r>
      <w:r>
        <w:tab/>
        <w:t>Wide fixed sash windows, having adjacent to them an openable small window separated by a mullion from it, shall have 2 anchors installed on each mullion.</w:t>
      </w:r>
    </w:p>
    <w:p w:rsidR="00B40966" w:rsidRDefault="00B40966">
      <w:pPr>
        <w:pStyle w:val="Amain"/>
      </w:pPr>
      <w:r>
        <w:tab/>
        <w:t>(22)</w:t>
      </w:r>
      <w:r>
        <w:tab/>
        <w:t xml:space="preserve">The window cleaner shall attach both safety strap or line terminals to the anchors on 1 mullion so as to permit </w:t>
      </w:r>
      <w:r>
        <w:rPr>
          <w:position w:val="6"/>
          <w:sz w:val="18"/>
        </w:rPr>
        <w:t>1</w:t>
      </w:r>
      <w:r>
        <w:t>/</w:t>
      </w:r>
      <w:r>
        <w:rPr>
          <w:sz w:val="18"/>
        </w:rPr>
        <w:t>2</w:t>
      </w:r>
      <w:r>
        <w:t xml:space="preserve"> of the larger window to be cleaned from each side.</w:t>
      </w:r>
    </w:p>
    <w:p w:rsidR="00B40966" w:rsidRDefault="00B40966">
      <w:pPr>
        <w:pStyle w:val="Assectheading"/>
      </w:pPr>
      <w:r>
        <w:t>General requirements—w</w:t>
      </w:r>
      <w:r>
        <w:rPr>
          <w:rStyle w:val="charItals"/>
          <w:i/>
        </w:rPr>
        <w:t>ide window frames</w:t>
      </w:r>
    </w:p>
    <w:p w:rsidR="00B40966" w:rsidRDefault="00B40966">
      <w:pPr>
        <w:pStyle w:val="Amain"/>
      </w:pPr>
      <w:r>
        <w:tab/>
        <w:t>(23)</w:t>
      </w:r>
      <w:r>
        <w:tab/>
        <w:t>In buildings where the width of a window frame exceeds 6 feet there shall be installed special approved anchors, additional to other anchors, required by this section, at each side of the window frame.</w:t>
      </w:r>
    </w:p>
    <w:p w:rsidR="00B40966" w:rsidRDefault="00B40966">
      <w:pPr>
        <w:pStyle w:val="Amain"/>
      </w:pPr>
      <w:r>
        <w:tab/>
        <w:t>(24)</w:t>
      </w:r>
      <w:r>
        <w:tab/>
        <w:t>These special anchors shall be set 42 inches above the window sill.</w:t>
      </w:r>
    </w:p>
    <w:p w:rsidR="00B40966" w:rsidRDefault="00B40966">
      <w:pPr>
        <w:pStyle w:val="Amain"/>
      </w:pPr>
      <w:r>
        <w:tab/>
        <w:t>(25)</w:t>
      </w:r>
      <w:r>
        <w:tab/>
        <w:t>The owner shall provide for each such window, when it is being cleaned, an approved cable to be attached to the special anchors to form a back support for the window cleaner.</w:t>
      </w:r>
    </w:p>
    <w:p w:rsidR="00B40966" w:rsidRDefault="00B40966">
      <w:pPr>
        <w:pStyle w:val="Assectheading"/>
        <w:rPr>
          <w:i w:val="0"/>
        </w:rPr>
      </w:pPr>
      <w:r>
        <w:rPr>
          <w:rStyle w:val="charItals"/>
          <w:i/>
        </w:rPr>
        <w:t>Installation and maintenance of anchors</w:t>
      </w:r>
      <w:r>
        <w:rPr>
          <w:i w:val="0"/>
          <w:color w:val="000000"/>
        </w:rPr>
        <w:t>—a</w:t>
      </w:r>
      <w:r>
        <w:rPr>
          <w:rStyle w:val="charItals"/>
          <w:i/>
        </w:rPr>
        <w:t>nchors for all buildings</w:t>
      </w:r>
    </w:p>
    <w:p w:rsidR="00B40966" w:rsidRDefault="00B40966">
      <w:pPr>
        <w:pStyle w:val="Amain"/>
      </w:pPr>
      <w:r>
        <w:tab/>
        <w:t>(26)</w:t>
      </w:r>
      <w:r>
        <w:tab/>
        <w:t>All anchors required by this section shall be installed as specified in this section except as may be otherwise approved.</w:t>
      </w:r>
    </w:p>
    <w:p w:rsidR="00B40966" w:rsidRDefault="00B40966">
      <w:pPr>
        <w:pStyle w:val="Amain"/>
      </w:pPr>
      <w:r>
        <w:tab/>
        <w:t>(27)</w:t>
      </w:r>
      <w:r>
        <w:tab/>
        <w:t>All anchors and anchor fastenings shall be provided with means to prevent them inadvertently turning, backing off or becoming loose.</w:t>
      </w:r>
    </w:p>
    <w:p w:rsidR="00B40966" w:rsidRDefault="00B40966">
      <w:pPr>
        <w:pStyle w:val="Assectheading"/>
        <w:rPr>
          <w:i w:val="0"/>
        </w:rPr>
      </w:pPr>
      <w:r>
        <w:rPr>
          <w:rStyle w:val="charItals"/>
          <w:i/>
        </w:rPr>
        <w:t>Installation and maintenance of anchors</w:t>
      </w:r>
      <w:r>
        <w:rPr>
          <w:i w:val="0"/>
          <w:color w:val="000000"/>
        </w:rPr>
        <w:t>—a</w:t>
      </w:r>
      <w:r>
        <w:rPr>
          <w:rStyle w:val="charItals"/>
          <w:i/>
        </w:rPr>
        <w:t>nchor location</w:t>
      </w:r>
    </w:p>
    <w:p w:rsidR="00B40966" w:rsidRDefault="00B40966">
      <w:pPr>
        <w:pStyle w:val="Amain"/>
      </w:pPr>
      <w:r>
        <w:tab/>
        <w:t>(28)</w:t>
      </w:r>
      <w:r>
        <w:tab/>
        <w:t>Anchors shall be attached to the side frames of the window or to the building at a point not less than 44 inches nor more than 51 inches above the window sill.</w:t>
      </w:r>
    </w:p>
    <w:p w:rsidR="00B40966" w:rsidRDefault="00B40966">
      <w:pPr>
        <w:pStyle w:val="Amain"/>
      </w:pPr>
      <w:r>
        <w:tab/>
        <w:t>(29)</w:t>
      </w:r>
      <w:r>
        <w:tab/>
        <w:t>Care shall be taken, when screwing up anchor fastenings, to prevent producing excess stresses.</w:t>
      </w:r>
    </w:p>
    <w:p w:rsidR="00B40966" w:rsidRDefault="00B40966">
      <w:pPr>
        <w:pStyle w:val="Assectheading"/>
        <w:rPr>
          <w:i w:val="0"/>
        </w:rPr>
      </w:pPr>
      <w:r>
        <w:rPr>
          <w:rStyle w:val="charItals"/>
          <w:i/>
        </w:rPr>
        <w:t>Installation and maintenance of anchors</w:t>
      </w:r>
      <w:r>
        <w:rPr>
          <w:i w:val="0"/>
          <w:color w:val="000000"/>
        </w:rPr>
        <w:t>—</w:t>
      </w:r>
      <w:r>
        <w:rPr>
          <w:color w:val="000000"/>
        </w:rPr>
        <w:t>t</w:t>
      </w:r>
      <w:r>
        <w:rPr>
          <w:rStyle w:val="charItals"/>
          <w:i/>
        </w:rPr>
        <w:t>imber—existing and new buildings</w:t>
      </w:r>
    </w:p>
    <w:p w:rsidR="00B40966" w:rsidRDefault="00B40966">
      <w:pPr>
        <w:pStyle w:val="Amain"/>
        <w:keepLines/>
      </w:pPr>
      <w:r>
        <w:tab/>
        <w:t>(30)</w:t>
      </w:r>
      <w:r>
        <w:tab/>
        <w:t xml:space="preserve">Anchors shall be attached to timber or metal-covered timber window frames by bolts of not less than </w:t>
      </w:r>
      <w:r>
        <w:rPr>
          <w:position w:val="6"/>
          <w:sz w:val="18"/>
        </w:rPr>
        <w:t>3</w:t>
      </w:r>
      <w:r>
        <w:t>/</w:t>
      </w:r>
      <w:r>
        <w:rPr>
          <w:sz w:val="18"/>
        </w:rPr>
        <w:t>8</w:t>
      </w:r>
      <w:r>
        <w:t xml:space="preserve"> of an inch in diameter that shall pass through the entire window frame and shall be securely fastened by a nut and washer.</w:t>
      </w:r>
    </w:p>
    <w:p w:rsidR="00B40966" w:rsidRDefault="00B40966">
      <w:pPr>
        <w:pStyle w:val="Amain"/>
      </w:pPr>
      <w:r>
        <w:tab/>
        <w:t>(31)</w:t>
      </w:r>
      <w:r>
        <w:tab/>
        <w:t>The diameter of the washer shall be at least twice the diameter of the bolt hole.</w:t>
      </w:r>
    </w:p>
    <w:p w:rsidR="00B40966" w:rsidRDefault="00B40966">
      <w:pPr>
        <w:pStyle w:val="Amain"/>
      </w:pPr>
      <w:r>
        <w:tab/>
        <w:t>(32)</w:t>
      </w:r>
      <w:r>
        <w:tab/>
        <w:t>The ends of the bolts shall be upset to prevent loosening or removal of the nuts.</w:t>
      </w:r>
    </w:p>
    <w:p w:rsidR="00B40966" w:rsidRDefault="00B40966">
      <w:pPr>
        <w:pStyle w:val="Amain"/>
      </w:pPr>
      <w:r>
        <w:tab/>
        <w:t>(33)</w:t>
      </w:r>
      <w:r>
        <w:tab/>
        <w:t>The back face of anchors for installation on timber window frames or mullions shall be provided with at least 2 sharp lugs to prevent turning of the anchor after installation, or other equally effective methods may be used.</w:t>
      </w:r>
    </w:p>
    <w:p w:rsidR="00B40966" w:rsidRDefault="00B40966">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brickwork—new buildings</w:t>
      </w:r>
    </w:p>
    <w:p w:rsidR="00B40966" w:rsidRDefault="00B40966">
      <w:pPr>
        <w:pStyle w:val="Amain"/>
      </w:pPr>
      <w:r>
        <w:tab/>
        <w:t>(34)</w:t>
      </w:r>
      <w:r>
        <w:tab/>
        <w:t>Anchors attached to walls of masonry or brickwork units, erected after 19 September 1957, shall be installed while the wall is under construction and shall be shaped to build into the joints between masonry or brickwork units.</w:t>
      </w:r>
    </w:p>
    <w:p w:rsidR="00B40966" w:rsidRDefault="00B40966">
      <w:pPr>
        <w:pStyle w:val="Amain"/>
      </w:pPr>
      <w:r>
        <w:tab/>
        <w:t>(35)</w:t>
      </w:r>
      <w:r>
        <w:tab/>
        <w:t>The anchors shall be not less than 8 inches long, have a cross</w:t>
      </w:r>
      <w:r>
        <w:noBreakHyphen/>
        <w:t xml:space="preserve">sectional area of not less than </w:t>
      </w:r>
      <w:r>
        <w:rPr>
          <w:position w:val="6"/>
          <w:sz w:val="18"/>
        </w:rPr>
        <w:t>1</w:t>
      </w:r>
      <w:r>
        <w:t>/</w:t>
      </w:r>
      <w:r>
        <w:rPr>
          <w:sz w:val="18"/>
        </w:rPr>
        <w:t>4</w:t>
      </w:r>
      <w:r>
        <w:t xml:space="preserve"> of a square inch, have a fluke or flukes having a holding surface of not less than 1 inch in length and, be firmly embedded in the masonry or brickwork.</w:t>
      </w:r>
    </w:p>
    <w:p w:rsidR="00B40966" w:rsidRDefault="00B40966">
      <w:pPr>
        <w:pStyle w:val="Assectheading"/>
        <w:rPr>
          <w:i w:val="0"/>
        </w:rPr>
      </w:pPr>
      <w:r>
        <w:rPr>
          <w:rStyle w:val="charItals"/>
          <w:i/>
        </w:rPr>
        <w:t>Installation and maintenance of anchors</w:t>
      </w:r>
      <w:r>
        <w:rPr>
          <w:i w:val="0"/>
          <w:color w:val="000000"/>
        </w:rPr>
        <w:t>—</w:t>
      </w:r>
      <w:r>
        <w:rPr>
          <w:color w:val="000000"/>
        </w:rPr>
        <w:t>m</w:t>
      </w:r>
      <w:r>
        <w:rPr>
          <w:rStyle w:val="charItals"/>
          <w:i/>
        </w:rPr>
        <w:t>asonry and brickwork—existing buildings</w:t>
      </w:r>
    </w:p>
    <w:p w:rsidR="00B40966" w:rsidRDefault="00B40966">
      <w:pPr>
        <w:pStyle w:val="Amain"/>
        <w:keepLines/>
      </w:pPr>
      <w:r>
        <w:tab/>
        <w:t>(36)</w:t>
      </w:r>
      <w:r>
        <w:tab/>
        <w:t>Anchors shall not be installed in existing masonry or brickwork but shall be attached to the window frames in accordance with subsections (30) to (33), subsection (38) or subsections (39) to (42), as the case may be.</w:t>
      </w:r>
    </w:p>
    <w:p w:rsidR="00B40966" w:rsidRDefault="00B40966">
      <w:pPr>
        <w:pStyle w:val="Assectheading"/>
        <w:rPr>
          <w:i w:val="0"/>
        </w:rPr>
      </w:pPr>
      <w:r>
        <w:rPr>
          <w:rStyle w:val="charItals"/>
          <w:i/>
        </w:rPr>
        <w:t>Installation and maintenance of anchors</w:t>
      </w:r>
      <w:r>
        <w:rPr>
          <w:i w:val="0"/>
          <w:color w:val="000000"/>
        </w:rPr>
        <w:t>—</w:t>
      </w:r>
      <w:r>
        <w:rPr>
          <w:color w:val="000000"/>
        </w:rPr>
        <w:t>c</w:t>
      </w:r>
      <w:r>
        <w:rPr>
          <w:rStyle w:val="charItals"/>
          <w:i/>
        </w:rPr>
        <w:t>oncrete—new and existing buildings</w:t>
      </w:r>
    </w:p>
    <w:p w:rsidR="00B40966" w:rsidRDefault="00B40966">
      <w:pPr>
        <w:pStyle w:val="Amain"/>
        <w:keepLines/>
      </w:pPr>
      <w:r>
        <w:tab/>
        <w:t>(37)</w:t>
      </w:r>
      <w:r>
        <w:tab/>
        <w:t>Anchors shall not be installed in new or existing concrete but shall be attached to the window frames in accordance with subsections (30) to (33), subsection (38) or subsections (39) to (42), as the case may be.</w:t>
      </w:r>
    </w:p>
    <w:p w:rsidR="00B40966" w:rsidRDefault="00B40966">
      <w:pPr>
        <w:pStyle w:val="Assectheading"/>
        <w:rPr>
          <w:i w:val="0"/>
        </w:rPr>
      </w:pPr>
      <w:r>
        <w:rPr>
          <w:rStyle w:val="charItals"/>
          <w:i/>
        </w:rPr>
        <w:t>Installation and maintenance of anchors</w:t>
      </w:r>
      <w:r>
        <w:rPr>
          <w:i w:val="0"/>
          <w:color w:val="000000"/>
        </w:rPr>
        <w:t>—</w:t>
      </w:r>
      <w:r>
        <w:rPr>
          <w:rStyle w:val="charItals"/>
          <w:i/>
        </w:rPr>
        <w:t>hollow metal—existing and new buildings</w:t>
      </w:r>
    </w:p>
    <w:p w:rsidR="00B40966" w:rsidRDefault="00B40966">
      <w:pPr>
        <w:pStyle w:val="Amain"/>
      </w:pPr>
      <w:r>
        <w:tab/>
        <w:t>(38)</w:t>
      </w:r>
      <w:r>
        <w:tab/>
        <w:t>Anchors shall be attached to hollow metal construction as follows:</w:t>
      </w:r>
    </w:p>
    <w:p w:rsidR="00B40966" w:rsidRDefault="00B40966">
      <w:pPr>
        <w:pStyle w:val="Apara"/>
      </w:pPr>
      <w:r>
        <w:tab/>
        <w:t>(a)</w:t>
      </w:r>
      <w:r>
        <w:tab/>
        <w:t xml:space="preserve">at least 2 bolts not less than </w:t>
      </w:r>
      <w:r>
        <w:rPr>
          <w:position w:val="6"/>
          <w:sz w:val="18"/>
        </w:rPr>
        <w:t>3</w:t>
      </w:r>
      <w:r>
        <w:t>/</w:t>
      </w:r>
      <w:r>
        <w:rPr>
          <w:sz w:val="18"/>
        </w:rPr>
        <w:t>8</w:t>
      </w:r>
      <w:r>
        <w:t xml:space="preserve"> of an inch in diameter and of proper length shall pass through the frame and a steel reinforcing plate at least </w:t>
      </w:r>
      <w:r>
        <w:rPr>
          <w:position w:val="6"/>
          <w:sz w:val="18"/>
        </w:rPr>
        <w:t>5</w:t>
      </w:r>
      <w:r>
        <w:t>/</w:t>
      </w:r>
      <w:r>
        <w:rPr>
          <w:sz w:val="18"/>
        </w:rPr>
        <w:t>16</w:t>
      </w:r>
      <w:r>
        <w:t xml:space="preserve"> of an inch thick, not less than 6 inches long and </w:t>
      </w:r>
      <w:r>
        <w:rPr>
          <w:position w:val="6"/>
          <w:sz w:val="18"/>
        </w:rPr>
        <w:t>3</w:t>
      </w:r>
      <w:r>
        <w:t>/</w:t>
      </w:r>
      <w:r>
        <w:rPr>
          <w:sz w:val="18"/>
        </w:rPr>
        <w:t>4</w:t>
      </w:r>
      <w:r>
        <w:t xml:space="preserve"> of an inch wide, placed on the inside of the frame and secured by means of nuts and lock washers;</w:t>
      </w:r>
    </w:p>
    <w:p w:rsidR="00B40966" w:rsidRDefault="00B40966">
      <w:pPr>
        <w:pStyle w:val="Apara"/>
      </w:pPr>
      <w:r>
        <w:tab/>
        <w:t>(b)</w:t>
      </w:r>
      <w:r>
        <w:tab/>
        <w:t xml:space="preserve">if it is impracticable to provide nuts and lock washers the reinforcing plate may be tapped to receive </w:t>
      </w:r>
      <w:r>
        <w:rPr>
          <w:position w:val="6"/>
          <w:sz w:val="18"/>
        </w:rPr>
        <w:t>3</w:t>
      </w:r>
      <w:r>
        <w:t>/</w:t>
      </w:r>
      <w:r>
        <w:rPr>
          <w:sz w:val="18"/>
        </w:rPr>
        <w:t>8</w:t>
      </w:r>
      <w:r>
        <w:t xml:space="preserve"> inch diameter machine screws and machine screws shall pass through the plate;</w:t>
      </w:r>
    </w:p>
    <w:p w:rsidR="00B40966" w:rsidRDefault="00B40966">
      <w:pPr>
        <w:pStyle w:val="Apara"/>
      </w:pPr>
      <w:r>
        <w:tab/>
        <w:t>(c)</w:t>
      </w:r>
      <w:r>
        <w:tab/>
        <w:t xml:space="preserve">if the screw bolt is an integral part of the anchor—it shall be at least </w:t>
      </w:r>
      <w:r>
        <w:rPr>
          <w:position w:val="6"/>
          <w:sz w:val="18"/>
        </w:rPr>
        <w:t>1</w:t>
      </w:r>
      <w:r>
        <w:t>/</w:t>
      </w:r>
      <w:r>
        <w:rPr>
          <w:sz w:val="18"/>
        </w:rPr>
        <w:t>2</w:t>
      </w:r>
      <w:r>
        <w:t xml:space="preserve"> inch in diameter and shall be secured by means of a nut and lock washer and a steel reinforcing plate as described in paragraphs (a) and (b) or it may be screwed into a tapped hole in the reinforcing plate;</w:t>
      </w:r>
    </w:p>
    <w:p w:rsidR="00B40966" w:rsidRDefault="00B40966">
      <w:pPr>
        <w:pStyle w:val="Apara"/>
      </w:pPr>
      <w:r>
        <w:tab/>
        <w:t>(d)</w:t>
      </w:r>
      <w:r>
        <w:tab/>
        <w:t>all anchors and anchor fastenings shall be provided with means to prevent them from turning, backing off or becoming loose.</w:t>
      </w:r>
    </w:p>
    <w:p w:rsidR="00B40966" w:rsidRDefault="00B40966">
      <w:pPr>
        <w:pStyle w:val="Assectheading"/>
        <w:rPr>
          <w:i w:val="0"/>
        </w:rPr>
      </w:pPr>
      <w:r>
        <w:rPr>
          <w:rStyle w:val="charItals"/>
          <w:i/>
        </w:rPr>
        <w:t>Installation and maintenance of anchors</w:t>
      </w:r>
      <w:r>
        <w:rPr>
          <w:i w:val="0"/>
          <w:color w:val="000000"/>
        </w:rPr>
        <w:t>—</w:t>
      </w:r>
      <w:r>
        <w:rPr>
          <w:rStyle w:val="charItals"/>
          <w:i/>
        </w:rPr>
        <w:t>solid metal—existing and new buildings</w:t>
      </w:r>
    </w:p>
    <w:p w:rsidR="00B40966" w:rsidRDefault="00B40966">
      <w:pPr>
        <w:pStyle w:val="Amain"/>
        <w:keepLines/>
      </w:pPr>
      <w:r>
        <w:tab/>
        <w:t>(39)</w:t>
      </w:r>
      <w:r>
        <w:tab/>
        <w:t xml:space="preserve">Anchors shall be attached to solid metal frames by at least 2 bolts not less than </w:t>
      </w:r>
      <w:r>
        <w:rPr>
          <w:position w:val="6"/>
          <w:sz w:val="18"/>
        </w:rPr>
        <w:t>3</w:t>
      </w:r>
      <w:r>
        <w:t>/</w:t>
      </w:r>
      <w:r>
        <w:rPr>
          <w:sz w:val="18"/>
        </w:rPr>
        <w:t>8</w:t>
      </w:r>
      <w:r>
        <w:t xml:space="preserve"> of an inch in diameter and of proper length, which shall pass through the frame and be secured on the inside by a nut and lock washer.</w:t>
      </w:r>
    </w:p>
    <w:p w:rsidR="00B40966" w:rsidRDefault="00B40966">
      <w:pPr>
        <w:pStyle w:val="Amain"/>
      </w:pPr>
      <w:r>
        <w:tab/>
        <w:t>(40)</w:t>
      </w:r>
      <w:r>
        <w:tab/>
        <w:t>However, if it is impracticable to provide such nuts and lock washers, the frame shall be tapped its entire thickness and the screw fastenings shall extend through the frame.</w:t>
      </w:r>
    </w:p>
    <w:p w:rsidR="00B40966" w:rsidRDefault="00B40966">
      <w:pPr>
        <w:pStyle w:val="Amain"/>
      </w:pPr>
      <w:r>
        <w:tab/>
        <w:t>(41)</w:t>
      </w:r>
      <w:r>
        <w:tab/>
        <w:t xml:space="preserve">In such instances at least </w:t>
      </w:r>
      <w:r>
        <w:rPr>
          <w:position w:val="6"/>
          <w:sz w:val="18"/>
        </w:rPr>
        <w:t>5</w:t>
      </w:r>
      <w:r>
        <w:t>/</w:t>
      </w:r>
      <w:r>
        <w:rPr>
          <w:sz w:val="18"/>
        </w:rPr>
        <w:t>16</w:t>
      </w:r>
      <w:r>
        <w:t xml:space="preserve"> of an inch of thread shall be provided in the frame, otherwise a tapped reinforcing plate as specified in subsection (38).</w:t>
      </w:r>
    </w:p>
    <w:p w:rsidR="00B40966" w:rsidRDefault="00B40966">
      <w:pPr>
        <w:pStyle w:val="Amain"/>
      </w:pPr>
      <w:r>
        <w:tab/>
        <w:t>(42)</w:t>
      </w:r>
      <w:r>
        <w:tab/>
        <w:t>If the screw bolt is an integral part of the anchor, it shall be at least </w:t>
      </w:r>
      <w:r>
        <w:rPr>
          <w:position w:val="6"/>
          <w:sz w:val="18"/>
        </w:rPr>
        <w:t>1</w:t>
      </w:r>
      <w:r>
        <w:t>/</w:t>
      </w:r>
      <w:r>
        <w:rPr>
          <w:sz w:val="18"/>
        </w:rPr>
        <w:t>2</w:t>
      </w:r>
      <w:r>
        <w:t xml:space="preserve"> an inch in diameter and shall be secured to the frame by means of a nut and lock washer or the frame member may be tapped through to receive the screw bolt provided the metal is at least </w:t>
      </w:r>
      <w:r>
        <w:rPr>
          <w:position w:val="6"/>
          <w:sz w:val="18"/>
        </w:rPr>
        <w:t>3</w:t>
      </w:r>
      <w:r>
        <w:t>/</w:t>
      </w:r>
      <w:r>
        <w:rPr>
          <w:sz w:val="18"/>
        </w:rPr>
        <w:t>8</w:t>
      </w:r>
      <w:r>
        <w:t xml:space="preserve"> of an inch thick.</w:t>
      </w:r>
    </w:p>
    <w:p w:rsidR="00B40966" w:rsidRDefault="00B40966">
      <w:pPr>
        <w:pStyle w:val="Assectheading"/>
        <w:rPr>
          <w:i w:val="0"/>
        </w:rPr>
      </w:pPr>
      <w:r>
        <w:rPr>
          <w:rStyle w:val="charItals"/>
          <w:i/>
        </w:rPr>
        <w:t>Installation and maintenance of anchors</w:t>
      </w:r>
      <w:r>
        <w:rPr>
          <w:i w:val="0"/>
          <w:color w:val="000000"/>
        </w:rPr>
        <w:t>—</w:t>
      </w:r>
      <w:r>
        <w:rPr>
          <w:rStyle w:val="charItals"/>
          <w:i/>
        </w:rPr>
        <w:t>maintenance of anchors</w:t>
      </w:r>
    </w:p>
    <w:p w:rsidR="00B40966" w:rsidRDefault="00B40966">
      <w:pPr>
        <w:pStyle w:val="Amain"/>
      </w:pPr>
      <w:r>
        <w:tab/>
        <w:t>(43)</w:t>
      </w:r>
      <w:r>
        <w:tab/>
        <w:t>The owner of every building shall maintain all anchor installations in a safe condition.</w:t>
      </w:r>
    </w:p>
    <w:p w:rsidR="00B40966" w:rsidRDefault="00B40966">
      <w:pPr>
        <w:pStyle w:val="Assectheading"/>
        <w:rPr>
          <w:i w:val="0"/>
        </w:rPr>
      </w:pPr>
      <w:r>
        <w:rPr>
          <w:rStyle w:val="charItals"/>
          <w:i/>
        </w:rPr>
        <w:t>Anchor material and specifications</w:t>
      </w:r>
      <w:r>
        <w:rPr>
          <w:i w:val="0"/>
          <w:color w:val="000000"/>
        </w:rPr>
        <w:t>—</w:t>
      </w:r>
      <w:r>
        <w:rPr>
          <w:rStyle w:val="charItals"/>
          <w:i/>
        </w:rPr>
        <w:t>anchors</w:t>
      </w:r>
    </w:p>
    <w:p w:rsidR="00B40966" w:rsidRDefault="00B40966">
      <w:pPr>
        <w:pStyle w:val="Amain"/>
      </w:pPr>
      <w:r>
        <w:tab/>
        <w:t>(44)</w:t>
      </w:r>
      <w:r>
        <w:tab/>
        <w:t>Anchors shall not be made of any of the copper base alloys such as brass, bronze, silicon bronze, aluminium bronze or similar alloys.</w:t>
      </w:r>
    </w:p>
    <w:p w:rsidR="00B40966" w:rsidRDefault="00B40966">
      <w:pPr>
        <w:pStyle w:val="Amain"/>
      </w:pPr>
      <w:r>
        <w:tab/>
        <w:t>(45)</w:t>
      </w:r>
      <w:r>
        <w:tab/>
        <w:t>Anchors shall not be cast but shall be forged or machined from approved corrosion resistant rolled metal alloy.</w:t>
      </w:r>
    </w:p>
    <w:p w:rsidR="00B40966" w:rsidRDefault="00B40966">
      <w:pPr>
        <w:pStyle w:val="Amain"/>
      </w:pPr>
      <w:r>
        <w:tab/>
        <w:t>(46)</w:t>
      </w:r>
      <w:r>
        <w:tab/>
        <w:t>Every forging made of such alloy shall be heat treated in an approved way.</w:t>
      </w:r>
    </w:p>
    <w:p w:rsidR="00B40966" w:rsidRDefault="00B40966">
      <w:pPr>
        <w:pStyle w:val="Amain"/>
      </w:pPr>
      <w:r>
        <w:tab/>
        <w:t>(47)</w:t>
      </w:r>
      <w:r>
        <w:tab/>
        <w:t>Every anchor shall be free of imperfections and all corners of an anchor shall be properly filleted or rounded.</w:t>
      </w:r>
    </w:p>
    <w:p w:rsidR="00B40966" w:rsidRDefault="00B40966">
      <w:pPr>
        <w:pStyle w:val="Amain"/>
      </w:pPr>
      <w:r>
        <w:tab/>
        <w:t>(48)</w:t>
      </w:r>
      <w:r>
        <w:tab/>
        <w:t>If bolt or set screw fastenings are used, the forgings shall be spot faced to receive the bolt or set screw head.</w:t>
      </w:r>
    </w:p>
    <w:p w:rsidR="00B40966" w:rsidRDefault="00B40966">
      <w:pPr>
        <w:pStyle w:val="Amain"/>
      </w:pPr>
      <w:r>
        <w:tab/>
        <w:t>(49)</w:t>
      </w:r>
      <w:r>
        <w:tab/>
        <w:t>Anchor heads shall conform to the dimensions mentioned in schedule 7, plate 1, figures 1 and 2.</w:t>
      </w:r>
    </w:p>
    <w:p w:rsidR="00B40966" w:rsidRDefault="00B40966">
      <w:pPr>
        <w:pStyle w:val="Assectheading"/>
        <w:rPr>
          <w:i w:val="0"/>
        </w:rPr>
      </w:pPr>
      <w:r>
        <w:rPr>
          <w:rStyle w:val="charItals"/>
          <w:i/>
        </w:rPr>
        <w:t>Anchor material and specifications</w:t>
      </w:r>
      <w:r>
        <w:rPr>
          <w:i w:val="0"/>
          <w:color w:val="000000"/>
        </w:rPr>
        <w:t>—</w:t>
      </w:r>
      <w:r>
        <w:rPr>
          <w:rStyle w:val="charItals"/>
          <w:i/>
        </w:rPr>
        <w:t>bolts and set screws</w:t>
      </w:r>
    </w:p>
    <w:p w:rsidR="00B40966" w:rsidRDefault="00B40966">
      <w:pPr>
        <w:pStyle w:val="Amain"/>
      </w:pPr>
      <w:r>
        <w:tab/>
        <w:t>(50)</w:t>
      </w:r>
      <w:r>
        <w:tab/>
        <w:t>Bolts and set screws used to fasten anchors shall not be made of any of the copper base alloys mentioned in subsections (44) to (49).</w:t>
      </w:r>
    </w:p>
    <w:p w:rsidR="00B40966" w:rsidRDefault="00B40966">
      <w:pPr>
        <w:pStyle w:val="Amain"/>
      </w:pPr>
      <w:r>
        <w:tab/>
        <w:t>(51)</w:t>
      </w:r>
      <w:r>
        <w:tab/>
        <w:t>The bolts and set screws shall not be cast but shall be forged or machined from approved corrosion resistant rolled metal alloy.</w:t>
      </w:r>
    </w:p>
    <w:p w:rsidR="00B40966" w:rsidRDefault="00B40966">
      <w:pPr>
        <w:pStyle w:val="Amain"/>
      </w:pPr>
      <w:r>
        <w:tab/>
        <w:t>(52)</w:t>
      </w:r>
      <w:r>
        <w:tab/>
        <w:t xml:space="preserve">Each bolt and set screw shall have an unthreaded part of the shank not less than </w:t>
      </w:r>
      <w:r>
        <w:rPr>
          <w:position w:val="6"/>
          <w:sz w:val="18"/>
        </w:rPr>
        <w:t>3</w:t>
      </w:r>
      <w:r>
        <w:t>/</w:t>
      </w:r>
      <w:r>
        <w:rPr>
          <w:sz w:val="18"/>
        </w:rPr>
        <w:t>16</w:t>
      </w:r>
      <w:r>
        <w:t xml:space="preserve"> of an inch in length adjacent to its head.</w:t>
      </w:r>
    </w:p>
    <w:p w:rsidR="00B40966" w:rsidRDefault="00B40966">
      <w:pPr>
        <w:pStyle w:val="Amain"/>
      </w:pPr>
      <w:r>
        <w:tab/>
        <w:t>(53)</w:t>
      </w:r>
      <w:r>
        <w:tab/>
        <w:t>The junction of the head and shank shall not form a sharp corner.</w:t>
      </w:r>
    </w:p>
    <w:p w:rsidR="00B40966" w:rsidRDefault="00B40966">
      <w:pPr>
        <w:pStyle w:val="Assectheading"/>
        <w:rPr>
          <w:i w:val="0"/>
        </w:rPr>
      </w:pPr>
      <w:r>
        <w:rPr>
          <w:rStyle w:val="charItals"/>
          <w:i/>
        </w:rPr>
        <w:t>Anchor material and specifications</w:t>
      </w:r>
      <w:r>
        <w:rPr>
          <w:i w:val="0"/>
          <w:color w:val="000000"/>
        </w:rPr>
        <w:t>—</w:t>
      </w:r>
      <w:r>
        <w:rPr>
          <w:rStyle w:val="charItals"/>
          <w:i/>
        </w:rPr>
        <w:t>corrosion resistant metal</w:t>
      </w:r>
    </w:p>
    <w:p w:rsidR="00B40966" w:rsidRDefault="00B40966">
      <w:pPr>
        <w:pStyle w:val="Amain"/>
      </w:pPr>
      <w:r>
        <w:tab/>
        <w:t>(54)</w:t>
      </w:r>
      <w:r>
        <w:tab/>
        <w:t>In this section:</w:t>
      </w:r>
    </w:p>
    <w:p w:rsidR="00B40966" w:rsidRDefault="00B40966">
      <w:pPr>
        <w:pStyle w:val="aDef"/>
      </w:pPr>
      <w:r>
        <w:rPr>
          <w:b/>
          <w:i/>
        </w:rPr>
        <w:t>corrosion resistant metal</w:t>
      </w:r>
      <w:r>
        <w:t xml:space="preserve"> means a metal so alloyed as to provide resistance to rust and corrosion under normal atmospheric conditions.</w:t>
      </w:r>
    </w:p>
    <w:p w:rsidR="00B40966" w:rsidRDefault="00B40966">
      <w:pPr>
        <w:pStyle w:val="Amain"/>
      </w:pPr>
      <w:r>
        <w:tab/>
        <w:t>(55)</w:t>
      </w:r>
      <w:r>
        <w:tab/>
        <w:t>Such metal shall be so processed as to conform to the best current practices to minimise segregation, oxides, flaws and internal stresses and shall have a minimum tensile strength of not less than 55,000 pounds per square inch with an elongation of 25% in 2 inches.</w:t>
      </w:r>
    </w:p>
    <w:p w:rsidR="00B40966" w:rsidRDefault="00B40966">
      <w:pPr>
        <w:pStyle w:val="Amain"/>
      </w:pPr>
      <w:r>
        <w:tab/>
        <w:t>(56)</w:t>
      </w:r>
      <w:r>
        <w:tab/>
        <w:t>Such metal where specified to be used in the manufacture of devices required in this section shall be approved.</w:t>
      </w:r>
    </w:p>
    <w:p w:rsidR="00B40966" w:rsidRDefault="00B40966">
      <w:pPr>
        <w:pStyle w:val="Amain"/>
        <w:keepLines/>
      </w:pPr>
      <w:r>
        <w:tab/>
        <w:t>(57)</w:t>
      </w:r>
      <w:r>
        <w:tab/>
        <w:t>Two tensile test bars shall be taken from each heat or batch of pieces at the time of forging or from bar stock of machined items for use by the chief inspector in performing the tests the chief inspector considers necessary.</w:t>
      </w:r>
    </w:p>
    <w:p w:rsidR="00B40966" w:rsidRDefault="00B40966">
      <w:pPr>
        <w:pStyle w:val="Assectheading"/>
        <w:rPr>
          <w:i w:val="0"/>
        </w:rPr>
      </w:pPr>
      <w:r>
        <w:rPr>
          <w:rStyle w:val="charItals"/>
          <w:i/>
        </w:rPr>
        <w:t>Safety belts</w:t>
      </w:r>
      <w:r>
        <w:rPr>
          <w:i w:val="0"/>
          <w:color w:val="000000"/>
        </w:rPr>
        <w:t>—</w:t>
      </w:r>
      <w:r>
        <w:rPr>
          <w:rStyle w:val="charItals"/>
          <w:i/>
        </w:rPr>
        <w:t>approved safety belts to be provided</w:t>
      </w:r>
    </w:p>
    <w:p w:rsidR="00B40966" w:rsidRDefault="00B40966">
      <w:pPr>
        <w:pStyle w:val="Amain"/>
      </w:pPr>
      <w:r>
        <w:tab/>
        <w:t>(58)</w:t>
      </w:r>
      <w:r>
        <w:tab/>
        <w:t>The person employing, directing or suffering another to clean windows provided with anchors shall provide or cause to be provided a properly fitting approved safety belt if the cleaning of the windows requires any part of the window cleaner’s body other than 1 arm or hand to project beyond the frame in which the window is set.</w:t>
      </w:r>
    </w:p>
    <w:p w:rsidR="00B40966" w:rsidRDefault="00B40966">
      <w:pPr>
        <w:pStyle w:val="Assectheading"/>
        <w:rPr>
          <w:i w:val="0"/>
        </w:rPr>
      </w:pPr>
      <w:r>
        <w:rPr>
          <w:rStyle w:val="charItals"/>
          <w:i/>
        </w:rPr>
        <w:t>Safety belts</w:t>
      </w:r>
      <w:r>
        <w:rPr>
          <w:i w:val="0"/>
          <w:color w:val="000000"/>
        </w:rPr>
        <w:t>—</w:t>
      </w:r>
      <w:r>
        <w:rPr>
          <w:rStyle w:val="charItals"/>
          <w:i/>
        </w:rPr>
        <w:t>construction</w:t>
      </w:r>
    </w:p>
    <w:p w:rsidR="00B40966" w:rsidRDefault="00B40966">
      <w:pPr>
        <w:pStyle w:val="Amain"/>
      </w:pPr>
      <w:r>
        <w:tab/>
        <w:t>(59)</w:t>
      </w:r>
      <w:r>
        <w:tab/>
        <w:t>Straps used in the construction of safety belts shall be of woven fabric or cotton or manilla rope and shall be made of first quality material, which shall be treated against mildew by a non-acid and non-corrosive anti-mildew agent.</w:t>
      </w:r>
    </w:p>
    <w:p w:rsidR="00B40966" w:rsidRDefault="00B40966">
      <w:pPr>
        <w:pStyle w:val="Amain"/>
      </w:pPr>
      <w:r>
        <w:tab/>
        <w:t>(60)</w:t>
      </w:r>
      <w:r>
        <w:tab/>
        <w:t>Stitching of the material shall be done with hot waxed, best quality linen thread and shall be lock stitching.</w:t>
      </w:r>
    </w:p>
    <w:p w:rsidR="00B40966" w:rsidRDefault="00B40966">
      <w:pPr>
        <w:pStyle w:val="Amain"/>
      </w:pPr>
      <w:r>
        <w:tab/>
        <w:t>(61)</w:t>
      </w:r>
      <w:r>
        <w:tab/>
        <w:t>Fabric ends shall be bound or dipped in wax to prevent unravelling.</w:t>
      </w:r>
    </w:p>
    <w:p w:rsidR="00B40966" w:rsidRDefault="00B40966">
      <w:pPr>
        <w:pStyle w:val="Assectheading"/>
        <w:rPr>
          <w:i w:val="0"/>
        </w:rPr>
      </w:pPr>
      <w:r>
        <w:rPr>
          <w:rStyle w:val="charItals"/>
          <w:i/>
        </w:rPr>
        <w:t>Safety belts</w:t>
      </w:r>
      <w:r>
        <w:rPr>
          <w:i w:val="0"/>
          <w:color w:val="000000"/>
        </w:rPr>
        <w:t>—</w:t>
      </w:r>
      <w:r>
        <w:rPr>
          <w:rStyle w:val="charItals"/>
          <w:i/>
        </w:rPr>
        <w:t>approval test of safety belts</w:t>
      </w:r>
    </w:p>
    <w:p w:rsidR="00B40966" w:rsidRDefault="00B40966">
      <w:pPr>
        <w:pStyle w:val="Amain"/>
      </w:pPr>
      <w:r>
        <w:tab/>
        <w:t>(62)</w:t>
      </w:r>
      <w:r>
        <w:tab/>
        <w:t>Before approval by the chief inspector of a safety belt, a sample of the belt shall be tested in accordance with the following subsections.</w:t>
      </w:r>
    </w:p>
    <w:p w:rsidR="00B40966" w:rsidRDefault="00B40966">
      <w:pPr>
        <w:pStyle w:val="Amain"/>
      </w:pPr>
      <w:r>
        <w:tab/>
        <w:t>(63)</w:t>
      </w:r>
      <w:r>
        <w:tab/>
        <w:t>The test shall be performed by a recognised, disinterested authority, acceptable to the chief inspector.</w:t>
      </w:r>
    </w:p>
    <w:p w:rsidR="00B40966" w:rsidRDefault="00B40966">
      <w:pPr>
        <w:pStyle w:val="Amain"/>
        <w:keepLines/>
      </w:pPr>
      <w:r>
        <w:tab/>
        <w:t>(64)</w:t>
      </w:r>
      <w:r>
        <w:tab/>
        <w:t>Two copies of the report of the testing authority, which shall include a detailed description of the test sample, the test procedure and test results, shall be submitted to the chief inspector with the application for approval.</w:t>
      </w:r>
    </w:p>
    <w:p w:rsidR="00B40966" w:rsidRDefault="00B40966">
      <w:pPr>
        <w:pStyle w:val="Amain"/>
      </w:pPr>
      <w:r>
        <w:tab/>
        <w:t>(65)</w:t>
      </w:r>
      <w:r>
        <w:tab/>
        <w:t>The complete assembly of the safety belt shall be capable of holding a 250 pound weight falling free for a distance of 4 feet.</w:t>
      </w:r>
    </w:p>
    <w:p w:rsidR="00B40966" w:rsidRDefault="00B40966">
      <w:pPr>
        <w:pStyle w:val="Amain"/>
      </w:pPr>
      <w:r>
        <w:tab/>
        <w:t>(66)</w:t>
      </w:r>
      <w:r>
        <w:tab/>
        <w:t>For the purposes of the test—</w:t>
      </w:r>
    </w:p>
    <w:p w:rsidR="00B40966" w:rsidRDefault="00B40966">
      <w:pPr>
        <w:pStyle w:val="Apara"/>
      </w:pPr>
      <w:r>
        <w:tab/>
        <w:t>(a)</w:t>
      </w:r>
      <w:r>
        <w:tab/>
        <w:t>the test weight shall be a rigid object 45 inches in girth and having a weight of 250 pounds; and</w:t>
      </w:r>
    </w:p>
    <w:p w:rsidR="00B40966" w:rsidRDefault="00B40966">
      <w:pPr>
        <w:pStyle w:val="Apara"/>
      </w:pPr>
      <w:r>
        <w:tab/>
        <w:t>(b)</w:t>
      </w:r>
      <w:r>
        <w:tab/>
        <w:t>it shall be held by the body belt that shall be secured by the belt buckle in the same way as when the belt is worn by a window cleaner; and</w:t>
      </w:r>
    </w:p>
    <w:p w:rsidR="00B40966" w:rsidRDefault="00B40966">
      <w:pPr>
        <w:pStyle w:val="Apara"/>
      </w:pPr>
      <w:r>
        <w:tab/>
        <w:t>(c)</w:t>
      </w:r>
      <w:r>
        <w:tab/>
        <w:t>1 belt terminal shall be attached to a rigid anchor; and</w:t>
      </w:r>
    </w:p>
    <w:p w:rsidR="00B40966" w:rsidRDefault="00B40966">
      <w:pPr>
        <w:pStyle w:val="Apara"/>
      </w:pPr>
      <w:r>
        <w:tab/>
        <w:t>(d)</w:t>
      </w:r>
      <w:r>
        <w:tab/>
        <w:t>the test weight shall fall free for a distance of 4 feet from a point in vertical alignment with the point of suspension.</w:t>
      </w:r>
    </w:p>
    <w:p w:rsidR="00B40966" w:rsidRDefault="00B40966">
      <w:pPr>
        <w:pStyle w:val="Amain"/>
      </w:pPr>
      <w:r>
        <w:tab/>
        <w:t>(67)</w:t>
      </w:r>
      <w:r>
        <w:tab/>
        <w:t>A safety belt or any of its parts that have been used for testing purposes shall not afterwards be used.</w:t>
      </w:r>
    </w:p>
    <w:p w:rsidR="00B40966" w:rsidRDefault="00B40966">
      <w:pPr>
        <w:pStyle w:val="Assectheading"/>
        <w:rPr>
          <w:i w:val="0"/>
        </w:rPr>
      </w:pPr>
      <w:r>
        <w:rPr>
          <w:rStyle w:val="charItals"/>
          <w:i/>
        </w:rPr>
        <w:t>Safety belts</w:t>
      </w:r>
      <w:r>
        <w:rPr>
          <w:i w:val="0"/>
          <w:color w:val="000000"/>
        </w:rPr>
        <w:t>—</w:t>
      </w:r>
      <w:r>
        <w:rPr>
          <w:rStyle w:val="charItals"/>
          <w:i/>
        </w:rPr>
        <w:t>metal thimbles</w:t>
      </w:r>
    </w:p>
    <w:p w:rsidR="00B40966" w:rsidRDefault="00B40966">
      <w:pPr>
        <w:pStyle w:val="Amain"/>
      </w:pPr>
      <w:r>
        <w:tab/>
        <w:t>(68)</w:t>
      </w:r>
      <w:r>
        <w:tab/>
        <w:t>Metal thimbles shall be provided if safety straps or lines are secured to eyes or rings.</w:t>
      </w:r>
    </w:p>
    <w:p w:rsidR="00B40966" w:rsidRDefault="00B40966">
      <w:pPr>
        <w:pStyle w:val="Amain"/>
      </w:pPr>
      <w:r>
        <w:tab/>
        <w:t>(69)</w:t>
      </w:r>
      <w:r>
        <w:tab/>
        <w:t>Fabric straps shall be reinforced with leather at such points of wear.</w:t>
      </w:r>
    </w:p>
    <w:p w:rsidR="00B40966" w:rsidRDefault="00B40966">
      <w:pPr>
        <w:pStyle w:val="Amain"/>
      </w:pPr>
      <w:r>
        <w:tab/>
        <w:t>(70)</w:t>
      </w:r>
      <w:r>
        <w:tab/>
        <w:t>Thimbles for fabric straps shall run free, shall be finished smooth throughout and shall have rounded edges.</w:t>
      </w:r>
    </w:p>
    <w:p w:rsidR="00B40966" w:rsidRDefault="00B40966">
      <w:pPr>
        <w:pStyle w:val="Assectheading"/>
        <w:rPr>
          <w:i w:val="0"/>
        </w:rPr>
      </w:pPr>
      <w:r>
        <w:rPr>
          <w:rStyle w:val="charItals"/>
          <w:i/>
        </w:rPr>
        <w:t>Safety belts</w:t>
      </w:r>
      <w:r>
        <w:rPr>
          <w:i w:val="0"/>
          <w:color w:val="000000"/>
        </w:rPr>
        <w:t>—</w:t>
      </w:r>
      <w:r>
        <w:rPr>
          <w:rStyle w:val="charItals"/>
          <w:i/>
        </w:rPr>
        <w:t>terminals and other metal fittings</w:t>
      </w:r>
    </w:p>
    <w:p w:rsidR="00B40966" w:rsidRDefault="00B40966">
      <w:pPr>
        <w:pStyle w:val="Amain"/>
      </w:pPr>
      <w:r>
        <w:tab/>
        <w:t>(71)</w:t>
      </w:r>
      <w:r>
        <w:tab/>
        <w:t>Safety strap and line terminals and other safety belt metal fittings subject to stress during use shall not be cast but shall be forged or machined from approved corrosion resistant rolled metal alloy.</w:t>
      </w:r>
    </w:p>
    <w:p w:rsidR="00B40966" w:rsidRDefault="00B40966">
      <w:pPr>
        <w:pStyle w:val="Amain"/>
      </w:pPr>
      <w:r>
        <w:tab/>
        <w:t>(72)</w:t>
      </w:r>
      <w:r>
        <w:tab/>
        <w:t>If steel is used, it shall conform to an approved specification.</w:t>
      </w:r>
    </w:p>
    <w:p w:rsidR="00B40966" w:rsidRDefault="00B40966">
      <w:pPr>
        <w:pStyle w:val="Amain"/>
      </w:pPr>
      <w:r>
        <w:tab/>
        <w:t>(73)</w:t>
      </w:r>
      <w:r>
        <w:tab/>
        <w:t>The finished product shall be free of imperfection.</w:t>
      </w:r>
    </w:p>
    <w:p w:rsidR="00B40966" w:rsidRDefault="00B40966">
      <w:pPr>
        <w:pStyle w:val="Amain"/>
      </w:pPr>
      <w:r>
        <w:tab/>
        <w:t>(74)</w:t>
      </w:r>
      <w:r>
        <w:tab/>
        <w:t>After forging, the metal shall be properly heat treated.</w:t>
      </w:r>
    </w:p>
    <w:p w:rsidR="00B40966" w:rsidRDefault="00B40966">
      <w:pPr>
        <w:pStyle w:val="Amain"/>
      </w:pPr>
      <w:r>
        <w:tab/>
        <w:t>(75)</w:t>
      </w:r>
      <w:r>
        <w:tab/>
        <w:t>Such terminals and other metal fittings shall meet the strength requirements of subsections (30) to (33).</w:t>
      </w:r>
    </w:p>
    <w:p w:rsidR="00B40966" w:rsidRDefault="00B40966">
      <w:pPr>
        <w:pStyle w:val="Amain"/>
      </w:pPr>
      <w:r>
        <w:tab/>
        <w:t>(76)</w:t>
      </w:r>
      <w:r>
        <w:tab/>
        <w:t>The dimensions of terminal slots shall conform to the dimensions mentioned in schedule 7, plate 1, figure 3.</w:t>
      </w:r>
    </w:p>
    <w:p w:rsidR="00B40966" w:rsidRDefault="00B40966">
      <w:pPr>
        <w:pStyle w:val="Amain"/>
      </w:pPr>
      <w:r>
        <w:tab/>
        <w:t>(77)</w:t>
      </w:r>
      <w:r>
        <w:tab/>
        <w:t>An approved safety catch shall be included as part of each safety strap or line terminal.</w:t>
      </w:r>
    </w:p>
    <w:p w:rsidR="00B40966" w:rsidRDefault="00B40966">
      <w:pPr>
        <w:pStyle w:val="Assectheading"/>
        <w:rPr>
          <w:i w:val="0"/>
        </w:rPr>
      </w:pPr>
      <w:r>
        <w:rPr>
          <w:rStyle w:val="charItals"/>
          <w:i/>
        </w:rPr>
        <w:t>Safety belts</w:t>
      </w:r>
      <w:r>
        <w:rPr>
          <w:i w:val="0"/>
          <w:color w:val="000000"/>
        </w:rPr>
        <w:t>—</w:t>
      </w:r>
      <w:r>
        <w:rPr>
          <w:rStyle w:val="charItals"/>
          <w:i/>
        </w:rPr>
        <w:t>method of use</w:t>
      </w:r>
    </w:p>
    <w:p w:rsidR="00B40966" w:rsidRDefault="00B40966">
      <w:pPr>
        <w:pStyle w:val="Amain"/>
      </w:pPr>
      <w:r>
        <w:tab/>
        <w:t>(78)</w:t>
      </w:r>
      <w:r>
        <w:tab/>
        <w:t>A window cleaner using a safety belt shall attach 1 safety strap or line terminal to an anchor before stepping out on to a window sill and 1 safety strap or line terminal shall remain attached to an anchor while the window cleaner is stepping back into the building.</w:t>
      </w:r>
    </w:p>
    <w:p w:rsidR="00B40966" w:rsidRDefault="00B40966">
      <w:pPr>
        <w:pStyle w:val="Amain"/>
      </w:pPr>
      <w:r>
        <w:tab/>
        <w:t>(79)</w:t>
      </w:r>
      <w:r>
        <w:tab/>
        <w:t>During window cleaning, both safety strap or line terminals shall be attached to anchors.</w:t>
      </w:r>
    </w:p>
    <w:p w:rsidR="00B40966" w:rsidRDefault="00B40966">
      <w:pPr>
        <w:pStyle w:val="Assectheading"/>
        <w:rPr>
          <w:i w:val="0"/>
        </w:rPr>
      </w:pPr>
      <w:r>
        <w:rPr>
          <w:rStyle w:val="charItals"/>
          <w:i/>
        </w:rPr>
        <w:t>Maintenance of safety belts</w:t>
      </w:r>
      <w:r>
        <w:rPr>
          <w:i w:val="0"/>
          <w:color w:val="000000"/>
        </w:rPr>
        <w:t>—</w:t>
      </w:r>
      <w:r>
        <w:rPr>
          <w:rStyle w:val="charItals"/>
          <w:i/>
        </w:rPr>
        <w:t>examination</w:t>
      </w:r>
    </w:p>
    <w:p w:rsidR="00B40966" w:rsidRDefault="00B40966">
      <w:pPr>
        <w:pStyle w:val="Amain"/>
      </w:pPr>
      <w:r>
        <w:tab/>
        <w:t>(80)</w:t>
      </w:r>
      <w:r>
        <w:tab/>
        <w:t>All safety belts shall be frequently examined by the person employing, directing or permitting another to engage in window cleaning and they shall also be examined by the window cleaner before use each day and no belt shall be used that does not provide the safety required by this section.</w:t>
      </w:r>
    </w:p>
    <w:p w:rsidR="00B40966" w:rsidRDefault="00B40966">
      <w:pPr>
        <w:pStyle w:val="Assectheading"/>
        <w:rPr>
          <w:i w:val="0"/>
        </w:rPr>
      </w:pPr>
      <w:r>
        <w:rPr>
          <w:rStyle w:val="charItals"/>
          <w:i/>
        </w:rPr>
        <w:t>Maintenance of safety belts</w:t>
      </w:r>
      <w:r>
        <w:rPr>
          <w:i w:val="0"/>
          <w:color w:val="000000"/>
        </w:rPr>
        <w:t>—</w:t>
      </w:r>
      <w:r>
        <w:rPr>
          <w:rStyle w:val="charItals"/>
          <w:i/>
        </w:rPr>
        <w:t>storage and handling</w:t>
      </w:r>
    </w:p>
    <w:p w:rsidR="00B40966" w:rsidRDefault="00B40966">
      <w:pPr>
        <w:pStyle w:val="Amain"/>
        <w:keepNext/>
      </w:pPr>
      <w:r>
        <w:tab/>
        <w:t>(81)</w:t>
      </w:r>
      <w:r>
        <w:tab/>
        <w:t>All safety belts shall be so stored and handled as to prevent rust or injury to them.</w:t>
      </w:r>
    </w:p>
    <w:p w:rsidR="00B40966" w:rsidRDefault="00B40966">
      <w:pPr>
        <w:pStyle w:val="Amain"/>
      </w:pPr>
      <w:r>
        <w:tab/>
        <w:t>(82)</w:t>
      </w:r>
      <w:r>
        <w:tab/>
        <w:t>Safety belts shall not be stored in the same room with acids or other deleterious chemicals.</w:t>
      </w:r>
    </w:p>
    <w:p w:rsidR="00B40966" w:rsidRDefault="00B40966">
      <w:pPr>
        <w:pStyle w:val="Assectheading"/>
        <w:rPr>
          <w:i w:val="0"/>
        </w:rPr>
      </w:pPr>
      <w:r>
        <w:rPr>
          <w:rStyle w:val="charItals"/>
          <w:i/>
        </w:rPr>
        <w:t>Maintenance of safety belts</w:t>
      </w:r>
      <w:r>
        <w:rPr>
          <w:i w:val="0"/>
          <w:color w:val="000000"/>
        </w:rPr>
        <w:t>—</w:t>
      </w:r>
      <w:r>
        <w:rPr>
          <w:rStyle w:val="charItals"/>
          <w:i/>
        </w:rPr>
        <w:t>affected by mildew or corrosive agent</w:t>
      </w:r>
    </w:p>
    <w:p w:rsidR="00B40966" w:rsidRDefault="00B40966">
      <w:pPr>
        <w:pStyle w:val="Amain"/>
      </w:pPr>
      <w:r>
        <w:tab/>
        <w:t>(83)</w:t>
      </w:r>
      <w:r>
        <w:tab/>
        <w:t>No safety belt shall be used that has been affected by mildew, by the action of acid, or by any other corrosive or deleterious chemicals.</w:t>
      </w:r>
    </w:p>
    <w:p w:rsidR="00B40966" w:rsidRDefault="00B40966">
      <w:pPr>
        <w:pStyle w:val="Assectheading"/>
        <w:rPr>
          <w:i w:val="0"/>
        </w:rPr>
      </w:pPr>
      <w:r>
        <w:rPr>
          <w:rStyle w:val="charItals"/>
          <w:i/>
        </w:rPr>
        <w:t>Wear and replacement</w:t>
      </w:r>
      <w:r>
        <w:rPr>
          <w:i w:val="0"/>
          <w:color w:val="000000"/>
        </w:rPr>
        <w:t>—</w:t>
      </w:r>
      <w:r>
        <w:rPr>
          <w:rStyle w:val="charItals"/>
          <w:i/>
        </w:rPr>
        <w:t>safety straps and lines</w:t>
      </w:r>
    </w:p>
    <w:p w:rsidR="00B40966" w:rsidRDefault="00B40966">
      <w:pPr>
        <w:pStyle w:val="Amain"/>
      </w:pPr>
      <w:r>
        <w:tab/>
        <w:t>(84)</w:t>
      </w:r>
      <w:r>
        <w:tab/>
        <w:t>Safety straps or lines that have become damaged or unduly worn or show broken threads or fibres shall be replaced by new straps or lines.</w:t>
      </w:r>
    </w:p>
    <w:p w:rsidR="00B40966" w:rsidRDefault="00B40966">
      <w:pPr>
        <w:pStyle w:val="Assectheading"/>
        <w:rPr>
          <w:i w:val="0"/>
        </w:rPr>
      </w:pPr>
      <w:r>
        <w:rPr>
          <w:rStyle w:val="charItals"/>
          <w:i/>
        </w:rPr>
        <w:t>Wear and replacement</w:t>
      </w:r>
      <w:r>
        <w:rPr>
          <w:i w:val="0"/>
          <w:color w:val="000000"/>
        </w:rPr>
        <w:t>—</w:t>
      </w:r>
      <w:r>
        <w:rPr>
          <w:rStyle w:val="charItals"/>
          <w:i/>
        </w:rPr>
        <w:t>belt terminals</w:t>
      </w:r>
    </w:p>
    <w:p w:rsidR="00B40966" w:rsidRDefault="00B40966">
      <w:pPr>
        <w:pStyle w:val="Amain"/>
      </w:pPr>
      <w:r>
        <w:tab/>
        <w:t>(85)</w:t>
      </w:r>
      <w:r>
        <w:tab/>
        <w:t xml:space="preserve">No belt terminal shall be used if any point in the slot will accommodate a </w:t>
      </w:r>
      <w:r>
        <w:rPr>
          <w:position w:val="6"/>
          <w:sz w:val="18"/>
        </w:rPr>
        <w:t>9</w:t>
      </w:r>
      <w:r>
        <w:t>/</w:t>
      </w:r>
      <w:r>
        <w:rPr>
          <w:sz w:val="18"/>
        </w:rPr>
        <w:t>16</w:t>
      </w:r>
      <w:r>
        <w:t xml:space="preserve"> of an inch plug gauge.</w:t>
      </w:r>
    </w:p>
    <w:p w:rsidR="00B40966" w:rsidRDefault="00B40966">
      <w:pPr>
        <w:pStyle w:val="Assectheading"/>
        <w:rPr>
          <w:i w:val="0"/>
        </w:rPr>
      </w:pPr>
      <w:r>
        <w:rPr>
          <w:rStyle w:val="charItals"/>
          <w:i/>
        </w:rPr>
        <w:t>Wear and replacement</w:t>
      </w:r>
      <w:r>
        <w:rPr>
          <w:i w:val="0"/>
          <w:color w:val="000000"/>
        </w:rPr>
        <w:t>—</w:t>
      </w:r>
      <w:r>
        <w:rPr>
          <w:rStyle w:val="charItals"/>
          <w:i/>
        </w:rPr>
        <w:t>links</w:t>
      </w:r>
    </w:p>
    <w:p w:rsidR="00B40966" w:rsidRDefault="00B40966">
      <w:pPr>
        <w:pStyle w:val="Amain"/>
      </w:pPr>
      <w:r>
        <w:tab/>
        <w:t>(86)</w:t>
      </w:r>
      <w:r>
        <w:tab/>
        <w:t>No link shall be used in a safety strap or line if any dimension of a section of it is less than 0.300 inch.</w:t>
      </w:r>
    </w:p>
    <w:p w:rsidR="00B40966" w:rsidRDefault="00B40966">
      <w:pPr>
        <w:pStyle w:val="Assectheading"/>
        <w:rPr>
          <w:i w:val="0"/>
        </w:rPr>
      </w:pPr>
      <w:r>
        <w:rPr>
          <w:rStyle w:val="charItals"/>
          <w:i/>
        </w:rPr>
        <w:t>Use of ladders in window cleaning</w:t>
      </w:r>
      <w:r>
        <w:rPr>
          <w:i w:val="0"/>
          <w:color w:val="000000"/>
        </w:rPr>
        <w:t>—</w:t>
      </w:r>
      <w:r>
        <w:rPr>
          <w:rStyle w:val="charItals"/>
          <w:i/>
        </w:rPr>
        <w:t>when to be used</w:t>
      </w:r>
    </w:p>
    <w:p w:rsidR="00B40966" w:rsidRDefault="00B40966">
      <w:pPr>
        <w:pStyle w:val="Amain"/>
      </w:pPr>
      <w:r>
        <w:tab/>
        <w:t>(87)</w:t>
      </w:r>
      <w:r>
        <w:tab/>
        <w:t>No person shall use a ladder for window cleaning except if the windows cannot be cleaned safely and practicably by other approved means.</w:t>
      </w:r>
    </w:p>
    <w:p w:rsidR="00B40966" w:rsidRDefault="00B40966">
      <w:pPr>
        <w:pStyle w:val="Assectheading"/>
        <w:rPr>
          <w:i w:val="0"/>
        </w:rPr>
      </w:pPr>
      <w:r>
        <w:rPr>
          <w:rStyle w:val="charItals"/>
          <w:i/>
        </w:rPr>
        <w:t>Use of ladders in window cleaning</w:t>
      </w:r>
      <w:r>
        <w:rPr>
          <w:i w:val="0"/>
          <w:color w:val="000000"/>
        </w:rPr>
        <w:t>—</w:t>
      </w:r>
      <w:r>
        <w:rPr>
          <w:rStyle w:val="charItals"/>
          <w:i/>
        </w:rPr>
        <w:t>prevention of slipping</w:t>
      </w:r>
    </w:p>
    <w:p w:rsidR="00B40966" w:rsidRDefault="00B40966">
      <w:pPr>
        <w:pStyle w:val="Amain"/>
      </w:pPr>
      <w:r>
        <w:tab/>
        <w:t>(88)</w:t>
      </w:r>
      <w:r>
        <w:tab/>
        <w:t>All ladders used in connection with window cleaning shall be provided with approved means to prevent slipping.</w:t>
      </w:r>
    </w:p>
    <w:p w:rsidR="00B40966" w:rsidRDefault="00B40966">
      <w:pPr>
        <w:pStyle w:val="Assectheading"/>
        <w:rPr>
          <w:i w:val="0"/>
        </w:rPr>
      </w:pPr>
      <w:r>
        <w:rPr>
          <w:rStyle w:val="charItals"/>
          <w:i/>
        </w:rPr>
        <w:t>Use of ladders in window cleaning</w:t>
      </w:r>
      <w:r>
        <w:rPr>
          <w:i w:val="0"/>
          <w:color w:val="000000"/>
        </w:rPr>
        <w:t>—</w:t>
      </w:r>
      <w:r>
        <w:rPr>
          <w:rStyle w:val="charItals"/>
          <w:i/>
        </w:rPr>
        <w:t>person to hold ladder</w:t>
      </w:r>
    </w:p>
    <w:p w:rsidR="00B40966" w:rsidRDefault="00B40966">
      <w:pPr>
        <w:pStyle w:val="Amain"/>
      </w:pPr>
      <w:r>
        <w:tab/>
        <w:t>(89)</w:t>
      </w:r>
      <w:r>
        <w:tab/>
        <w:t>No person shall use a ladder more than 18 feet in length for window cleaning unless a person is stationed at all times at the foot of the ladder to hold it in place while the window cleaner is on it.</w:t>
      </w:r>
    </w:p>
    <w:p w:rsidR="00B40966" w:rsidRDefault="00B40966">
      <w:pPr>
        <w:pStyle w:val="Amain"/>
      </w:pPr>
      <w:r>
        <w:tab/>
        <w:t>(90)</w:t>
      </w:r>
      <w:r>
        <w:tab/>
        <w:t>The person at the foot shall face the ladder and hold it with both hands.</w:t>
      </w:r>
    </w:p>
    <w:p w:rsidR="00B40966" w:rsidRDefault="00B40966">
      <w:pPr>
        <w:pStyle w:val="Amain"/>
      </w:pPr>
      <w:r>
        <w:rPr>
          <w:color w:val="000000"/>
        </w:rPr>
        <w:tab/>
        <w:t>(91)</w:t>
      </w:r>
      <w:r>
        <w:rPr>
          <w:color w:val="000000"/>
        </w:rPr>
        <w:tab/>
        <w:t>The provisions of this section shall not apply to any private domestic dwelling house.</w:t>
      </w:r>
    </w:p>
    <w:p w:rsidR="00B40966" w:rsidRDefault="00B40966">
      <w:pPr>
        <w:pStyle w:val="AH4SubDiv"/>
      </w:pPr>
      <w:bookmarkStart w:id="149" w:name="_Toc87258007"/>
      <w:r>
        <w:t>Spray painting</w:t>
      </w:r>
      <w:bookmarkEnd w:id="149"/>
    </w:p>
    <w:p w:rsidR="00B40966" w:rsidRDefault="00B40966">
      <w:pPr>
        <w:pStyle w:val="AH5Sec"/>
      </w:pPr>
      <w:bookmarkStart w:id="150" w:name="_Toc87258008"/>
      <w:r>
        <w:rPr>
          <w:rStyle w:val="CharSectNo"/>
        </w:rPr>
        <w:t>83</w:t>
      </w:r>
      <w:bookmarkEnd w:id="150"/>
      <w:r>
        <w:tab/>
        <w:t xml:space="preserve">  </w:t>
      </w:r>
    </w:p>
    <w:p w:rsidR="00B40966" w:rsidRDefault="00B40966">
      <w:pPr>
        <w:pStyle w:val="Assectheading"/>
      </w:pPr>
      <w:r>
        <w:t>Definitions</w:t>
      </w:r>
    </w:p>
    <w:p w:rsidR="00B40966" w:rsidRDefault="00B40966">
      <w:pPr>
        <w:pStyle w:val="Amain"/>
      </w:pPr>
      <w:r>
        <w:rPr>
          <w:color w:val="000000"/>
        </w:rPr>
        <w:tab/>
        <w:t>(1)</w:t>
      </w:r>
      <w:r>
        <w:rPr>
          <w:color w:val="000000"/>
        </w:rPr>
        <w:tab/>
        <w:t>In this section:</w:t>
      </w:r>
    </w:p>
    <w:p w:rsidR="00B40966" w:rsidRDefault="00B40966">
      <w:pPr>
        <w:pStyle w:val="aDef"/>
      </w:pPr>
      <w:r>
        <w:rPr>
          <w:rStyle w:val="charBoldItals"/>
        </w:rPr>
        <w:t>spray painting</w:t>
      </w:r>
      <w:r>
        <w:t xml:space="preserve"> means coating interiors of buildings or coating other structures by spraying with lead paint, silica paint, enamel, vitreous enamel, lacquer or other material.</w:t>
      </w:r>
    </w:p>
    <w:p w:rsidR="00B40966" w:rsidRDefault="00B40966">
      <w:pPr>
        <w:pStyle w:val="aDef"/>
      </w:pPr>
      <w:r>
        <w:rPr>
          <w:rStyle w:val="charBoldItals"/>
        </w:rPr>
        <w:t>inflammable liquid</w:t>
      </w:r>
      <w:r>
        <w:t xml:space="preserve"> means a liquid that, when tested in the way mentioned in the </w:t>
      </w:r>
      <w:r>
        <w:rPr>
          <w:i/>
        </w:rPr>
        <w:t>Inflammable Liquid Act</w:t>
      </w:r>
      <w:r>
        <w:t>, 1915-1946, schedule, gives off an inflammable vapour at a temperature less than 90° Fahrenheit.</w:t>
      </w:r>
    </w:p>
    <w:p w:rsidR="00B40966" w:rsidRDefault="00B40966">
      <w:pPr>
        <w:pStyle w:val="aDef"/>
      </w:pPr>
      <w:r>
        <w:rPr>
          <w:rStyle w:val="charBoldItals"/>
        </w:rPr>
        <w:t>lead paint</w:t>
      </w:r>
      <w:r>
        <w:t xml:space="preserve"> means any paint, paste, spray, stopping, filling or other material used in painting, that, when tested in the way prescribed in schedule 5, yields to an aqueous solution of hydrochloric acid, a quantity of soluble lead compound exceeding, when calculated as lead monoxide, 5% of the dry weight of the part taken for analysis.</w:t>
      </w:r>
    </w:p>
    <w:p w:rsidR="00B40966" w:rsidRDefault="00B40966">
      <w:pPr>
        <w:pStyle w:val="aDef"/>
      </w:pPr>
      <w:r>
        <w:rPr>
          <w:rStyle w:val="charBoldItals"/>
        </w:rPr>
        <w:t>silica paint</w:t>
      </w:r>
      <w:r>
        <w:t xml:space="preserve"> means any paint, paste, glaze, spray or other material that, when tested in the way prescribed in schedule 3, contains free silica to the extent of 2% or more of the dry weight of the part taken for analysis.</w:t>
      </w:r>
    </w:p>
    <w:p w:rsidR="00B40966" w:rsidRDefault="00B40966">
      <w:pPr>
        <w:pStyle w:val="Amain"/>
      </w:pPr>
      <w:r>
        <w:rPr>
          <w:color w:val="000000"/>
        </w:rPr>
        <w:tab/>
        <w:t>(2)</w:t>
      </w:r>
      <w:r>
        <w:rPr>
          <w:color w:val="000000"/>
        </w:rPr>
        <w:tab/>
        <w:t>Except as otherwise provided in this section, the person who directly or by his or her servants or agents carries out spray painting shall be responsible for compliance with the provisions of this section.</w:t>
      </w:r>
    </w:p>
    <w:p w:rsidR="00B40966" w:rsidRDefault="00B40966">
      <w:pPr>
        <w:pStyle w:val="Assectheading"/>
        <w:rPr>
          <w:i w:val="0"/>
          <w:color w:val="000000"/>
        </w:rPr>
      </w:pPr>
      <w:r>
        <w:rPr>
          <w:rStyle w:val="charItals"/>
          <w:i/>
        </w:rPr>
        <w:t>Prohibited substances</w:t>
      </w:r>
    </w:p>
    <w:p w:rsidR="00B40966" w:rsidRDefault="00B40966">
      <w:pPr>
        <w:pStyle w:val="Amain"/>
      </w:pPr>
      <w:r>
        <w:rPr>
          <w:color w:val="000000"/>
        </w:rPr>
        <w:tab/>
        <w:t>(3)</w:t>
      </w:r>
      <w:r>
        <w:rPr>
          <w:color w:val="000000"/>
        </w:rPr>
        <w:tab/>
        <w:t>The following substances shall not be used in spray painting: carbon bisulphide, carbon tetrachloride, arsenic or its compounds.</w:t>
      </w:r>
    </w:p>
    <w:p w:rsidR="00B40966" w:rsidRDefault="00B40966">
      <w:pPr>
        <w:pStyle w:val="Assectheading"/>
        <w:rPr>
          <w:i w:val="0"/>
          <w:color w:val="000000"/>
        </w:rPr>
      </w:pPr>
      <w:r>
        <w:rPr>
          <w:rStyle w:val="charItals"/>
          <w:i/>
        </w:rPr>
        <w:t>Restricted substances</w:t>
      </w:r>
    </w:p>
    <w:p w:rsidR="00B40966" w:rsidRDefault="00B40966">
      <w:pPr>
        <w:pStyle w:val="Amain"/>
        <w:rPr>
          <w:color w:val="000000"/>
        </w:rPr>
      </w:pPr>
      <w:r>
        <w:rPr>
          <w:color w:val="000000"/>
        </w:rPr>
        <w:tab/>
        <w:t>(4)</w:t>
      </w:r>
      <w:r>
        <w:rPr>
          <w:color w:val="000000"/>
        </w:rPr>
        <w:tab/>
        <w:t>Material used in spray painting shall not contain benzol or methyl alcohol in excess of 1%.</w:t>
      </w:r>
    </w:p>
    <w:p w:rsidR="00B40966" w:rsidRDefault="00B40966">
      <w:pPr>
        <w:pStyle w:val="Assectheading"/>
        <w:rPr>
          <w:rStyle w:val="charItals"/>
          <w:i/>
        </w:rPr>
      </w:pPr>
      <w:r>
        <w:rPr>
          <w:rStyle w:val="charItals"/>
          <w:i/>
        </w:rPr>
        <w:t>Provision of fire-extinguishers</w:t>
      </w:r>
    </w:p>
    <w:p w:rsidR="00B40966" w:rsidRDefault="00B40966">
      <w:pPr>
        <w:pStyle w:val="Amain"/>
        <w:rPr>
          <w:color w:val="000000"/>
        </w:rPr>
      </w:pPr>
      <w:r>
        <w:rPr>
          <w:color w:val="000000"/>
        </w:rPr>
        <w:tab/>
        <w:t>(5)</w:t>
      </w:r>
      <w:r>
        <w:rPr>
          <w:color w:val="000000"/>
        </w:rPr>
        <w:tab/>
        <w:t>A sufficient number of fire-extinguishers of the foam or other approved type shall be maintained in the place where any material having a nitrocellulose or inflammable liquid content is being sprayed.</w:t>
      </w:r>
    </w:p>
    <w:p w:rsidR="00B40966" w:rsidRDefault="00B40966">
      <w:pPr>
        <w:pStyle w:val="Assectheading"/>
      </w:pPr>
      <w:r>
        <w:rPr>
          <w:rStyle w:val="charItals"/>
          <w:i/>
        </w:rPr>
        <w:t>Metal containers for used cleaning rags</w:t>
      </w:r>
    </w:p>
    <w:p w:rsidR="00B40966" w:rsidRDefault="00B40966">
      <w:pPr>
        <w:pStyle w:val="Amain"/>
        <w:rPr>
          <w:color w:val="000000"/>
        </w:rPr>
      </w:pPr>
      <w:r>
        <w:rPr>
          <w:color w:val="000000"/>
        </w:rPr>
        <w:tab/>
        <w:t>(6)</w:t>
      </w:r>
      <w:r>
        <w:rPr>
          <w:color w:val="000000"/>
        </w:rPr>
        <w:tab/>
        <w:t>Metal containers, with close-fitting lids, shall be provided for the deposit of cotton waste, cleaning rags or similar materials that have been used.</w:t>
      </w:r>
    </w:p>
    <w:p w:rsidR="00B40966" w:rsidRDefault="00B40966">
      <w:pPr>
        <w:pStyle w:val="Amain"/>
        <w:rPr>
          <w:color w:val="000000"/>
        </w:rPr>
      </w:pPr>
      <w:r>
        <w:rPr>
          <w:color w:val="000000"/>
        </w:rPr>
        <w:tab/>
        <w:t>(7)</w:t>
      </w:r>
      <w:r>
        <w:rPr>
          <w:color w:val="000000"/>
        </w:rPr>
        <w:tab/>
        <w:t>The containers shall at the close of work each day be removed from the building or structure where the spray painting operations are being carried out.</w:t>
      </w:r>
    </w:p>
    <w:p w:rsidR="00B40966" w:rsidRDefault="00B40966">
      <w:pPr>
        <w:pStyle w:val="Assectheading"/>
      </w:pPr>
      <w:r>
        <w:rPr>
          <w:rStyle w:val="charItals"/>
          <w:i/>
        </w:rPr>
        <w:t>Smoking and naked lights prohibited</w:t>
      </w:r>
    </w:p>
    <w:p w:rsidR="00B40966" w:rsidRDefault="00B40966">
      <w:pPr>
        <w:pStyle w:val="Amain"/>
      </w:pPr>
      <w:r>
        <w:rPr>
          <w:color w:val="000000"/>
        </w:rPr>
        <w:tab/>
        <w:t>(8)</w:t>
      </w:r>
      <w:r>
        <w:rPr>
          <w:color w:val="000000"/>
        </w:rPr>
        <w:tab/>
        <w:t>No person shall—</w:t>
      </w:r>
    </w:p>
    <w:p w:rsidR="00B40966" w:rsidRDefault="00B40966">
      <w:pPr>
        <w:pStyle w:val="Apara"/>
      </w:pPr>
      <w:r>
        <w:tab/>
        <w:t>(a)</w:t>
      </w:r>
      <w:r>
        <w:tab/>
        <w:t>smoke; or</w:t>
      </w:r>
    </w:p>
    <w:p w:rsidR="00B40966" w:rsidRDefault="00B40966">
      <w:pPr>
        <w:pStyle w:val="Apara"/>
      </w:pPr>
      <w:r>
        <w:tab/>
        <w:t>(b)</w:t>
      </w:r>
      <w:r>
        <w:tab/>
        <w:t>have any fire, naked light, flame or other source of ignition within any place in a building or structure where spray painting is being carried out.</w:t>
      </w:r>
    </w:p>
    <w:p w:rsidR="00B40966" w:rsidRDefault="00B40966">
      <w:pPr>
        <w:pStyle w:val="Assectheading"/>
      </w:pPr>
      <w:r>
        <w:rPr>
          <w:rStyle w:val="charItals"/>
          <w:i/>
        </w:rPr>
        <w:t>Doors to open outwards</w:t>
      </w:r>
    </w:p>
    <w:p w:rsidR="00B40966" w:rsidRDefault="00B40966">
      <w:pPr>
        <w:pStyle w:val="Amain"/>
        <w:rPr>
          <w:color w:val="000000"/>
        </w:rPr>
      </w:pPr>
      <w:r>
        <w:rPr>
          <w:color w:val="000000"/>
        </w:rPr>
        <w:tab/>
        <w:t>(9)</w:t>
      </w:r>
      <w:r>
        <w:rPr>
          <w:color w:val="000000"/>
        </w:rPr>
        <w:tab/>
        <w:t>If any building or structure or any place within a building or structure where place spray painting is being carried out, is fitted with doors, the doors shall be arranged to open outwards.</w:t>
      </w:r>
    </w:p>
    <w:p w:rsidR="00B40966" w:rsidRDefault="00B40966">
      <w:pPr>
        <w:pStyle w:val="Assectheading"/>
      </w:pPr>
      <w:r>
        <w:rPr>
          <w:rStyle w:val="charItals"/>
          <w:i/>
        </w:rPr>
        <w:t>Ventilation of work places</w:t>
      </w:r>
    </w:p>
    <w:p w:rsidR="00B40966" w:rsidRDefault="00B40966">
      <w:pPr>
        <w:pStyle w:val="Amain"/>
      </w:pPr>
      <w:r>
        <w:rPr>
          <w:color w:val="000000"/>
        </w:rPr>
        <w:tab/>
        <w:t>(10)</w:t>
      </w:r>
      <w:r>
        <w:rPr>
          <w:color w:val="000000"/>
        </w:rPr>
        <w:tab/>
        <w:t>The air in any room or place where spray painting is being done shall be changed by natural ventilation, exhaust fan or other means at least 20 times in each hour.</w:t>
      </w:r>
    </w:p>
    <w:p w:rsidR="00B40966" w:rsidRDefault="00B40966">
      <w:pPr>
        <w:pStyle w:val="Amain"/>
      </w:pPr>
      <w:r>
        <w:tab/>
        <w:t>(11)</w:t>
      </w:r>
      <w:r>
        <w:tab/>
        <w:t>If any spray painting is done in a confined space without such air changes, the contractor shall provide a positive pressure helmet for use by each person working in the space.</w:t>
      </w:r>
    </w:p>
    <w:p w:rsidR="00B40966" w:rsidRDefault="00B40966">
      <w:pPr>
        <w:pStyle w:val="Assectheading"/>
      </w:pPr>
      <w:r>
        <w:rPr>
          <w:rStyle w:val="charItals"/>
          <w:i/>
        </w:rPr>
        <w:t>Storage of lead and silica paint</w:t>
      </w:r>
    </w:p>
    <w:p w:rsidR="00B40966" w:rsidRDefault="00B40966">
      <w:pPr>
        <w:pStyle w:val="Amain"/>
      </w:pPr>
      <w:r>
        <w:rPr>
          <w:color w:val="000000"/>
        </w:rPr>
        <w:tab/>
        <w:t>(12)</w:t>
      </w:r>
      <w:r>
        <w:rPr>
          <w:color w:val="000000"/>
        </w:rPr>
        <w:tab/>
        <w:t>Lead paint and silica paint shall not be stored or kept otherwise than in receptacles legibly marked ‘</w:t>
      </w:r>
      <w:r>
        <w:rPr>
          <w:caps/>
          <w:color w:val="000000"/>
        </w:rPr>
        <w:t>lead paint</w:t>
      </w:r>
      <w:r>
        <w:rPr>
          <w:color w:val="000000"/>
        </w:rPr>
        <w:t>’ and ‘</w:t>
      </w:r>
      <w:r>
        <w:rPr>
          <w:caps/>
          <w:color w:val="000000"/>
        </w:rPr>
        <w:t>silica paint</w:t>
      </w:r>
      <w:r>
        <w:rPr>
          <w:color w:val="000000"/>
        </w:rPr>
        <w:t>’, respectively.</w:t>
      </w:r>
    </w:p>
    <w:p w:rsidR="00B40966" w:rsidRDefault="00B40966">
      <w:pPr>
        <w:pStyle w:val="Amain"/>
        <w:keepNext/>
      </w:pPr>
      <w:r>
        <w:tab/>
        <w:t>(13)</w:t>
      </w:r>
      <w:r>
        <w:tab/>
        <w:t>However, subsection (12) does not apply to receptacles—</w:t>
      </w:r>
    </w:p>
    <w:p w:rsidR="00B40966" w:rsidRDefault="00B40966">
      <w:pPr>
        <w:pStyle w:val="Apara"/>
      </w:pPr>
      <w:r>
        <w:tab/>
        <w:t>(a)</w:t>
      </w:r>
      <w:r>
        <w:tab/>
        <w:t>containing lead paint or silica paint in actual use in spray painting; or</w:t>
      </w:r>
    </w:p>
    <w:p w:rsidR="00B40966" w:rsidRDefault="00B40966">
      <w:pPr>
        <w:pStyle w:val="Apara"/>
      </w:pPr>
      <w:r>
        <w:tab/>
        <w:t>(b)</w:t>
      </w:r>
      <w:r>
        <w:tab/>
        <w:t>for mixing lead paint or silica paint for immediate use.</w:t>
      </w:r>
    </w:p>
    <w:p w:rsidR="00B40966" w:rsidRDefault="00B40966">
      <w:pPr>
        <w:pStyle w:val="Assectheading"/>
      </w:pPr>
      <w:r>
        <w:rPr>
          <w:rStyle w:val="charItals"/>
          <w:i/>
        </w:rPr>
        <w:t>Preparation of stopping</w:t>
      </w:r>
    </w:p>
    <w:p w:rsidR="00B40966" w:rsidRDefault="00B40966">
      <w:pPr>
        <w:pStyle w:val="Amain"/>
      </w:pPr>
      <w:r>
        <w:rPr>
          <w:color w:val="000000"/>
        </w:rPr>
        <w:tab/>
        <w:t>(14)</w:t>
      </w:r>
      <w:r>
        <w:rPr>
          <w:color w:val="000000"/>
        </w:rPr>
        <w:tab/>
        <w:t>White lead, or sulphate of lead, shall not be manipulated or used in the preparation of painters’ stopping material, except under an efficient exhaust draught so arranged as to remove the dust produced, as nearly as may be, at its point of origin.</w:t>
      </w:r>
    </w:p>
    <w:p w:rsidR="00B40966" w:rsidRDefault="00B40966">
      <w:pPr>
        <w:pStyle w:val="Amain"/>
      </w:pPr>
      <w:r>
        <w:tab/>
        <w:t>(15)</w:t>
      </w:r>
      <w:r>
        <w:tab/>
        <w:t>However, subsection (14) does not apply if the stopping material is prepared by a worker solely for his or her own use.</w:t>
      </w:r>
    </w:p>
    <w:p w:rsidR="00B40966" w:rsidRDefault="00B40966">
      <w:pPr>
        <w:pStyle w:val="Amain"/>
      </w:pPr>
      <w:r>
        <w:rPr>
          <w:color w:val="000000"/>
        </w:rPr>
        <w:tab/>
        <w:t>(16)</w:t>
      </w:r>
      <w:r>
        <w:rPr>
          <w:color w:val="000000"/>
        </w:rPr>
        <w:tab/>
        <w:t>Every person who directly or by his or her servants or agents carries out spray painting shall—</w:t>
      </w:r>
    </w:p>
    <w:p w:rsidR="00B40966" w:rsidRDefault="00B40966">
      <w:pPr>
        <w:pStyle w:val="Apara"/>
      </w:pPr>
      <w:r>
        <w:tab/>
        <w:t>(a)</w:t>
      </w:r>
      <w:r>
        <w:tab/>
        <w:t>provide and maintain for the use of all persons engaged in, or exposed to the spraying of lead paint or silica paint, approved overalls, head coverings and gloves; and</w:t>
      </w:r>
    </w:p>
    <w:p w:rsidR="00B40966" w:rsidRDefault="00B40966">
      <w:pPr>
        <w:pStyle w:val="Apara"/>
      </w:pPr>
      <w:r>
        <w:tab/>
        <w:t>(b)</w:t>
      </w:r>
      <w:r>
        <w:tab/>
        <w:t>ensure that the overalls, head coverings and gloves are thoroughly washed and cleaned at the expense of the person providing them at intervals of not more than 1 week; and</w:t>
      </w:r>
    </w:p>
    <w:p w:rsidR="00B40966" w:rsidRDefault="00B40966">
      <w:pPr>
        <w:pStyle w:val="Apara"/>
      </w:pPr>
      <w:r>
        <w:tab/>
        <w:t>(c)</w:t>
      </w:r>
      <w:r>
        <w:tab/>
        <w:t>provide and maintain for the use of every person engaged in spray painting a sufficient quantity of material capable of removing paint or spraying mixture from his or her hands and face; and</w:t>
      </w:r>
    </w:p>
    <w:p w:rsidR="00B40966" w:rsidRDefault="00B40966">
      <w:pPr>
        <w:pStyle w:val="Apara"/>
      </w:pPr>
      <w:r>
        <w:tab/>
        <w:t>(d)</w:t>
      </w:r>
      <w:r>
        <w:tab/>
        <w:t>provide for persons employed in spraying lead paint or silica paint an adequate supply of hot water for washing purposes and a sufficient supply of towels, nail brushes and soap; and</w:t>
      </w:r>
    </w:p>
    <w:p w:rsidR="00B40966" w:rsidRDefault="00B40966">
      <w:pPr>
        <w:pStyle w:val="Apara"/>
        <w:keepNext/>
      </w:pPr>
      <w:r>
        <w:tab/>
        <w:t>(e)</w:t>
      </w:r>
      <w:r>
        <w:tab/>
        <w:t>provide approved respirators and maintain them in an efficient condition for all persons engaged in—</w:t>
      </w:r>
    </w:p>
    <w:p w:rsidR="00B40966" w:rsidRDefault="00B40966">
      <w:pPr>
        <w:pStyle w:val="Asubpara"/>
      </w:pPr>
      <w:r>
        <w:tab/>
        <w:t>(i)</w:t>
      </w:r>
      <w:r>
        <w:tab/>
        <w:t>spray painting in which lead paint or silica paint is used; or</w:t>
      </w:r>
    </w:p>
    <w:p w:rsidR="00B40966" w:rsidRDefault="00B40966">
      <w:pPr>
        <w:pStyle w:val="Asubpara"/>
      </w:pPr>
      <w:r>
        <w:tab/>
        <w:t>(ii)</w:t>
      </w:r>
      <w:r>
        <w:tab/>
        <w:t>spray painting in which any other material detrimental to health is used; or</w:t>
      </w:r>
    </w:p>
    <w:p w:rsidR="00B40966" w:rsidRDefault="00B40966">
      <w:pPr>
        <w:pStyle w:val="Asubpara"/>
      </w:pPr>
      <w:r>
        <w:tab/>
        <w:t>(iii)</w:t>
      </w:r>
      <w:r>
        <w:tab/>
        <w:t>the dry rubbing down or scraping of a surface painted with lead paint or silica paint;</w:t>
      </w:r>
    </w:p>
    <w:p w:rsidR="00B40966" w:rsidRDefault="00B40966">
      <w:pPr>
        <w:pStyle w:val="Aparareturn"/>
      </w:pPr>
      <w:r>
        <w:t>and for all persons otherwise exposed to the lead paint or silica paint or to such other detrimental material.</w:t>
      </w:r>
    </w:p>
    <w:p w:rsidR="00B40966" w:rsidRDefault="00B40966">
      <w:pPr>
        <w:pStyle w:val="Assectheading"/>
      </w:pPr>
      <w:r>
        <w:rPr>
          <w:rStyle w:val="charItals"/>
          <w:i/>
        </w:rPr>
        <w:t>Sampling material used for spray painting</w:t>
      </w:r>
    </w:p>
    <w:p w:rsidR="00B40966" w:rsidRDefault="00B40966">
      <w:pPr>
        <w:pStyle w:val="Amain"/>
        <w:rPr>
          <w:color w:val="000000"/>
        </w:rPr>
      </w:pPr>
      <w:r>
        <w:rPr>
          <w:color w:val="000000"/>
        </w:rPr>
        <w:tab/>
        <w:t>(17)</w:t>
      </w:r>
      <w:r>
        <w:rPr>
          <w:color w:val="000000"/>
        </w:rPr>
        <w:tab/>
        <w:t>When requested by an inspector a sample of any material in use or mixed for use in spray painting shall be provided by the user and this shall be taken in the presence of the inspector who shall forthwith seal the sample and give it to a competent analyst.</w:t>
      </w:r>
    </w:p>
    <w:p w:rsidR="00B40966" w:rsidRDefault="00B40966">
      <w:pPr>
        <w:pStyle w:val="Amain"/>
        <w:rPr>
          <w:color w:val="000000"/>
        </w:rPr>
      </w:pPr>
      <w:r>
        <w:rPr>
          <w:color w:val="000000"/>
        </w:rPr>
        <w:tab/>
        <w:t>(18)</w:t>
      </w:r>
      <w:r>
        <w:rPr>
          <w:color w:val="000000"/>
        </w:rPr>
        <w:tab/>
        <w:t>Should the user so desire, a second sample shall be sealed at the same time by the inspector and handed to the user.</w:t>
      </w:r>
    </w:p>
    <w:p w:rsidR="00B40966" w:rsidRDefault="00B40966">
      <w:pPr>
        <w:pStyle w:val="Assectheading"/>
      </w:pPr>
      <w:r>
        <w:rPr>
          <w:rStyle w:val="charItals"/>
          <w:i/>
        </w:rPr>
        <w:t>Health register</w:t>
      </w:r>
    </w:p>
    <w:p w:rsidR="00B40966" w:rsidRDefault="00B40966">
      <w:pPr>
        <w:pStyle w:val="Amain"/>
      </w:pPr>
      <w:r>
        <w:rPr>
          <w:color w:val="000000"/>
        </w:rPr>
        <w:tab/>
        <w:t>(19)</w:t>
      </w:r>
      <w:r>
        <w:rPr>
          <w:color w:val="000000"/>
        </w:rPr>
        <w:tab/>
        <w:t>Every person employing any person in spray painting shall keep a health register in which shall be entered the names of all persons employed in, or exposed to spray painting and if any employee is absent from work for 3 days or more owing to illness attributable to spray painting or exposure to it, the name of the employee, together with his or her age and address and the date of cessation from work and duration of absence, shall be entered by the contractor in the health register.</w:t>
      </w:r>
    </w:p>
    <w:p w:rsidR="00B40966" w:rsidRDefault="00B40966">
      <w:pPr>
        <w:pStyle w:val="Amain"/>
      </w:pPr>
      <w:r>
        <w:tab/>
        <w:t>(20)</w:t>
      </w:r>
      <w:r>
        <w:tab/>
        <w:t>The health register kept under this section shall, on demand being made by an inspector at any reasonable time, be produced for examination.</w:t>
      </w:r>
    </w:p>
    <w:p w:rsidR="00B40966" w:rsidRDefault="00B40966">
      <w:pPr>
        <w:pStyle w:val="Assectheading"/>
      </w:pPr>
      <w:r>
        <w:rPr>
          <w:rStyle w:val="charItals"/>
          <w:i/>
        </w:rPr>
        <w:t>Duties of spray-gun operators</w:t>
      </w:r>
    </w:p>
    <w:p w:rsidR="00B40966" w:rsidRDefault="00B40966">
      <w:pPr>
        <w:pStyle w:val="Amain"/>
      </w:pPr>
      <w:r>
        <w:rPr>
          <w:color w:val="000000"/>
        </w:rPr>
        <w:tab/>
        <w:t>(21)</w:t>
      </w:r>
      <w:r>
        <w:rPr>
          <w:color w:val="000000"/>
        </w:rPr>
        <w:tab/>
        <w:t>Every spray-gun operator shall—</w:t>
      </w:r>
    </w:p>
    <w:p w:rsidR="00B40966" w:rsidRDefault="00B40966">
      <w:pPr>
        <w:pStyle w:val="Apara"/>
      </w:pPr>
      <w:r>
        <w:tab/>
        <w:t>(a)</w:t>
      </w:r>
      <w:r>
        <w:tab/>
        <w:t>so adjust the atomisation pressure of the spray-gun as to avoid creating undue mist; and</w:t>
      </w:r>
    </w:p>
    <w:p w:rsidR="00B40966" w:rsidRDefault="00B40966">
      <w:pPr>
        <w:pStyle w:val="Apara"/>
      </w:pPr>
      <w:r>
        <w:tab/>
        <w:t>(b)</w:t>
      </w:r>
      <w:r>
        <w:tab/>
        <w:t>so use a spray-gun that neither the operator nor any other worker continuously comes between the outlet of the spray-gun in operation and any fan provided for the purposes of ventilation; and</w:t>
      </w:r>
    </w:p>
    <w:p w:rsidR="00B40966" w:rsidRDefault="00B40966">
      <w:pPr>
        <w:pStyle w:val="Apara"/>
      </w:pPr>
      <w:r>
        <w:tab/>
        <w:t>(c)</w:t>
      </w:r>
      <w:r>
        <w:tab/>
        <w:t>not test the spray-gun by spraying promiscuously about any room or place; and</w:t>
      </w:r>
    </w:p>
    <w:p w:rsidR="00B40966" w:rsidRDefault="00B40966">
      <w:pPr>
        <w:pStyle w:val="Apara"/>
      </w:pPr>
      <w:r>
        <w:tab/>
        <w:t>(d)</w:t>
      </w:r>
      <w:r>
        <w:tab/>
        <w:t>wear the overalls, head covering and gloves prescribed in subsection (16) when engaged in or exposed to the spray painting of lead paint or silica paint; and</w:t>
      </w:r>
    </w:p>
    <w:p w:rsidR="00B40966" w:rsidRDefault="00B40966">
      <w:pPr>
        <w:pStyle w:val="Apara"/>
      </w:pPr>
      <w:r>
        <w:tab/>
        <w:t>(e)</w:t>
      </w:r>
      <w:r>
        <w:tab/>
        <w:t>wear the respirators required to be provided by subsection (16) when engaged in or in connection with any of the processes referred to in that subsection.</w:t>
      </w:r>
    </w:p>
    <w:p w:rsidR="00B40966" w:rsidRDefault="00B40966">
      <w:pPr>
        <w:pStyle w:val="Assectheading"/>
      </w:pPr>
      <w:r>
        <w:rPr>
          <w:rStyle w:val="charItals"/>
          <w:i/>
        </w:rPr>
        <w:t>Duties of other persons employed</w:t>
      </w:r>
    </w:p>
    <w:p w:rsidR="00B40966" w:rsidRDefault="00B40966">
      <w:pPr>
        <w:pStyle w:val="Amain"/>
      </w:pPr>
      <w:r>
        <w:rPr>
          <w:color w:val="000000"/>
        </w:rPr>
        <w:tab/>
        <w:t>(22)</w:t>
      </w:r>
      <w:r>
        <w:rPr>
          <w:color w:val="000000"/>
        </w:rPr>
        <w:tab/>
        <w:t>Every person shall—</w:t>
      </w:r>
    </w:p>
    <w:p w:rsidR="00B40966" w:rsidRDefault="00B40966">
      <w:pPr>
        <w:pStyle w:val="Apara"/>
      </w:pPr>
      <w:r>
        <w:tab/>
        <w:t>(a)</w:t>
      </w:r>
      <w:r>
        <w:tab/>
        <w:t>wear the overalls and head covering and gloves prescribed in subsection (16) while exposed to spray painting of lead paint or of silica paint; and</w:t>
      </w:r>
    </w:p>
    <w:p w:rsidR="00B40966" w:rsidRDefault="00B40966">
      <w:pPr>
        <w:pStyle w:val="Apara"/>
      </w:pPr>
      <w:r>
        <w:tab/>
        <w:t>(b)</w:t>
      </w:r>
      <w:r>
        <w:tab/>
        <w:t>wear the respirator required to be provided by subsection (16) while engaged in or in connection with any of the processes referred to in that subsection; and</w:t>
      </w:r>
    </w:p>
    <w:p w:rsidR="00B40966" w:rsidRDefault="00B40966">
      <w:pPr>
        <w:pStyle w:val="Apara"/>
      </w:pPr>
      <w:r>
        <w:tab/>
        <w:t>(c)</w:t>
      </w:r>
      <w:r>
        <w:tab/>
        <w:t>cause all cotton waste, cleaning rags or similar materials that have been used for cleaning up in a spray painting operation to be deposited in the metal containers provided in accordance with subsection (6); and</w:t>
      </w:r>
    </w:p>
    <w:p w:rsidR="00B40966" w:rsidRDefault="00B40966">
      <w:pPr>
        <w:pStyle w:val="Apara"/>
      </w:pPr>
      <w:r>
        <w:tab/>
        <w:t>(d)</w:t>
      </w:r>
      <w:r>
        <w:tab/>
        <w:t>refrain from smoking and from introducing, keeping, preparing or partaking of any food or drink in a room or place where a spray painting operation is being carried on; and</w:t>
      </w:r>
    </w:p>
    <w:p w:rsidR="00B40966" w:rsidRDefault="00B40966">
      <w:pPr>
        <w:pStyle w:val="Apara"/>
      </w:pPr>
      <w:r>
        <w:tab/>
        <w:t>(e)</w:t>
      </w:r>
      <w:r>
        <w:tab/>
        <w:t>after being employed in, or exposed to spray painting, thoroughly cleanse his or her face and hands before partaking of food or leaving the site of the building work.</w:t>
      </w:r>
    </w:p>
    <w:p w:rsidR="00B40966" w:rsidRDefault="00B40966">
      <w:pPr>
        <w:pStyle w:val="AH3Div"/>
      </w:pPr>
      <w:bookmarkStart w:id="151" w:name="_Toc87258009"/>
      <w:r>
        <w:rPr>
          <w:rStyle w:val="CharDivNo"/>
        </w:rPr>
        <w:t>Division 5.3</w:t>
      </w:r>
      <w:r>
        <w:rPr>
          <w:rStyle w:val="CharDivNo"/>
        </w:rPr>
        <w:tab/>
      </w:r>
      <w:r>
        <w:rPr>
          <w:rStyle w:val="CharDivText"/>
        </w:rPr>
        <w:t>Demolition of buildings and structures</w:t>
      </w:r>
      <w:bookmarkEnd w:id="151"/>
    </w:p>
    <w:p w:rsidR="00B40966" w:rsidRDefault="00B40966">
      <w:pPr>
        <w:pStyle w:val="AH5Sec"/>
      </w:pPr>
      <w:bookmarkStart w:id="152" w:name="_Toc87258010"/>
      <w:r>
        <w:rPr>
          <w:rStyle w:val="CharSectNo"/>
        </w:rPr>
        <w:t>84</w:t>
      </w:r>
      <w:bookmarkEnd w:id="152"/>
      <w:r>
        <w:tab/>
        <w:t xml:space="preserve">  </w:t>
      </w:r>
    </w:p>
    <w:p w:rsidR="00B40966" w:rsidRDefault="00B40966">
      <w:pPr>
        <w:pStyle w:val="Amain"/>
      </w:pPr>
      <w:r>
        <w:rPr>
          <w:color w:val="000000"/>
        </w:rPr>
        <w:tab/>
        <w:t>(1)</w:t>
      </w:r>
      <w:r>
        <w:rPr>
          <w:color w:val="000000"/>
        </w:rPr>
        <w:tab/>
      </w:r>
      <w:r>
        <w:t>This section shall apply to the demolition of any building or structure or substantial part of a building or structure.</w:t>
      </w:r>
    </w:p>
    <w:p w:rsidR="00B40966" w:rsidRDefault="00B40966">
      <w:pPr>
        <w:pStyle w:val="Amain"/>
      </w:pPr>
      <w:r>
        <w:tab/>
        <w:t>(2)</w:t>
      </w:r>
      <w:r>
        <w:tab/>
        <w:t>However, subsections (6), (9) and (11) do not apply in relation to the use of explosives within the meaning of the</w:t>
      </w:r>
      <w:r>
        <w:rPr>
          <w:rStyle w:val="charItals"/>
        </w:rPr>
        <w:t xml:space="preserve"> Occupational Health and Safety Regulation 1991</w:t>
      </w:r>
      <w:r>
        <w:t>.</w:t>
      </w:r>
    </w:p>
    <w:p w:rsidR="00B40966" w:rsidRDefault="00B40966">
      <w:pPr>
        <w:pStyle w:val="Amain"/>
        <w:rPr>
          <w:color w:val="000000"/>
        </w:rPr>
      </w:pPr>
      <w:r>
        <w:rPr>
          <w:color w:val="000000"/>
        </w:rPr>
        <w:tab/>
        <w:t>(3)</w:t>
      </w:r>
      <w:r>
        <w:rPr>
          <w:color w:val="000000"/>
        </w:rPr>
        <w:tab/>
        <w:t>Except as otherwise provided in this section, the person who directly or by his or her servants or agents carries out demolition work shall be responsible for compliance with this section.</w:t>
      </w:r>
    </w:p>
    <w:p w:rsidR="00B40966" w:rsidRDefault="00B40966">
      <w:pPr>
        <w:pStyle w:val="Amain"/>
      </w:pPr>
      <w:r>
        <w:rPr>
          <w:color w:val="000000"/>
        </w:rPr>
        <w:tab/>
        <w:t>(4)</w:t>
      </w:r>
      <w:r>
        <w:rPr>
          <w:color w:val="000000"/>
        </w:rPr>
        <w:tab/>
        <w:t>Before demolition is begun and also during the progress of the work—</w:t>
      </w:r>
    </w:p>
    <w:p w:rsidR="00B40966" w:rsidRDefault="00B40966">
      <w:pPr>
        <w:pStyle w:val="Apara"/>
      </w:pPr>
      <w:r>
        <w:tab/>
        <w:t>(a)</w:t>
      </w:r>
      <w:r>
        <w:tab/>
        <w:t>no electric cable or apparatus that is liable to be a source of danger, other than a cable or apparatus used for the operation, shall be allowed to remain electrically charged; and</w:t>
      </w:r>
    </w:p>
    <w:p w:rsidR="00B40966" w:rsidRDefault="00B40966">
      <w:pPr>
        <w:pStyle w:val="Apara"/>
        <w:keepNext/>
      </w:pPr>
      <w:r>
        <w:tab/>
        <w:t>(b)</w:t>
      </w:r>
      <w:r>
        <w:tab/>
        <w:t>all practicable steps shall be taken to prevent danger to all persons—</w:t>
      </w:r>
    </w:p>
    <w:p w:rsidR="00B40966" w:rsidRDefault="00B40966">
      <w:pPr>
        <w:pStyle w:val="Asubpara"/>
      </w:pPr>
      <w:r>
        <w:tab/>
        <w:t>(i)</w:t>
      </w:r>
      <w:r>
        <w:tab/>
        <w:t>from fire or explosion through leakage or accumulation of gas or vapour; and</w:t>
      </w:r>
    </w:p>
    <w:p w:rsidR="00B40966" w:rsidRDefault="00B40966">
      <w:pPr>
        <w:pStyle w:val="Asubpara"/>
      </w:pPr>
      <w:r>
        <w:tab/>
        <w:t>(ii)</w:t>
      </w:r>
      <w:r>
        <w:tab/>
        <w:t>from flooding from water mains, drains or sewers.</w:t>
      </w:r>
    </w:p>
    <w:p w:rsidR="00B40966" w:rsidRDefault="00B40966">
      <w:pPr>
        <w:pStyle w:val="Amain"/>
      </w:pPr>
      <w:r>
        <w:rPr>
          <w:color w:val="000000"/>
        </w:rPr>
        <w:tab/>
        <w:t>(5)</w:t>
      </w:r>
      <w:r>
        <w:rPr>
          <w:color w:val="000000"/>
        </w:rPr>
        <w:tab/>
        <w:t>All glazed sashes and glazed doors shall be removed or boarded up at the start of the demolition work.</w:t>
      </w:r>
    </w:p>
    <w:p w:rsidR="00B40966" w:rsidRDefault="00B40966">
      <w:pPr>
        <w:pStyle w:val="Amain"/>
        <w:rPr>
          <w:color w:val="000000"/>
        </w:rPr>
      </w:pPr>
      <w:r>
        <w:rPr>
          <w:color w:val="000000"/>
        </w:rPr>
        <w:tab/>
        <w:t>(6)</w:t>
      </w:r>
      <w:r>
        <w:rPr>
          <w:color w:val="000000"/>
        </w:rPr>
        <w:tab/>
        <w:t>Demolition of walls shall be executed storey by storey beginning at the roof and working downward.</w:t>
      </w:r>
    </w:p>
    <w:p w:rsidR="00B40966" w:rsidRDefault="00B40966">
      <w:pPr>
        <w:pStyle w:val="Amain"/>
      </w:pPr>
      <w:r>
        <w:rPr>
          <w:color w:val="000000"/>
        </w:rPr>
        <w:tab/>
        <w:t>(7)</w:t>
      </w:r>
      <w:r>
        <w:rPr>
          <w:color w:val="000000"/>
        </w:rPr>
        <w:tab/>
        <w:t>Masonry and brickwork shall be taken down in reasonably even courses.</w:t>
      </w:r>
    </w:p>
    <w:p w:rsidR="00B40966" w:rsidRDefault="00B40966">
      <w:pPr>
        <w:pStyle w:val="Amain"/>
      </w:pPr>
      <w:r>
        <w:rPr>
          <w:color w:val="000000"/>
        </w:rPr>
        <w:tab/>
        <w:t>(8)</w:t>
      </w:r>
      <w:r>
        <w:rPr>
          <w:color w:val="000000"/>
        </w:rPr>
        <w:tab/>
        <w:t>All walls unsupported for a height of 12 feet or more shall be protected against falling by the use of shoring or ties, or both.</w:t>
      </w:r>
    </w:p>
    <w:p w:rsidR="00B40966" w:rsidRDefault="00B40966">
      <w:pPr>
        <w:pStyle w:val="Amain"/>
      </w:pPr>
      <w:r>
        <w:rPr>
          <w:color w:val="000000"/>
        </w:rPr>
        <w:tab/>
        <w:t>(9)</w:t>
      </w:r>
      <w:r>
        <w:rPr>
          <w:color w:val="000000"/>
        </w:rPr>
        <w:tab/>
        <w:t>If walls are thin or structurally weak, scaffolding shall be erected and workers shall work from the scaffolding for the purpose of demolishing the walls.</w:t>
      </w:r>
    </w:p>
    <w:p w:rsidR="00B40966" w:rsidRDefault="00B40966">
      <w:pPr>
        <w:pStyle w:val="Amain"/>
      </w:pPr>
      <w:r>
        <w:rPr>
          <w:color w:val="000000"/>
        </w:rPr>
        <w:tab/>
        <w:t>(10)</w:t>
      </w:r>
      <w:r>
        <w:rPr>
          <w:color w:val="000000"/>
        </w:rPr>
        <w:tab/>
        <w:t>All practicable precautions shall be taken to avoid danger from collapse of the structure when any part of the framing is removed from a framed or partly framed building or structure.</w:t>
      </w:r>
    </w:p>
    <w:p w:rsidR="00B40966" w:rsidRDefault="00B40966">
      <w:pPr>
        <w:pStyle w:val="Amain"/>
      </w:pPr>
      <w:r>
        <w:rPr>
          <w:color w:val="000000"/>
        </w:rPr>
        <w:tab/>
        <w:t>(11)</w:t>
      </w:r>
      <w:r>
        <w:rPr>
          <w:color w:val="000000"/>
        </w:rPr>
        <w:tab/>
        <w:t>All practicable precautions shall be taken to avoid danger from any sudden twist, spring or collapse of any steelwork, ironwork or reinforced concrete when the steelwork, ironwork or reinforced concrete is cut or released.</w:t>
      </w:r>
    </w:p>
    <w:p w:rsidR="00B40966" w:rsidRDefault="00B40966">
      <w:pPr>
        <w:pStyle w:val="Amain"/>
        <w:rPr>
          <w:color w:val="000000"/>
        </w:rPr>
      </w:pPr>
      <w:r>
        <w:rPr>
          <w:color w:val="000000"/>
        </w:rPr>
        <w:tab/>
        <w:t>(12)</w:t>
      </w:r>
      <w:r>
        <w:rPr>
          <w:color w:val="000000"/>
        </w:rPr>
        <w:tab/>
        <w:t>Demolished material, debris, or spoil shall not be allowed to remain on any floor or structure if the weight of the material exceeds the safe carrying capacity of the floor or structure.</w:t>
      </w:r>
    </w:p>
    <w:p w:rsidR="00B40966" w:rsidRDefault="00B40966">
      <w:pPr>
        <w:pStyle w:val="Amain"/>
      </w:pPr>
      <w:r>
        <w:rPr>
          <w:color w:val="000000"/>
        </w:rPr>
        <w:tab/>
        <w:t>(13)</w:t>
      </w:r>
      <w:r>
        <w:rPr>
          <w:color w:val="000000"/>
        </w:rPr>
        <w:tab/>
        <w:t>Demolished material, debris or spoil shall be so piled or stacked that it will not endanger workers or other persons.</w:t>
      </w:r>
    </w:p>
    <w:p w:rsidR="00B40966" w:rsidRDefault="00B40966">
      <w:pPr>
        <w:pStyle w:val="Amain"/>
      </w:pPr>
      <w:r>
        <w:rPr>
          <w:color w:val="000000"/>
        </w:rPr>
        <w:tab/>
        <w:t>(14)</w:t>
      </w:r>
      <w:r>
        <w:rPr>
          <w:color w:val="000000"/>
        </w:rPr>
        <w:tab/>
        <w:t>Accumulated dust creating material, unless thoroughly dampened, shall not be thrown or dropped from the building or structure, but shall be lowered by hoisting apparatus or removed by material chutes that are completely enclosed.</w:t>
      </w:r>
    </w:p>
    <w:p w:rsidR="00B40966" w:rsidRDefault="00B40966">
      <w:pPr>
        <w:pStyle w:val="Amain"/>
        <w:rPr>
          <w:color w:val="000000"/>
        </w:rPr>
      </w:pPr>
      <w:r>
        <w:rPr>
          <w:color w:val="000000"/>
        </w:rPr>
        <w:tab/>
        <w:t>(15)</w:t>
      </w:r>
      <w:r>
        <w:rPr>
          <w:color w:val="000000"/>
        </w:rPr>
        <w:tab/>
        <w:t>The bottom of each material chute shall be equipped with a gate or stop, with suitable means for closing or regulating the flow of material.</w:t>
      </w:r>
    </w:p>
    <w:p w:rsidR="00B40966" w:rsidRDefault="00B40966">
      <w:pPr>
        <w:pStyle w:val="Amain"/>
        <w:rPr>
          <w:color w:val="000000"/>
        </w:rPr>
      </w:pPr>
      <w:r>
        <w:rPr>
          <w:color w:val="000000"/>
        </w:rPr>
        <w:tab/>
        <w:t>(16)</w:t>
      </w:r>
      <w:r>
        <w:rPr>
          <w:color w:val="000000"/>
        </w:rPr>
        <w:tab/>
        <w:t>The gate or stop shall be kept closed except for the discharge of material.</w:t>
      </w:r>
    </w:p>
    <w:p w:rsidR="00B40966" w:rsidRDefault="00B40966">
      <w:pPr>
        <w:pStyle w:val="Amain"/>
      </w:pPr>
      <w:r>
        <w:rPr>
          <w:color w:val="000000"/>
        </w:rPr>
        <w:tab/>
        <w:t>(17)</w:t>
      </w:r>
      <w:r>
        <w:rPr>
          <w:color w:val="000000"/>
        </w:rPr>
        <w:tab/>
        <w:t>Proper tools shall be provided and kept available to loosen material that becomes jammed in the chute.</w:t>
      </w:r>
    </w:p>
    <w:p w:rsidR="00B40966" w:rsidRDefault="00B40966">
      <w:pPr>
        <w:pStyle w:val="Amain"/>
      </w:pPr>
      <w:r>
        <w:rPr>
          <w:color w:val="000000"/>
        </w:rPr>
        <w:tab/>
        <w:t>(18)</w:t>
      </w:r>
      <w:r>
        <w:rPr>
          <w:color w:val="000000"/>
        </w:rPr>
        <w:tab/>
        <w:t>A danger sign shall be placed at the discharge end of every chute.</w:t>
      </w:r>
    </w:p>
    <w:p w:rsidR="00B40966" w:rsidRDefault="00B40966">
      <w:pPr>
        <w:pStyle w:val="Amain"/>
      </w:pPr>
      <w:r>
        <w:rPr>
          <w:color w:val="000000"/>
        </w:rPr>
        <w:tab/>
        <w:t>(19)</w:t>
      </w:r>
      <w:r>
        <w:rPr>
          <w:color w:val="000000"/>
        </w:rPr>
        <w:tab/>
        <w:t>During demolition, chutes, floors, stairways and other places affected shall be sprinkled frequently to keep down dust.</w:t>
      </w:r>
    </w:p>
    <w:p w:rsidR="00B40966" w:rsidRDefault="00B40966">
      <w:pPr>
        <w:pStyle w:val="Amain"/>
        <w:rPr>
          <w:color w:val="000000"/>
        </w:rPr>
      </w:pPr>
      <w:r>
        <w:rPr>
          <w:color w:val="000000"/>
        </w:rPr>
        <w:tab/>
        <w:t>(20)</w:t>
      </w:r>
      <w:r>
        <w:rPr>
          <w:color w:val="000000"/>
        </w:rPr>
        <w:tab/>
        <w:t>Stairs and stair railings shall be kept in place and in usable condition as long as possible.</w:t>
      </w:r>
    </w:p>
    <w:p w:rsidR="00B40966" w:rsidRDefault="00B40966">
      <w:pPr>
        <w:pStyle w:val="Amain"/>
      </w:pPr>
      <w:r>
        <w:rPr>
          <w:color w:val="000000"/>
        </w:rPr>
        <w:tab/>
        <w:t>(21)</w:t>
      </w:r>
      <w:r>
        <w:rPr>
          <w:color w:val="000000"/>
        </w:rPr>
        <w:tab/>
        <w:t>Steps and landings shall be kept free from debris.</w:t>
      </w:r>
    </w:p>
    <w:p w:rsidR="00B40966" w:rsidRDefault="00B40966">
      <w:pPr>
        <w:pStyle w:val="Amain"/>
      </w:pPr>
      <w:r>
        <w:rPr>
          <w:color w:val="000000"/>
        </w:rPr>
        <w:tab/>
        <w:t>(22)</w:t>
      </w:r>
      <w:r>
        <w:rPr>
          <w:color w:val="000000"/>
        </w:rPr>
        <w:tab/>
        <w:t>Openings in floors, unless covered or otherwise protected, shall be provided with guardrails and toe boards.</w:t>
      </w:r>
    </w:p>
    <w:p w:rsidR="00B40966" w:rsidRDefault="00B40966">
      <w:pPr>
        <w:pStyle w:val="Amain"/>
      </w:pPr>
      <w:r>
        <w:rPr>
          <w:color w:val="000000"/>
        </w:rPr>
        <w:tab/>
        <w:t>(23)</w:t>
      </w:r>
      <w:r>
        <w:rPr>
          <w:color w:val="000000"/>
        </w:rPr>
        <w:tab/>
        <w:t>If workers or other persons may be exposed to the danger of being struck by material or objects falling from upper working levels, the exposed area shall be shut off from access by means of guardrails and danger signs shall be posted.</w:t>
      </w:r>
    </w:p>
    <w:p w:rsidR="00B40966" w:rsidRDefault="00B40966">
      <w:pPr>
        <w:pStyle w:val="PageBreak"/>
      </w:pPr>
      <w:r>
        <w:br w:type="page"/>
      </w:r>
    </w:p>
    <w:p w:rsidR="00B40966" w:rsidRDefault="00B40966">
      <w:pPr>
        <w:pStyle w:val="AH2Part"/>
      </w:pPr>
      <w:bookmarkStart w:id="153" w:name="_Toc87258011"/>
      <w:r>
        <w:rPr>
          <w:rStyle w:val="CharPartNo"/>
        </w:rPr>
        <w:t>Part 6</w:t>
      </w:r>
      <w:r>
        <w:tab/>
      </w:r>
      <w:r>
        <w:rPr>
          <w:rStyle w:val="CharPartText"/>
        </w:rPr>
        <w:t>The proper design, construction, erection and use of scaffolding</w:t>
      </w:r>
      <w:bookmarkEnd w:id="153"/>
    </w:p>
    <w:p w:rsidR="00B40966" w:rsidRDefault="00B40966">
      <w:pPr>
        <w:pStyle w:val="Placeholder"/>
      </w:pPr>
      <w:r>
        <w:rPr>
          <w:rStyle w:val="CharDivNo"/>
        </w:rPr>
        <w:t xml:space="preserve">  </w:t>
      </w:r>
      <w:r>
        <w:rPr>
          <w:rStyle w:val="CharDivText"/>
        </w:rPr>
        <w:t xml:space="preserve">  </w:t>
      </w:r>
    </w:p>
    <w:p w:rsidR="00B40966" w:rsidRDefault="00B40966">
      <w:pPr>
        <w:pStyle w:val="AH5Sec"/>
        <w:rPr>
          <w:rStyle w:val="CharSectNo"/>
        </w:rPr>
      </w:pPr>
      <w:bookmarkStart w:id="154" w:name="_Toc87258012"/>
      <w:r>
        <w:rPr>
          <w:rStyle w:val="CharSectNo"/>
        </w:rPr>
        <w:t>85</w:t>
      </w:r>
      <w:r>
        <w:tab/>
      </w:r>
      <w:r>
        <w:rPr>
          <w:rStyle w:val="CharSectNo"/>
        </w:rPr>
        <w:t>Definitions for pt 6</w:t>
      </w:r>
      <w:bookmarkEnd w:id="154"/>
    </w:p>
    <w:p w:rsidR="00B40966" w:rsidRDefault="00B40966">
      <w:pPr>
        <w:pStyle w:val="Amainreturn"/>
      </w:pPr>
      <w:r>
        <w:t>In this regulation:</w:t>
      </w:r>
    </w:p>
    <w:p w:rsidR="00B40966" w:rsidRDefault="00B40966">
      <w:pPr>
        <w:pStyle w:val="aDef"/>
      </w:pPr>
      <w:r>
        <w:rPr>
          <w:rStyle w:val="charBoldItals"/>
        </w:rPr>
        <w:t>birdcage scaffolding</w:t>
      </w:r>
      <w:r>
        <w:t xml:space="preserve"> means independent pole scaffolding used in connection with the interior decoration of buildings or for fixing building ceilings or for other like work in the course of which loads required to be carried by the scaffolding are small in weight when compared with the weight of persons using the scaffolding.</w:t>
      </w:r>
    </w:p>
    <w:p w:rsidR="00B40966" w:rsidRDefault="00B40966">
      <w:pPr>
        <w:pStyle w:val="aDef"/>
      </w:pPr>
      <w:r>
        <w:rPr>
          <w:rStyle w:val="charBoldItals"/>
        </w:rPr>
        <w:t>cantilever scaffolding</w:t>
      </w:r>
      <w:r>
        <w:t xml:space="preserve"> means scaffolding the platform of which is supported by cantilevers.</w:t>
      </w:r>
    </w:p>
    <w:p w:rsidR="00B40966" w:rsidRDefault="00B40966">
      <w:pPr>
        <w:pStyle w:val="aDef"/>
      </w:pPr>
      <w:r>
        <w:rPr>
          <w:rStyle w:val="charBoldItals"/>
        </w:rPr>
        <w:t>heavy duty scaffolding</w:t>
      </w:r>
      <w:r>
        <w:t xml:space="preserve"> means scaffolding used by bricklayers, masons, plasterers and other like tradespeople who in the course of their work require that heavy materials be deposited on the scaffolding.</w:t>
      </w:r>
    </w:p>
    <w:p w:rsidR="00B40966" w:rsidRDefault="00B40966">
      <w:pPr>
        <w:pStyle w:val="aDef"/>
      </w:pPr>
      <w:r>
        <w:rPr>
          <w:rStyle w:val="charBoldItals"/>
        </w:rPr>
        <w:t>independent pole scaffolding</w:t>
      </w:r>
      <w:r>
        <w:t xml:space="preserve"> means scaffolding supported from the base by 2 or more rows of standards independent of support from a wall or other structure.</w:t>
      </w:r>
    </w:p>
    <w:p w:rsidR="00B40966" w:rsidRDefault="00B40966">
      <w:pPr>
        <w:pStyle w:val="aDef"/>
      </w:pPr>
      <w:r>
        <w:rPr>
          <w:rStyle w:val="charBoldItals"/>
        </w:rPr>
        <w:t>light duty scaffolding</w:t>
      </w:r>
      <w:r>
        <w:t xml:space="preserve"> means scaffolding for the use of carpenters, painters, plumbers, electricians and other like tradespeople and that is required to support material of weight greater than that carried by birdcage scaffolding but not so great as that carried by heavy duty scaffolding.</w:t>
      </w:r>
    </w:p>
    <w:p w:rsidR="00B40966" w:rsidRDefault="00B40966">
      <w:pPr>
        <w:pStyle w:val="aDef"/>
      </w:pPr>
      <w:r>
        <w:rPr>
          <w:rStyle w:val="charBoldItals"/>
        </w:rPr>
        <w:t>light swinging stage</w:t>
      </w:r>
      <w:r>
        <w:t xml:space="preserve"> means a scaffolding the working platform of which is suspended from overhead supports and does not exceed 18 feet in length, and whose weight, inclusive of all gear, ropes, tackle, and blocks in addition to all parts integral with the working staging but exclusive of needles, does not exceed 600 pounds, and that is so used that the total load on the working platform including workers and material does not at any time exceed 500 pounds.</w:t>
      </w:r>
    </w:p>
    <w:p w:rsidR="00B40966" w:rsidRDefault="00B40966">
      <w:pPr>
        <w:pStyle w:val="aDef"/>
      </w:pPr>
      <w:r>
        <w:rPr>
          <w:rStyle w:val="charBoldItals"/>
        </w:rPr>
        <w:t>run</w:t>
      </w:r>
      <w:r>
        <w:t xml:space="preserve"> means a stationary incline provided as a means of ascent and descent from one level to another.</w:t>
      </w:r>
    </w:p>
    <w:p w:rsidR="00B40966" w:rsidRDefault="00B40966">
      <w:pPr>
        <w:pStyle w:val="aDef"/>
      </w:pPr>
      <w:r>
        <w:rPr>
          <w:rStyle w:val="charBoldItals"/>
        </w:rPr>
        <w:t>single pole scaffolding</w:t>
      </w:r>
      <w:r>
        <w:t xml:space="preserve"> means a scaffolding supported from the base by but 1 row of standards, the inner edge of the working platform being supported by putlogs fixed to a wall or structure.</w:t>
      </w:r>
    </w:p>
    <w:p w:rsidR="00B40966" w:rsidRDefault="00B40966">
      <w:pPr>
        <w:pStyle w:val="aDef"/>
      </w:pPr>
      <w:r>
        <w:rPr>
          <w:rStyle w:val="charBoldItals"/>
        </w:rPr>
        <w:t>suspended scaffolding</w:t>
      </w:r>
      <w:r>
        <w:t xml:space="preserve"> means a scaffolding the platform of which is suspended from overhead supports by round steel wire ropes and is capable of being raised and lowered by means of winches or like mechanism.</w:t>
      </w:r>
    </w:p>
    <w:p w:rsidR="00B40966" w:rsidRDefault="00B40966">
      <w:pPr>
        <w:pStyle w:val="aDef"/>
      </w:pPr>
      <w:r>
        <w:rPr>
          <w:rStyle w:val="charBoldItals"/>
        </w:rPr>
        <w:t>toe board</w:t>
      </w:r>
      <w:r>
        <w:t xml:space="preserve"> means a board 9 inches in height erected at right angles to a scaffolding platform and tightly against the platform for protection to workers as well as to prevent material or tools falling from the a platform.</w:t>
      </w:r>
    </w:p>
    <w:p w:rsidR="00B40966" w:rsidRDefault="00B40966">
      <w:pPr>
        <w:pStyle w:val="AH3Div"/>
      </w:pPr>
      <w:bookmarkStart w:id="155" w:name="_Toc87258013"/>
      <w:r>
        <w:t>General</w:t>
      </w:r>
      <w:bookmarkEnd w:id="155"/>
    </w:p>
    <w:p w:rsidR="00B40966" w:rsidRDefault="00B40966">
      <w:pPr>
        <w:pStyle w:val="AH5Sec"/>
      </w:pPr>
      <w:bookmarkStart w:id="156" w:name="_Toc87258014"/>
      <w:r>
        <w:rPr>
          <w:rStyle w:val="CharSectNo"/>
        </w:rPr>
        <w:t>86</w:t>
      </w:r>
      <w:bookmarkEnd w:id="156"/>
      <w:r>
        <w:tab/>
        <w:t xml:space="preserve">  </w:t>
      </w:r>
    </w:p>
    <w:p w:rsidR="00B40966" w:rsidRDefault="00B40966">
      <w:pPr>
        <w:pStyle w:val="Assectheading"/>
      </w:pPr>
      <w:r>
        <w:rPr>
          <w:rStyle w:val="charItals"/>
          <w:i/>
        </w:rPr>
        <w:t>Scaffolding construction</w:t>
      </w:r>
    </w:p>
    <w:p w:rsidR="00B40966" w:rsidRDefault="00B40966">
      <w:pPr>
        <w:pStyle w:val="Amain"/>
        <w:rPr>
          <w:color w:val="000000"/>
        </w:rPr>
      </w:pPr>
      <w:r>
        <w:rPr>
          <w:color w:val="000000"/>
        </w:rPr>
        <w:tab/>
        <w:t>(1)</w:t>
      </w:r>
      <w:r>
        <w:rPr>
          <w:color w:val="000000"/>
        </w:rPr>
        <w:tab/>
        <w:t>Every scaffolding and every part of scaffolding shall be of sound material, good construction, adequate strength, free from patent defects and be suitable and safe for the purpose for which it is intended.</w:t>
      </w:r>
    </w:p>
    <w:p w:rsidR="00B40966" w:rsidRDefault="00B40966">
      <w:pPr>
        <w:pStyle w:val="Assectheading"/>
      </w:pPr>
      <w:r>
        <w:rPr>
          <w:rStyle w:val="charItals"/>
          <w:i/>
        </w:rPr>
        <w:t>Timber</w:t>
      </w:r>
    </w:p>
    <w:p w:rsidR="00B40966" w:rsidRDefault="00B40966">
      <w:pPr>
        <w:pStyle w:val="Amain"/>
      </w:pPr>
      <w:r>
        <w:rPr>
          <w:color w:val="000000"/>
        </w:rPr>
        <w:tab/>
        <w:t>(2)</w:t>
      </w:r>
      <w:r>
        <w:rPr>
          <w:color w:val="000000"/>
        </w:rPr>
        <w:tab/>
        <w:t>All timber used in the construction of scaffolding shall be an approved Australian hardwood or Oregon pine (Douglas fir) or other approved timber of equivalent strength and characteristics.</w:t>
      </w:r>
    </w:p>
    <w:p w:rsidR="00B40966" w:rsidRDefault="00B40966">
      <w:pPr>
        <w:pStyle w:val="Amain"/>
      </w:pPr>
      <w:r>
        <w:tab/>
        <w:t>(3)</w:t>
      </w:r>
      <w:r>
        <w:tab/>
        <w:t>Timber shall be thoroughly inspected before use.</w:t>
      </w:r>
    </w:p>
    <w:p w:rsidR="00B40966" w:rsidRDefault="00B40966">
      <w:pPr>
        <w:pStyle w:val="Assectheading"/>
        <w:rPr>
          <w:i w:val="0"/>
        </w:rPr>
      </w:pPr>
      <w:r>
        <w:rPr>
          <w:rStyle w:val="charItals"/>
          <w:i/>
        </w:rPr>
        <w:t>Working platforms</w:t>
      </w:r>
      <w:r>
        <w:rPr>
          <w:i w:val="0"/>
          <w:color w:val="000000"/>
        </w:rPr>
        <w:t>—</w:t>
      </w:r>
      <w:r>
        <w:rPr>
          <w:rStyle w:val="charItals"/>
          <w:i/>
        </w:rPr>
        <w:t>dimensions of scaffold planks</w:t>
      </w:r>
    </w:p>
    <w:p w:rsidR="00B40966" w:rsidRDefault="00B40966">
      <w:pPr>
        <w:pStyle w:val="Amain"/>
      </w:pPr>
      <w:r>
        <w:tab/>
        <w:t>(4)</w:t>
      </w:r>
      <w:r>
        <w:tab/>
        <w:t>Except as otherwise provided in this section, the cross-sectional dimensions of scaffold planks shall be not less than 9 inches by 1</w:t>
      </w:r>
      <w:r>
        <w:rPr>
          <w:position w:val="6"/>
          <w:sz w:val="18"/>
        </w:rPr>
        <w:t>1</w:t>
      </w:r>
      <w:r>
        <w:t>/</w:t>
      </w:r>
      <w:r>
        <w:rPr>
          <w:sz w:val="18"/>
        </w:rPr>
        <w:t>8</w:t>
      </w:r>
      <w:r>
        <w:t> inches if of hardwood or 9 inches by 1</w:t>
      </w:r>
      <w:r>
        <w:rPr>
          <w:position w:val="6"/>
          <w:sz w:val="18"/>
        </w:rPr>
        <w:t>1</w:t>
      </w:r>
      <w:r>
        <w:t>/</w:t>
      </w:r>
      <w:r>
        <w:rPr>
          <w:sz w:val="18"/>
        </w:rPr>
        <w:t>2</w:t>
      </w:r>
      <w:r>
        <w:t xml:space="preserve"> inches if of Oregon pine.</w:t>
      </w:r>
    </w:p>
    <w:p w:rsidR="00B40966" w:rsidRDefault="00B40966">
      <w:pPr>
        <w:pStyle w:val="Assectheading"/>
        <w:rPr>
          <w:i w:val="0"/>
        </w:rPr>
      </w:pPr>
      <w:r>
        <w:rPr>
          <w:rStyle w:val="charItals"/>
          <w:i/>
        </w:rPr>
        <w:t>Working platforms</w:t>
      </w:r>
      <w:r>
        <w:rPr>
          <w:i w:val="0"/>
          <w:color w:val="000000"/>
        </w:rPr>
        <w:t>—</w:t>
      </w:r>
      <w:r>
        <w:rPr>
          <w:rStyle w:val="charItals"/>
          <w:i/>
        </w:rPr>
        <w:t>scaffold planks to be of uniform thickness</w:t>
      </w:r>
    </w:p>
    <w:p w:rsidR="00B40966" w:rsidRDefault="00B40966">
      <w:pPr>
        <w:pStyle w:val="Amain"/>
      </w:pPr>
      <w:r>
        <w:tab/>
        <w:t>(5)</w:t>
      </w:r>
      <w:r>
        <w:tab/>
        <w:t>Scaffold planks used in the construction of working platforms shall be of uniform thickness so as not to cause unevenness of surface.</w:t>
      </w:r>
    </w:p>
    <w:p w:rsidR="00B40966" w:rsidRDefault="00B40966">
      <w:pPr>
        <w:pStyle w:val="Assectheading"/>
        <w:rPr>
          <w:i w:val="0"/>
        </w:rPr>
      </w:pPr>
      <w:r>
        <w:rPr>
          <w:rStyle w:val="charItals"/>
          <w:i/>
        </w:rPr>
        <w:t>Working platforms</w:t>
      </w:r>
      <w:r>
        <w:rPr>
          <w:i w:val="0"/>
          <w:color w:val="000000"/>
        </w:rPr>
        <w:t>—</w:t>
      </w:r>
      <w:r>
        <w:rPr>
          <w:rStyle w:val="charItals"/>
          <w:i/>
        </w:rPr>
        <w:t>scaffold planks to lap</w:t>
      </w:r>
    </w:p>
    <w:p w:rsidR="00B40966" w:rsidRDefault="00B40966">
      <w:pPr>
        <w:pStyle w:val="Amain"/>
      </w:pPr>
      <w:r>
        <w:tab/>
        <w:t>(6)</w:t>
      </w:r>
      <w:r>
        <w:tab/>
        <w:t>Except as otherwise provided in this section, scaffold planks shall be lapped 9 inches over supports.</w:t>
      </w:r>
    </w:p>
    <w:p w:rsidR="00B40966" w:rsidRDefault="00B40966">
      <w:pPr>
        <w:pStyle w:val="Amain"/>
      </w:pPr>
      <w:r>
        <w:tab/>
        <w:t>(7)</w:t>
      </w:r>
      <w:r>
        <w:tab/>
        <w:t>Unless approved measures are taken to prevent uplift, no plank shall overhang a support more than 9 inches.</w:t>
      </w:r>
    </w:p>
    <w:p w:rsidR="00B40966" w:rsidRDefault="00B40966">
      <w:pPr>
        <w:pStyle w:val="Assectheading"/>
        <w:rPr>
          <w:i w:val="0"/>
        </w:rPr>
      </w:pPr>
      <w:r>
        <w:rPr>
          <w:rStyle w:val="charItals"/>
          <w:i/>
        </w:rPr>
        <w:t>Working platforms</w:t>
      </w:r>
      <w:r>
        <w:rPr>
          <w:i w:val="0"/>
          <w:color w:val="000000"/>
        </w:rPr>
        <w:t>—</w:t>
      </w:r>
      <w:r>
        <w:rPr>
          <w:rStyle w:val="charItals"/>
          <w:i/>
        </w:rPr>
        <w:t>minimum width of working platforms</w:t>
      </w:r>
    </w:p>
    <w:p w:rsidR="00B40966" w:rsidRDefault="00B40966">
      <w:pPr>
        <w:pStyle w:val="Amain"/>
      </w:pPr>
      <w:r>
        <w:tab/>
        <w:t>(8)</w:t>
      </w:r>
      <w:r>
        <w:tab/>
        <w:t>Except as otherwise provided in this section, a working platform shall be not less than 18 inches in width.</w:t>
      </w:r>
    </w:p>
    <w:p w:rsidR="00B40966" w:rsidRDefault="00B40966">
      <w:pPr>
        <w:pStyle w:val="Assectheading"/>
        <w:rPr>
          <w:i w:val="0"/>
        </w:rPr>
      </w:pPr>
      <w:r>
        <w:rPr>
          <w:rStyle w:val="charItals"/>
          <w:i/>
        </w:rPr>
        <w:t>Working platforms</w:t>
      </w:r>
      <w:r>
        <w:rPr>
          <w:i w:val="0"/>
          <w:color w:val="000000"/>
        </w:rPr>
        <w:t>—</w:t>
      </w:r>
      <w:r>
        <w:rPr>
          <w:rStyle w:val="charItals"/>
          <w:i/>
        </w:rPr>
        <w:t>scaffold planks to be laid full width of frame</w:t>
      </w:r>
    </w:p>
    <w:p w:rsidR="00B40966" w:rsidRDefault="00B40966">
      <w:pPr>
        <w:pStyle w:val="Amain"/>
      </w:pPr>
      <w:r>
        <w:tab/>
        <w:t>(9)</w:t>
      </w:r>
      <w:r>
        <w:tab/>
        <w:t>Scaffold planks shall be laid over the full width of the scaffolding frame and, in laying the planks, care shall be taken to avoid traps.</w:t>
      </w:r>
    </w:p>
    <w:p w:rsidR="00B40966" w:rsidRDefault="00B40966">
      <w:pPr>
        <w:pStyle w:val="Assectheading"/>
        <w:rPr>
          <w:i w:val="0"/>
        </w:rPr>
      </w:pPr>
      <w:r>
        <w:rPr>
          <w:rStyle w:val="charItals"/>
          <w:i/>
        </w:rPr>
        <w:t>Guardrails and toe boards—where required</w:t>
      </w:r>
    </w:p>
    <w:p w:rsidR="00B40966" w:rsidRDefault="00B40966">
      <w:pPr>
        <w:pStyle w:val="Amain"/>
      </w:pPr>
      <w:r>
        <w:rPr>
          <w:color w:val="000000"/>
        </w:rPr>
        <w:tab/>
        <w:t>(10)</w:t>
      </w:r>
      <w:r>
        <w:rPr>
          <w:color w:val="000000"/>
        </w:rPr>
        <w:tab/>
        <w:t>Guardrails and toe boards shall be provided on the outer edges and ends of all scaffolding from which a person or object could fall a distance of 10 feet or more.</w:t>
      </w:r>
    </w:p>
    <w:p w:rsidR="00B40966" w:rsidRDefault="00B40966">
      <w:pPr>
        <w:pStyle w:val="Assectheading"/>
        <w:rPr>
          <w:i w:val="0"/>
          <w:color w:val="000000"/>
        </w:rPr>
      </w:pPr>
      <w:r>
        <w:rPr>
          <w:rStyle w:val="charItals"/>
          <w:i/>
        </w:rPr>
        <w:t>Guardrails</w:t>
      </w:r>
    </w:p>
    <w:p w:rsidR="00B40966" w:rsidRDefault="00B40966">
      <w:pPr>
        <w:pStyle w:val="Amain"/>
      </w:pPr>
      <w:r>
        <w:rPr>
          <w:color w:val="000000"/>
        </w:rPr>
        <w:tab/>
        <w:t>(11)</w:t>
      </w:r>
      <w:r>
        <w:rPr>
          <w:color w:val="000000"/>
        </w:rPr>
        <w:tab/>
        <w:t>Guardrails shall be of equivalent strength and rigidity to Oregon pine timber of cross-sectional dimensions four inches by 2 inches and shall be 36 inches in height.</w:t>
      </w:r>
    </w:p>
    <w:p w:rsidR="00B40966" w:rsidRDefault="00B40966">
      <w:pPr>
        <w:pStyle w:val="Amain"/>
      </w:pPr>
      <w:r>
        <w:tab/>
        <w:t>(12)</w:t>
      </w:r>
      <w:r>
        <w:tab/>
        <w:t>Guardrails of metal piping shall be not less than 1</w:t>
      </w:r>
      <w:r>
        <w:rPr>
          <w:position w:val="6"/>
          <w:sz w:val="18"/>
        </w:rPr>
        <w:t>11</w:t>
      </w:r>
      <w:r>
        <w:t>/</w:t>
      </w:r>
      <w:r>
        <w:rPr>
          <w:sz w:val="18"/>
        </w:rPr>
        <w:t>32</w:t>
      </w:r>
      <w:r>
        <w:t xml:space="preserve"> inches external diameter and if of rope not less than 3 inches in circumference.</w:t>
      </w:r>
    </w:p>
    <w:p w:rsidR="00B40966" w:rsidRDefault="00B40966">
      <w:pPr>
        <w:pStyle w:val="Amain"/>
      </w:pPr>
      <w:r>
        <w:tab/>
        <w:t>(13)</w:t>
      </w:r>
      <w:r>
        <w:tab/>
        <w:t>All guardrails shall be secured to uprights at intervals of not more than 8 feet.</w:t>
      </w:r>
    </w:p>
    <w:p w:rsidR="00B40966" w:rsidRDefault="00B40966">
      <w:pPr>
        <w:pStyle w:val="Assectheading"/>
        <w:rPr>
          <w:i w:val="0"/>
        </w:rPr>
      </w:pPr>
      <w:r>
        <w:rPr>
          <w:rStyle w:val="charItals"/>
          <w:i/>
        </w:rPr>
        <w:t>Toe boards</w:t>
      </w:r>
    </w:p>
    <w:p w:rsidR="00B40966" w:rsidRDefault="00B40966">
      <w:pPr>
        <w:pStyle w:val="Amain"/>
        <w:rPr>
          <w:color w:val="000000"/>
        </w:rPr>
      </w:pPr>
      <w:r>
        <w:rPr>
          <w:color w:val="000000"/>
        </w:rPr>
        <w:tab/>
        <w:t>(14)</w:t>
      </w:r>
      <w:r>
        <w:rPr>
          <w:color w:val="000000"/>
        </w:rPr>
        <w:tab/>
        <w:t>Toe boards shall project not less than 9 inches above the top of the platform planks and shall be set up so as to leave no space between the platform planks and the toe board bottom edge.</w:t>
      </w:r>
    </w:p>
    <w:p w:rsidR="00B40966" w:rsidRDefault="00B40966">
      <w:pPr>
        <w:pStyle w:val="Assectheading"/>
        <w:rPr>
          <w:i w:val="0"/>
        </w:rPr>
      </w:pPr>
      <w:r>
        <w:rPr>
          <w:rStyle w:val="charItals"/>
          <w:i/>
        </w:rPr>
        <w:t>Fixings</w:t>
      </w:r>
    </w:p>
    <w:p w:rsidR="00B40966" w:rsidRDefault="00B40966">
      <w:pPr>
        <w:pStyle w:val="Amain"/>
        <w:rPr>
          <w:color w:val="000000"/>
        </w:rPr>
      </w:pPr>
      <w:r>
        <w:rPr>
          <w:color w:val="000000"/>
        </w:rPr>
        <w:tab/>
        <w:t>(15)</w:t>
      </w:r>
      <w:r>
        <w:rPr>
          <w:color w:val="000000"/>
        </w:rPr>
        <w:tab/>
        <w:t xml:space="preserve">Fixings shall be steel bolts </w:t>
      </w:r>
      <w:r>
        <w:rPr>
          <w:color w:val="000000"/>
          <w:position w:val="6"/>
          <w:sz w:val="18"/>
        </w:rPr>
        <w:t>5</w:t>
      </w:r>
      <w:r>
        <w:rPr>
          <w:color w:val="000000"/>
        </w:rPr>
        <w:t>/</w:t>
      </w:r>
      <w:r>
        <w:rPr>
          <w:color w:val="000000"/>
          <w:sz w:val="18"/>
        </w:rPr>
        <w:t>8</w:t>
      </w:r>
      <w:r>
        <w:rPr>
          <w:color w:val="000000"/>
        </w:rPr>
        <w:t xml:space="preserve"> of an inch in diameter with washers and nuts, lashings of round fibre rope or other approved fixing.</w:t>
      </w:r>
    </w:p>
    <w:p w:rsidR="00B40966" w:rsidRDefault="00B40966">
      <w:pPr>
        <w:pStyle w:val="Amain"/>
        <w:rPr>
          <w:color w:val="000000"/>
        </w:rPr>
      </w:pPr>
      <w:r>
        <w:rPr>
          <w:color w:val="000000"/>
        </w:rPr>
        <w:tab/>
        <w:t>(16)</w:t>
      </w:r>
      <w:r>
        <w:rPr>
          <w:color w:val="000000"/>
        </w:rPr>
        <w:tab/>
        <w:t>For timbers not more than the dimensions provided in section 87 (3) to (9) and (29) to (55), fibre rope lashing for scaffolding shall be—</w:t>
      </w:r>
    </w:p>
    <w:p w:rsidR="00B40966" w:rsidRDefault="00B40966">
      <w:pPr>
        <w:pStyle w:val="Apara"/>
      </w:pPr>
      <w:r>
        <w:tab/>
        <w:t>(a)</w:t>
      </w:r>
      <w:r>
        <w:tab/>
        <w:t>for scaffolding of more than 30 feet in height—18 feet in length by 1</w:t>
      </w:r>
      <w:r>
        <w:rPr>
          <w:position w:val="6"/>
          <w:sz w:val="18"/>
        </w:rPr>
        <w:t>1</w:t>
      </w:r>
      <w:r>
        <w:t>/</w:t>
      </w:r>
      <w:r>
        <w:rPr>
          <w:sz w:val="18"/>
        </w:rPr>
        <w:t>2</w:t>
      </w:r>
      <w:r>
        <w:t xml:space="preserve"> inches in circumference; and</w:t>
      </w:r>
    </w:p>
    <w:p w:rsidR="00B40966" w:rsidRDefault="00B40966">
      <w:pPr>
        <w:pStyle w:val="Apara"/>
      </w:pPr>
      <w:r>
        <w:tab/>
        <w:t>(b)</w:t>
      </w:r>
      <w:r>
        <w:tab/>
        <w:t>for scaffolding of 30 feet or less in height the lashings—16 feet in length by 1</w:t>
      </w:r>
      <w:r>
        <w:rPr>
          <w:position w:val="6"/>
          <w:sz w:val="18"/>
        </w:rPr>
        <w:t>1</w:t>
      </w:r>
      <w:r>
        <w:t>/</w:t>
      </w:r>
      <w:r>
        <w:rPr>
          <w:sz w:val="18"/>
        </w:rPr>
        <w:t>2</w:t>
      </w:r>
      <w:r>
        <w:t xml:space="preserve"> inches in circumference.</w:t>
      </w:r>
    </w:p>
    <w:p w:rsidR="00B40966" w:rsidRDefault="00B40966">
      <w:pPr>
        <w:pStyle w:val="Amain"/>
      </w:pPr>
      <w:r>
        <w:tab/>
        <w:t>(17)</w:t>
      </w:r>
      <w:r>
        <w:tab/>
        <w:t>For timbers of greater dimensions the length of fibre rope lashings shall be as approved.</w:t>
      </w:r>
    </w:p>
    <w:p w:rsidR="00B40966" w:rsidRDefault="00B40966">
      <w:pPr>
        <w:pStyle w:val="Amain"/>
      </w:pPr>
      <w:r>
        <w:tab/>
        <w:t>(18)</w:t>
      </w:r>
      <w:r>
        <w:tab/>
        <w:t>It shall be an offence to use a fixing that has not been approved or that does not conform to the requirements of subsections (15) to (17).</w:t>
      </w:r>
    </w:p>
    <w:p w:rsidR="00B40966" w:rsidRDefault="00B40966">
      <w:pPr>
        <w:pStyle w:val="Assectheading"/>
        <w:rPr>
          <w:i w:val="0"/>
        </w:rPr>
      </w:pPr>
      <w:r>
        <w:rPr>
          <w:rStyle w:val="charItals"/>
          <w:i/>
        </w:rPr>
        <w:t>Pipes for tubular scaffolding</w:t>
      </w:r>
    </w:p>
    <w:p w:rsidR="00B40966" w:rsidRDefault="00B40966">
      <w:pPr>
        <w:pStyle w:val="Amain"/>
        <w:rPr>
          <w:color w:val="000000"/>
        </w:rPr>
      </w:pPr>
      <w:r>
        <w:rPr>
          <w:color w:val="000000"/>
        </w:rPr>
        <w:tab/>
        <w:t>(19)</w:t>
      </w:r>
      <w:r>
        <w:rPr>
          <w:color w:val="000000"/>
        </w:rPr>
        <w:tab/>
        <w:t>Pipes for use in the construction of tubular scaffolding shall be straight and free from indentations, corrosion and other defects.</w:t>
      </w:r>
    </w:p>
    <w:p w:rsidR="00B40966" w:rsidRDefault="00B40966">
      <w:pPr>
        <w:pStyle w:val="Amain"/>
        <w:rPr>
          <w:color w:val="000000"/>
        </w:rPr>
      </w:pPr>
      <w:r>
        <w:rPr>
          <w:color w:val="000000"/>
        </w:rPr>
        <w:tab/>
        <w:t>(20)</w:t>
      </w:r>
      <w:r>
        <w:rPr>
          <w:color w:val="000000"/>
        </w:rPr>
        <w:tab/>
        <w:t>The ends of all pipes shall be squared to ensure even bearing over the whole area of the section at joints and other connections.</w:t>
      </w:r>
    </w:p>
    <w:p w:rsidR="00B40966" w:rsidRDefault="00B40966">
      <w:pPr>
        <w:pStyle w:val="Amain"/>
        <w:rPr>
          <w:color w:val="000000"/>
        </w:rPr>
      </w:pPr>
      <w:r>
        <w:rPr>
          <w:color w:val="000000"/>
        </w:rPr>
        <w:tab/>
        <w:t>(21)</w:t>
      </w:r>
      <w:r>
        <w:rPr>
          <w:color w:val="000000"/>
        </w:rPr>
        <w:tab/>
        <w:t>The pipes shall be of the dimensions and material specified in this section.</w:t>
      </w:r>
    </w:p>
    <w:p w:rsidR="00B40966" w:rsidRDefault="00B40966">
      <w:pPr>
        <w:pStyle w:val="Assectheading"/>
        <w:rPr>
          <w:i w:val="0"/>
        </w:rPr>
      </w:pPr>
      <w:r>
        <w:rPr>
          <w:rStyle w:val="charItals"/>
          <w:i/>
        </w:rPr>
        <w:t>Fittings for tubular scaffolding</w:t>
      </w:r>
    </w:p>
    <w:p w:rsidR="00B40966" w:rsidRDefault="00B40966">
      <w:pPr>
        <w:pStyle w:val="Amain"/>
      </w:pPr>
      <w:r>
        <w:rPr>
          <w:color w:val="000000"/>
        </w:rPr>
        <w:tab/>
        <w:t>(22)</w:t>
      </w:r>
      <w:r>
        <w:rPr>
          <w:color w:val="000000"/>
        </w:rPr>
        <w:tab/>
        <w:t>Only approved fittings shall be used for connecting the various members of a tubular scaffolding.</w:t>
      </w:r>
    </w:p>
    <w:p w:rsidR="00B40966" w:rsidRDefault="00B40966">
      <w:pPr>
        <w:pStyle w:val="Amain"/>
      </w:pPr>
      <w:r>
        <w:tab/>
        <w:t>(23)</w:t>
      </w:r>
      <w:r>
        <w:tab/>
        <w:t>All such fittings shall accurately embrace, over the whole area of their bearing surfaces, the member or members on which they are used.</w:t>
      </w:r>
    </w:p>
    <w:p w:rsidR="00B40966" w:rsidRDefault="00B40966">
      <w:pPr>
        <w:pStyle w:val="Amain"/>
      </w:pPr>
      <w:r>
        <w:tab/>
        <w:t>(24)</w:t>
      </w:r>
      <w:r>
        <w:tab/>
        <w:t>If the efficacy of the fittings is dependent on frictional grip, the fittings shall not be used to transmit primary tensile forces.</w:t>
      </w:r>
    </w:p>
    <w:p w:rsidR="00B40966" w:rsidRDefault="00B40966">
      <w:pPr>
        <w:pStyle w:val="Amain"/>
      </w:pPr>
      <w:r>
        <w:tab/>
        <w:t>(25)</w:t>
      </w:r>
      <w:r>
        <w:tab/>
        <w:t>Fittings having screw threads in blind bosses or nuts, in which the amount of screw thread within the nut cannot be directly observed, shall not be used.</w:t>
      </w:r>
    </w:p>
    <w:p w:rsidR="00B40966" w:rsidRDefault="00B40966">
      <w:pPr>
        <w:pStyle w:val="Assectheading"/>
        <w:rPr>
          <w:i w:val="0"/>
        </w:rPr>
      </w:pPr>
      <w:r>
        <w:rPr>
          <w:rStyle w:val="charItals"/>
          <w:i/>
        </w:rPr>
        <w:t>Electrical hazards</w:t>
      </w:r>
    </w:p>
    <w:p w:rsidR="00B40966" w:rsidRDefault="00B40966">
      <w:pPr>
        <w:pStyle w:val="Amain"/>
      </w:pPr>
      <w:r>
        <w:rPr>
          <w:color w:val="000000"/>
        </w:rPr>
        <w:tab/>
        <w:t>(26)</w:t>
      </w:r>
      <w:r>
        <w:rPr>
          <w:color w:val="000000"/>
        </w:rPr>
        <w:tab/>
        <w:t>Scaffolding in which a metal member is used shall not be set up within 15 feet of any overhead electricity transmission line or main or within 15 feet of any electricity transmission apparatus until the transmission line, main, or transmission apparatus has been protected in an approved way by the electricity supply authority.</w:t>
      </w:r>
    </w:p>
    <w:p w:rsidR="00B40966" w:rsidRDefault="00B40966">
      <w:pPr>
        <w:pStyle w:val="Amain"/>
      </w:pPr>
      <w:r>
        <w:tab/>
        <w:t>(27)</w:t>
      </w:r>
      <w:r>
        <w:tab/>
        <w:t>Scaffolding built of timber members shall not be set up within 5 feet of any such transmission line, main, or transmission apparatus until the protection mentioned in subsection (26) has been effected.</w:t>
      </w:r>
    </w:p>
    <w:p w:rsidR="00B40966" w:rsidRDefault="00B40966">
      <w:pPr>
        <w:pStyle w:val="Assectheading"/>
        <w:rPr>
          <w:i w:val="0"/>
        </w:rPr>
      </w:pPr>
      <w:r>
        <w:rPr>
          <w:rStyle w:val="charItals"/>
          <w:i/>
        </w:rPr>
        <w:t>New types of scaffolding</w:t>
      </w:r>
    </w:p>
    <w:p w:rsidR="00B40966" w:rsidRDefault="00B40966">
      <w:pPr>
        <w:pStyle w:val="Amain"/>
      </w:pPr>
      <w:r>
        <w:rPr>
          <w:color w:val="000000"/>
        </w:rPr>
        <w:tab/>
        <w:t>(28)</w:t>
      </w:r>
      <w:r>
        <w:rPr>
          <w:color w:val="000000"/>
        </w:rPr>
        <w:tab/>
        <w:t>All scaffolding for which specifications have not been given in this regulation, and all patented or manufactured scaffolding, parts of scaffolding or scaffolding devices, and all types of scaffolding developed subsequent to 25 May 1950 shall be of an approved type.</w:t>
      </w:r>
    </w:p>
    <w:p w:rsidR="00B40966" w:rsidRDefault="00B40966">
      <w:pPr>
        <w:pStyle w:val="Assectheading"/>
        <w:rPr>
          <w:i w:val="0"/>
        </w:rPr>
      </w:pPr>
      <w:r>
        <w:rPr>
          <w:rStyle w:val="charItals"/>
          <w:i/>
        </w:rPr>
        <w:t>Repair of damaged scaffolding</w:t>
      </w:r>
    </w:p>
    <w:p w:rsidR="00B40966" w:rsidRDefault="00B40966">
      <w:pPr>
        <w:pStyle w:val="Amain"/>
      </w:pPr>
      <w:r>
        <w:rPr>
          <w:color w:val="000000"/>
        </w:rPr>
        <w:tab/>
        <w:t>(29)</w:t>
      </w:r>
      <w:r>
        <w:rPr>
          <w:color w:val="000000"/>
        </w:rPr>
        <w:tab/>
        <w:t>Any scaffolding that has been damaged or weakened by any cause shall be immediately repaired and workers shall not be permitted on the scaffolding, except for the purpose of effecting repairs, until all repairs have been completed.</w:t>
      </w:r>
    </w:p>
    <w:p w:rsidR="00B40966" w:rsidRDefault="00B40966">
      <w:pPr>
        <w:pStyle w:val="Assectheading"/>
        <w:rPr>
          <w:i w:val="0"/>
        </w:rPr>
      </w:pPr>
      <w:r>
        <w:rPr>
          <w:rStyle w:val="charItals"/>
          <w:i/>
        </w:rPr>
        <w:t>Restriction on use of fibre rope</w:t>
      </w:r>
    </w:p>
    <w:p w:rsidR="00B40966" w:rsidRDefault="00B40966">
      <w:pPr>
        <w:pStyle w:val="Amain"/>
      </w:pPr>
      <w:r>
        <w:rPr>
          <w:color w:val="000000"/>
        </w:rPr>
        <w:tab/>
        <w:t>(30)</w:t>
      </w:r>
      <w:r>
        <w:rPr>
          <w:color w:val="000000"/>
        </w:rPr>
        <w:tab/>
        <w:t>Fibre rope shall not be used on or in connection with any scaffolding set up in any acid manufacturing plant or in any other plant where acids are generated or released in quantity or in other location where the rope is likely to be detrimentally affected by acid.</w:t>
      </w:r>
    </w:p>
    <w:p w:rsidR="00B40966" w:rsidRDefault="00B40966">
      <w:pPr>
        <w:pStyle w:val="AH4SubDiv"/>
      </w:pPr>
      <w:bookmarkStart w:id="157" w:name="_Toc87258015"/>
      <w:r>
        <w:t>Construction of single and independent pole scaffolding</w:t>
      </w:r>
      <w:bookmarkEnd w:id="157"/>
    </w:p>
    <w:p w:rsidR="00B40966" w:rsidRDefault="00B40966">
      <w:pPr>
        <w:pStyle w:val="AH5Sec"/>
      </w:pPr>
      <w:bookmarkStart w:id="158" w:name="_Toc87258016"/>
      <w:r>
        <w:rPr>
          <w:rStyle w:val="CharSectNo"/>
        </w:rPr>
        <w:t>87</w:t>
      </w:r>
      <w:bookmarkEnd w:id="158"/>
      <w:r>
        <w:tab/>
        <w:t xml:space="preserve">  </w:t>
      </w:r>
    </w:p>
    <w:p w:rsidR="00B40966" w:rsidRDefault="00B40966">
      <w:pPr>
        <w:pStyle w:val="Assectheading"/>
        <w:rPr>
          <w:i w:val="0"/>
          <w:color w:val="000000"/>
        </w:rPr>
      </w:pPr>
      <w:r>
        <w:rPr>
          <w:rStyle w:val="charItals"/>
          <w:i/>
        </w:rPr>
        <w:t>General arrangement</w:t>
      </w:r>
    </w:p>
    <w:p w:rsidR="00B40966" w:rsidRDefault="00B40966">
      <w:pPr>
        <w:pStyle w:val="Amain"/>
        <w:rPr>
          <w:color w:val="000000"/>
        </w:rPr>
      </w:pPr>
      <w:r>
        <w:rPr>
          <w:color w:val="000000"/>
        </w:rPr>
        <w:tab/>
        <w:t>(1)</w:t>
      </w:r>
      <w:r>
        <w:rPr>
          <w:color w:val="000000"/>
        </w:rPr>
        <w:tab/>
        <w:t>Single pole and independent pole scaffolding shall comprise a number of standards to which are fixed horizontal members (ledgers) supporting putlogs on which are laid scaffold planks, the structure thus constituted being braced, both longitudinally and transversely.</w:t>
      </w:r>
    </w:p>
    <w:p w:rsidR="00B40966" w:rsidRDefault="00B40966">
      <w:pPr>
        <w:pStyle w:val="Assectheading"/>
        <w:rPr>
          <w:i w:val="0"/>
        </w:rPr>
      </w:pPr>
      <w:r>
        <w:rPr>
          <w:rStyle w:val="charItals"/>
          <w:i/>
        </w:rPr>
        <w:t>Bracing</w:t>
      </w:r>
    </w:p>
    <w:p w:rsidR="00B40966" w:rsidRDefault="00B40966">
      <w:pPr>
        <w:pStyle w:val="Amain"/>
        <w:rPr>
          <w:color w:val="000000"/>
        </w:rPr>
      </w:pPr>
      <w:r>
        <w:rPr>
          <w:color w:val="000000"/>
        </w:rPr>
        <w:tab/>
        <w:t>(2)</w:t>
      </w:r>
      <w:r>
        <w:rPr>
          <w:color w:val="000000"/>
        </w:rPr>
        <w:tab/>
        <w:t>This type of scaffolding shall be adequately braced in all directions to form a rigid structure capable of maintaining a wide margin of stability under all possible conditions.</w:t>
      </w:r>
    </w:p>
    <w:p w:rsidR="00B40966" w:rsidRDefault="00B40966">
      <w:pPr>
        <w:pStyle w:val="Assectheading"/>
      </w:pPr>
      <w:r>
        <w:rPr>
          <w:rStyle w:val="charItals"/>
          <w:i/>
        </w:rPr>
        <w:t>Standards</w:t>
      </w:r>
    </w:p>
    <w:p w:rsidR="00B40966" w:rsidRDefault="00B40966">
      <w:pPr>
        <w:pStyle w:val="Amain"/>
        <w:rPr>
          <w:color w:val="000000"/>
        </w:rPr>
      </w:pPr>
      <w:r>
        <w:rPr>
          <w:color w:val="000000"/>
        </w:rPr>
        <w:tab/>
        <w:t>(3)</w:t>
      </w:r>
      <w:r>
        <w:rPr>
          <w:color w:val="000000"/>
        </w:rPr>
        <w:tab/>
        <w:t>The base of every standard shall bear on a firm footing.</w:t>
      </w:r>
    </w:p>
    <w:p w:rsidR="00B40966" w:rsidRDefault="00B40966">
      <w:pPr>
        <w:pStyle w:val="Amain"/>
        <w:keepLines/>
      </w:pPr>
      <w:r>
        <w:rPr>
          <w:color w:val="000000"/>
        </w:rPr>
        <w:tab/>
        <w:t>(4)</w:t>
      </w:r>
      <w:r>
        <w:rPr>
          <w:color w:val="000000"/>
        </w:rPr>
        <w:tab/>
        <w:t>If there is a possibility of settlement of any standard, the standard shall be provided with a foundation of such size and of such strength as to spread the load from the standard over a large enough area to prevent settlement.</w:t>
      </w:r>
    </w:p>
    <w:p w:rsidR="00B40966" w:rsidRDefault="00B40966">
      <w:pPr>
        <w:pStyle w:val="Amain"/>
      </w:pPr>
      <w:r>
        <w:tab/>
        <w:t>(5)</w:t>
      </w:r>
      <w:r>
        <w:tab/>
        <w:t>If splices are necessary in round pole standards, butt jointed double poles shall be used instead of single poles and the double poles shall break joint at least 9 feet, poles being secured together with 2 rope lashings at the base and 1 rope lashing on each side of each butt joint.</w:t>
      </w:r>
    </w:p>
    <w:p w:rsidR="00B40966" w:rsidRDefault="00B40966">
      <w:pPr>
        <w:pStyle w:val="Amain"/>
      </w:pPr>
      <w:r>
        <w:tab/>
        <w:t>(6)</w:t>
      </w:r>
      <w:r>
        <w:tab/>
        <w:t>When necessary as a protection against the impact of trucks or other heavy moving equipment, the bases of standards shall be protected from displacement by bumpers.</w:t>
      </w:r>
    </w:p>
    <w:p w:rsidR="00B40966" w:rsidRDefault="00B40966">
      <w:pPr>
        <w:pStyle w:val="Amain"/>
      </w:pPr>
      <w:r>
        <w:tab/>
        <w:t>(7)</w:t>
      </w:r>
      <w:r>
        <w:tab/>
        <w:t xml:space="preserve">Sawn timber standards shall be butt jointed with 2 (two) 3-feet lengths of 4 inch by 2 inch timber fixed 1 on each side of the butt joint and bolted through with 4 </w:t>
      </w:r>
      <w:r>
        <w:rPr>
          <w:position w:val="6"/>
          <w:sz w:val="18"/>
        </w:rPr>
        <w:t>5</w:t>
      </w:r>
      <w:r>
        <w:t>/</w:t>
      </w:r>
      <w:r>
        <w:rPr>
          <w:sz w:val="18"/>
        </w:rPr>
        <w:t>8</w:t>
      </w:r>
      <w:r>
        <w:t xml:space="preserve"> inches diameter bolts, fitted with washers and nuts, spaced at 9 inch centres.</w:t>
      </w:r>
    </w:p>
    <w:p w:rsidR="00B40966" w:rsidRDefault="00B40966">
      <w:pPr>
        <w:pStyle w:val="Amain"/>
      </w:pPr>
      <w:r>
        <w:tab/>
        <w:t>(8)</w:t>
      </w:r>
      <w:r>
        <w:tab/>
        <w:t>Fish plates and bolts shall be symmetrically arranged at each such joint.</w:t>
      </w:r>
    </w:p>
    <w:p w:rsidR="00B40966" w:rsidRDefault="00B40966">
      <w:pPr>
        <w:pStyle w:val="Amain"/>
      </w:pPr>
      <w:r>
        <w:tab/>
        <w:t>(9)</w:t>
      </w:r>
      <w:r>
        <w:tab/>
        <w:t>Joints in the standards of tubular scaffolding shall not be at distances greater than 9 inches from ledgers or other members capable of effectively constraining the joints against lateral displacement.</w:t>
      </w:r>
    </w:p>
    <w:p w:rsidR="00B40966" w:rsidRDefault="00B40966">
      <w:pPr>
        <w:pStyle w:val="Assectheading"/>
      </w:pPr>
      <w:r>
        <w:rPr>
          <w:rStyle w:val="charItals"/>
          <w:i/>
        </w:rPr>
        <w:t>Ledgers</w:t>
      </w:r>
    </w:p>
    <w:p w:rsidR="00B40966" w:rsidRDefault="00B40966">
      <w:pPr>
        <w:pStyle w:val="Amain"/>
      </w:pPr>
      <w:r>
        <w:rPr>
          <w:color w:val="000000"/>
        </w:rPr>
        <w:tab/>
        <w:t>(10)</w:t>
      </w:r>
      <w:r>
        <w:rPr>
          <w:color w:val="000000"/>
        </w:rPr>
        <w:tab/>
        <w:t>Each ledger shall be secured to each standard at each crossing by use of the appropriate fixing prescribed by section 86 (15) to (17).</w:t>
      </w:r>
    </w:p>
    <w:p w:rsidR="00B40966" w:rsidRDefault="00B40966">
      <w:pPr>
        <w:pStyle w:val="Amain"/>
      </w:pPr>
      <w:r>
        <w:tab/>
        <w:t>(11)</w:t>
      </w:r>
      <w:r>
        <w:tab/>
        <w:t>Each ledger shall be so fixed that the greater rectilinear dimension of a section of it shall stand vertically.</w:t>
      </w:r>
    </w:p>
    <w:p w:rsidR="00B40966" w:rsidRDefault="00B40966">
      <w:pPr>
        <w:pStyle w:val="Amain"/>
      </w:pPr>
      <w:r>
        <w:tab/>
        <w:t>(12)</w:t>
      </w:r>
      <w:r>
        <w:tab/>
        <w:t>Ledgers shall be continuous and kept continuous for the whole length of a scaffolding frame.</w:t>
      </w:r>
    </w:p>
    <w:p w:rsidR="00B40966" w:rsidRDefault="00B40966">
      <w:pPr>
        <w:pStyle w:val="Amain"/>
      </w:pPr>
      <w:r>
        <w:tab/>
        <w:t>(13)</w:t>
      </w:r>
      <w:r>
        <w:tab/>
        <w:t>A joint shall not be made in a ledger of a single span.</w:t>
      </w:r>
    </w:p>
    <w:p w:rsidR="00B40966" w:rsidRDefault="00B40966">
      <w:pPr>
        <w:pStyle w:val="Amain"/>
      </w:pPr>
      <w:r>
        <w:tab/>
        <w:t>(14)</w:t>
      </w:r>
      <w:r>
        <w:tab/>
        <w:t>Joints shall not be made in ledgers in the vicinity of the end, or outer standards.</w:t>
      </w:r>
    </w:p>
    <w:p w:rsidR="00B40966" w:rsidRDefault="00B40966">
      <w:pPr>
        <w:pStyle w:val="Amain"/>
      </w:pPr>
      <w:r>
        <w:tab/>
        <w:t>(15)</w:t>
      </w:r>
      <w:r>
        <w:tab/>
        <w:t>Joints shall not be made in adjacent spans of any ledger.</w:t>
      </w:r>
    </w:p>
    <w:p w:rsidR="00B40966" w:rsidRDefault="00B40966">
      <w:pPr>
        <w:pStyle w:val="Amain"/>
      </w:pPr>
      <w:r>
        <w:tab/>
        <w:t>(16)</w:t>
      </w:r>
      <w:r>
        <w:tab/>
        <w:t>If a straight ledger is supported by a row of not less than 3 standards, 1 joint only may be made in the ledger, provided that the joint is not placed at a greater distance than 2 feet 3 inches from the central standard.</w:t>
      </w:r>
    </w:p>
    <w:p w:rsidR="00B40966" w:rsidRDefault="00B40966">
      <w:pPr>
        <w:pStyle w:val="Amain"/>
      </w:pPr>
      <w:r>
        <w:tab/>
        <w:t>(17)</w:t>
      </w:r>
      <w:r>
        <w:tab/>
        <w:t>If a straight ledger is supported by a row of 4 or more standards, the ledger joints may be placed at any position but not within adjacent or end spans.</w:t>
      </w:r>
    </w:p>
    <w:p w:rsidR="00B40966" w:rsidRDefault="00B40966">
      <w:pPr>
        <w:pStyle w:val="Assectheading"/>
      </w:pPr>
      <w:r>
        <w:rPr>
          <w:rStyle w:val="charItals"/>
          <w:i/>
        </w:rPr>
        <w:t>Putlogs</w:t>
      </w:r>
    </w:p>
    <w:p w:rsidR="00B40966" w:rsidRDefault="00B40966">
      <w:pPr>
        <w:pStyle w:val="Amain"/>
        <w:rPr>
          <w:color w:val="000000"/>
        </w:rPr>
      </w:pPr>
      <w:r>
        <w:rPr>
          <w:color w:val="000000"/>
        </w:rPr>
        <w:tab/>
        <w:t>(18)</w:t>
      </w:r>
      <w:r>
        <w:rPr>
          <w:color w:val="000000"/>
        </w:rPr>
        <w:tab/>
        <w:t>Putlogs shall be set above ledgers and they shall be securely fixed to ledgers or standards.</w:t>
      </w:r>
    </w:p>
    <w:p w:rsidR="00B40966" w:rsidRDefault="00B40966">
      <w:pPr>
        <w:pStyle w:val="Amain"/>
        <w:rPr>
          <w:color w:val="000000"/>
        </w:rPr>
      </w:pPr>
      <w:r>
        <w:rPr>
          <w:color w:val="000000"/>
        </w:rPr>
        <w:tab/>
        <w:t>(19)</w:t>
      </w:r>
      <w:r>
        <w:rPr>
          <w:color w:val="000000"/>
        </w:rPr>
        <w:tab/>
        <w:t>Every putlog shall have not less than 4</w:t>
      </w:r>
      <w:r>
        <w:rPr>
          <w:color w:val="000000"/>
          <w:position w:val="6"/>
          <w:sz w:val="18"/>
        </w:rPr>
        <w:t>1</w:t>
      </w:r>
      <w:r>
        <w:rPr>
          <w:color w:val="000000"/>
        </w:rPr>
        <w:t>/</w:t>
      </w:r>
      <w:r>
        <w:rPr>
          <w:color w:val="000000"/>
          <w:sz w:val="18"/>
        </w:rPr>
        <w:t>2</w:t>
      </w:r>
      <w:r>
        <w:rPr>
          <w:color w:val="000000"/>
        </w:rPr>
        <w:t xml:space="preserve"> inches bearing in walls and they shall be securely wedged in position in walls.</w:t>
      </w:r>
    </w:p>
    <w:p w:rsidR="00B40966" w:rsidRDefault="00B40966">
      <w:pPr>
        <w:pStyle w:val="Amain"/>
      </w:pPr>
      <w:r>
        <w:rPr>
          <w:color w:val="000000"/>
        </w:rPr>
        <w:tab/>
        <w:t>(20)</w:t>
      </w:r>
      <w:r>
        <w:rPr>
          <w:color w:val="000000"/>
        </w:rPr>
        <w:tab/>
        <w:t>If one end rests on a structure, it shall be effectively secured to the structure.</w:t>
      </w:r>
    </w:p>
    <w:p w:rsidR="00B40966" w:rsidRDefault="00B40966">
      <w:pPr>
        <w:pStyle w:val="Amain"/>
      </w:pPr>
      <w:r>
        <w:tab/>
        <w:t>(21)</w:t>
      </w:r>
      <w:r>
        <w:tab/>
        <w:t>A joint shall not be made in the span of a putlog.</w:t>
      </w:r>
    </w:p>
    <w:p w:rsidR="00B40966" w:rsidRDefault="00B40966">
      <w:pPr>
        <w:pStyle w:val="Amain"/>
      </w:pPr>
      <w:r>
        <w:tab/>
        <w:t>(22)</w:t>
      </w:r>
      <w:r>
        <w:tab/>
        <w:t>Putlogs shall be arranged so as to provide true and even support to scaffold planks.</w:t>
      </w:r>
    </w:p>
    <w:p w:rsidR="00B40966" w:rsidRDefault="00B40966">
      <w:pPr>
        <w:pStyle w:val="Amain"/>
        <w:rPr>
          <w:color w:val="000000"/>
        </w:rPr>
      </w:pPr>
      <w:r>
        <w:tab/>
        <w:t>(23)</w:t>
      </w:r>
      <w:r>
        <w:tab/>
        <w:t xml:space="preserve">On each ledger at least 1 putlog within 2 feet of each standard shall remain in the scaffolding until the scaffolding is finally </w:t>
      </w:r>
      <w:r>
        <w:rPr>
          <w:color w:val="000000"/>
        </w:rPr>
        <w:t>removed.</w:t>
      </w:r>
    </w:p>
    <w:p w:rsidR="00B40966" w:rsidRDefault="00B40966">
      <w:pPr>
        <w:pStyle w:val="Amain"/>
      </w:pPr>
      <w:r>
        <w:rPr>
          <w:color w:val="000000"/>
        </w:rPr>
        <w:tab/>
        <w:t>(24)</w:t>
      </w:r>
      <w:r>
        <w:rPr>
          <w:color w:val="000000"/>
        </w:rPr>
        <w:tab/>
        <w:t>The spacing of putlogs in scaffolding constructed of timber shall not</w:t>
      </w:r>
      <w:r>
        <w:t xml:space="preserve"> exceed 6 feet.</w:t>
      </w:r>
    </w:p>
    <w:p w:rsidR="00B40966" w:rsidRDefault="00B40966">
      <w:pPr>
        <w:pStyle w:val="Amain"/>
      </w:pPr>
      <w:r>
        <w:rPr>
          <w:color w:val="000000"/>
        </w:rPr>
        <w:tab/>
        <w:t>(25)</w:t>
      </w:r>
      <w:r>
        <w:rPr>
          <w:color w:val="000000"/>
        </w:rPr>
        <w:tab/>
        <w:t>For tubular scaffolding, 1 putlog shall be placed at each side of</w:t>
      </w:r>
      <w:r>
        <w:t xml:space="preserve"> each standard except the standards at each end of the scaffolding frame, where only 1 need be used.</w:t>
      </w:r>
    </w:p>
    <w:p w:rsidR="00B40966" w:rsidRDefault="00B40966">
      <w:pPr>
        <w:pStyle w:val="Amain"/>
      </w:pPr>
      <w:r>
        <w:tab/>
        <w:t>(26)</w:t>
      </w:r>
      <w:r>
        <w:tab/>
        <w:t>The putlogs for tubular scaffolding shall be positioned not more than 9 inches from a standard measured centre-line of standard to centre-line of putlog except as provided in this section.</w:t>
      </w:r>
    </w:p>
    <w:p w:rsidR="00B40966" w:rsidRDefault="00B40966">
      <w:pPr>
        <w:pStyle w:val="Amain"/>
      </w:pPr>
      <w:r>
        <w:tab/>
        <w:t>(27)</w:t>
      </w:r>
      <w:r>
        <w:tab/>
        <w:t>The maximum span of a putlog in tubular scaffolding shall not exceed 5 feet 2</w:t>
      </w:r>
      <w:r>
        <w:rPr>
          <w:position w:val="6"/>
          <w:sz w:val="18"/>
        </w:rPr>
        <w:t>1</w:t>
      </w:r>
      <w:r>
        <w:t>/</w:t>
      </w:r>
      <w:r>
        <w:rPr>
          <w:sz w:val="18"/>
        </w:rPr>
        <w:t>2</w:t>
      </w:r>
      <w:r>
        <w:t xml:space="preserve"> inches for a mild steel putlog, or 4 feet 8</w:t>
      </w:r>
      <w:r>
        <w:rPr>
          <w:position w:val="6"/>
          <w:sz w:val="18"/>
        </w:rPr>
        <w:t>1</w:t>
      </w:r>
      <w:r>
        <w:t>/</w:t>
      </w:r>
      <w:r>
        <w:rPr>
          <w:sz w:val="18"/>
        </w:rPr>
        <w:t>2</w:t>
      </w:r>
      <w:r>
        <w:t xml:space="preserve"> inches for a putlog of high tensile aluminium alloy measured centre to centre of supports.</w:t>
      </w:r>
    </w:p>
    <w:p w:rsidR="00B40966" w:rsidRDefault="00B40966">
      <w:pPr>
        <w:pStyle w:val="Amain"/>
      </w:pPr>
      <w:r>
        <w:tab/>
        <w:t>(28)</w:t>
      </w:r>
      <w:r>
        <w:tab/>
        <w:t>If 1 end of a putlog is supported by a wall or by part of a structure, the span shall be considered as the distance between the face of the wall and the centre-line of the ledger supporting the other end.</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loads</w:t>
      </w:r>
    </w:p>
    <w:p w:rsidR="00B40966" w:rsidRDefault="00B40966">
      <w:pPr>
        <w:pStyle w:val="Amain"/>
      </w:pPr>
      <w:r>
        <w:tab/>
        <w:t>(29)</w:t>
      </w:r>
      <w:r>
        <w:tab/>
        <w:t>The load due to the weight of people and materials uniformly distributed over the area of a scaffolding platform shall not exceed 35 pounds per square foot of platform area.</w:t>
      </w:r>
    </w:p>
    <w:p w:rsidR="00B40966" w:rsidRDefault="00B40966">
      <w:pPr>
        <w:pStyle w:val="Amain"/>
      </w:pPr>
      <w:r>
        <w:tab/>
        <w:t>(30)</w:t>
      </w:r>
      <w:r>
        <w:tab/>
        <w:t>The weight of a concentrated load imposed on any bay of a scaffolding of this type shall not exceed 400 pounds provided that this load and the uniformly distributed load shall not act simultaneously.</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permissible number of working platforms</w:t>
      </w:r>
    </w:p>
    <w:p w:rsidR="00B40966" w:rsidRDefault="00B40966">
      <w:pPr>
        <w:pStyle w:val="Amain"/>
      </w:pPr>
      <w:r>
        <w:tab/>
        <w:t>(31)</w:t>
      </w:r>
      <w:r>
        <w:tab/>
        <w:t>Not more than 2 working platforms shall be set up and used on a scaffolding frame at any one time, but short platforms may be set up in different positions on the frame, provided that the total area of these platforms supported by any standard would not exceed that supported when 2 full length platforms are set up.</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height</w:t>
      </w:r>
    </w:p>
    <w:p w:rsidR="00B40966" w:rsidRDefault="00B40966">
      <w:pPr>
        <w:pStyle w:val="Amain"/>
        <w:keepLines/>
      </w:pPr>
      <w:r>
        <w:tab/>
        <w:t>(32)</w:t>
      </w:r>
      <w:r>
        <w:tab/>
        <w:t>For subsections (29) to (31) and (33) to (43), the height of the scaffolding means the perpendicular distance measured from the base from which the scaffolding rises to the top surface of the topmost platform.</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standards</w:t>
      </w:r>
    </w:p>
    <w:p w:rsidR="00B40966" w:rsidRDefault="00B40966">
      <w:pPr>
        <w:pStyle w:val="Amain"/>
      </w:pPr>
      <w:r>
        <w:tab/>
        <w:t>(33)</w:t>
      </w:r>
      <w:r>
        <w:tab/>
        <w:t>All standards shall be effectively tied to the building or structure or be otherwise braced at points not more than 12 feet apart in the length of each standard, and shall be—</w:t>
      </w:r>
    </w:p>
    <w:p w:rsidR="00B40966" w:rsidRDefault="00B40966">
      <w:pPr>
        <w:pStyle w:val="Apara"/>
      </w:pPr>
      <w:r>
        <w:tab/>
        <w:t>(a)</w:t>
      </w:r>
      <w:r>
        <w:tab/>
        <w:t>of sawn timber 4 inches by 3 inches sectional dimensions; or</w:t>
      </w:r>
    </w:p>
    <w:p w:rsidR="00B40966" w:rsidRDefault="00B40966">
      <w:pPr>
        <w:pStyle w:val="Apara"/>
      </w:pPr>
      <w:r>
        <w:tab/>
        <w:t>(b)</w:t>
      </w:r>
      <w:r>
        <w:tab/>
        <w:t>of timber poles not less than 3 inches diameter at the small end; or</w:t>
      </w:r>
    </w:p>
    <w:p w:rsidR="00B40966" w:rsidRDefault="00B40966">
      <w:pPr>
        <w:pStyle w:val="Apara"/>
      </w:pPr>
      <w:r>
        <w:tab/>
        <w:t>(c)</w:t>
      </w:r>
      <w:r>
        <w:tab/>
        <w:t>for tubular scaffolding only—of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standards</w:t>
      </w:r>
    </w:p>
    <w:p w:rsidR="00B40966" w:rsidRDefault="00B40966">
      <w:pPr>
        <w:pStyle w:val="Amain"/>
      </w:pPr>
      <w:r>
        <w:tab/>
        <w:t>(34)</w:t>
      </w:r>
      <w:r>
        <w:tab/>
        <w:t>Sawn timber and pole standards shall be spaced not more than 10 feet apart measured from the centre-line of one standard to the centre-line of the adjacent standard in the same row.</w:t>
      </w:r>
    </w:p>
    <w:p w:rsidR="00B40966" w:rsidRDefault="00B40966">
      <w:pPr>
        <w:pStyle w:val="Amain"/>
      </w:pPr>
      <w:r>
        <w:tab/>
        <w:t>(35)</w:t>
      </w:r>
      <w:r>
        <w:tab/>
        <w:t>Pipe standards in tubular scaffolding shall be spaced not more than 7 feet 6 inches apart in any row measured as mentioned in subsection (34).</w:t>
      </w:r>
    </w:p>
    <w:p w:rsidR="00B40966" w:rsidRDefault="00B40966">
      <w:pPr>
        <w:pStyle w:val="Amain"/>
      </w:pPr>
      <w:r>
        <w:tab/>
        <w:t>(36)</w:t>
      </w:r>
      <w:r>
        <w:tab/>
        <w:t>If 2 or more rows of standards are used, the rows shall be spaced so as to be not more than 5 feet apart for scaffolding constructed of timber or of mild steel pipes and not more than 4 feet 6 inches apart for scaffolding constructed of pipes made of an approved aluminium alloy.</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ledgers</w:t>
      </w:r>
    </w:p>
    <w:p w:rsidR="00B40966" w:rsidRDefault="00B40966">
      <w:pPr>
        <w:pStyle w:val="Amain"/>
      </w:pPr>
      <w:r>
        <w:tab/>
        <w:t>(37)</w:t>
      </w:r>
      <w:r>
        <w:tab/>
        <w:t>Ledgers shall be spaced not more than 6 feet apart, provided that if circumstances so necessitate, the distance measured from the base of a scaffolding to the first ledger may be increased to not more than 10 feet, and shall be—</w:t>
      </w:r>
    </w:p>
    <w:p w:rsidR="00B40966" w:rsidRDefault="00B40966">
      <w:pPr>
        <w:pStyle w:val="Apara"/>
      </w:pPr>
      <w:r>
        <w:tab/>
        <w:t>(a)</w:t>
      </w:r>
      <w:r>
        <w:tab/>
        <w:t>of sawn timber not less than 6 inches by 1</w:t>
      </w:r>
      <w:r>
        <w:rPr>
          <w:position w:val="6"/>
          <w:sz w:val="18"/>
        </w:rPr>
        <w:t>1</w:t>
      </w:r>
      <w:r>
        <w:t>/</w:t>
      </w:r>
      <w:r>
        <w:rPr>
          <w:sz w:val="18"/>
        </w:rPr>
        <w:t>2</w:t>
      </w:r>
      <w:r>
        <w:t xml:space="preserve"> inches sectional dimensions if of hardwood and not less than 6 inches by 2 inches sectional dimensions if of Oregon pine; or</w:t>
      </w:r>
    </w:p>
    <w:p w:rsidR="00B40966" w:rsidRDefault="00B40966">
      <w:pPr>
        <w:pStyle w:val="Apara"/>
      </w:pPr>
      <w:r>
        <w:tab/>
        <w:t>(b)</w:t>
      </w:r>
      <w:r>
        <w:tab/>
        <w:t>of timber poles not less than 2</w:t>
      </w:r>
      <w:r>
        <w:rPr>
          <w:position w:val="6"/>
          <w:sz w:val="18"/>
        </w:rPr>
        <w:t>1</w:t>
      </w:r>
      <w:r>
        <w:t>/</w:t>
      </w:r>
      <w:r>
        <w:rPr>
          <w:sz w:val="18"/>
        </w:rPr>
        <w:t>2</w:t>
      </w:r>
      <w:r>
        <w:t xml:space="preserve"> inches diameter at the small end; or</w:t>
      </w:r>
    </w:p>
    <w:p w:rsidR="00B40966" w:rsidRDefault="00B40966">
      <w:pPr>
        <w:pStyle w:val="Apara"/>
      </w:pPr>
      <w:r>
        <w:tab/>
        <w:t>(c)</w:t>
      </w:r>
      <w:r>
        <w:tab/>
        <w:t>for tubular scaffolding only—of round metal pipes of the description and dimensions mentioned in subsection (33) (c);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putlogs</w:t>
      </w:r>
    </w:p>
    <w:p w:rsidR="00B40966" w:rsidRDefault="00B40966">
      <w:pPr>
        <w:pStyle w:val="Amain"/>
      </w:pPr>
      <w:r>
        <w:tab/>
        <w:t>(38)</w:t>
      </w:r>
      <w:r>
        <w:tab/>
        <w:t>Putlogs shall be—</w:t>
      </w:r>
    </w:p>
    <w:p w:rsidR="00B40966" w:rsidRDefault="00B40966">
      <w:pPr>
        <w:pStyle w:val="Apara"/>
      </w:pPr>
      <w:r>
        <w:tab/>
        <w:t>(a)</w:t>
      </w:r>
      <w:r>
        <w:tab/>
        <w:t>of sawn timber not less than 3 inches by 3 inches sectional dimensions if of hardwood and not less than 4 inches by 3 inches if of Oregon pine; or</w:t>
      </w:r>
    </w:p>
    <w:p w:rsidR="00B40966" w:rsidRDefault="00B40966">
      <w:pPr>
        <w:pStyle w:val="Apara"/>
      </w:pPr>
      <w:r>
        <w:tab/>
        <w:t>(b)</w:t>
      </w:r>
      <w:r>
        <w:tab/>
        <w:t>for tubular scaffolding only—of round metal pipes of the description and dimensions mentioned in subsection (33) (c); or</w:t>
      </w:r>
    </w:p>
    <w:p w:rsidR="00B40966" w:rsidRDefault="00B40966">
      <w:pPr>
        <w:pStyle w:val="Apara"/>
      </w:pPr>
      <w:r>
        <w:tab/>
        <w:t>(c)</w:t>
      </w:r>
      <w:r>
        <w:tab/>
        <w:t>of the other material, construction and dimensions that may be prescribed in this section or that may be approved.</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spacing of putlogs</w:t>
      </w:r>
    </w:p>
    <w:p w:rsidR="00B40966" w:rsidRDefault="00B40966">
      <w:pPr>
        <w:pStyle w:val="Amain"/>
      </w:pPr>
      <w:r>
        <w:tab/>
        <w:t>(39)</w:t>
      </w:r>
      <w:r>
        <w:tab/>
        <w:t>Sawn timber putlogs shall be spaced at not more than 6 feet apart.</w:t>
      </w:r>
    </w:p>
    <w:p w:rsidR="00B40966" w:rsidRDefault="00B40966">
      <w:pPr>
        <w:pStyle w:val="Amain"/>
      </w:pPr>
      <w:r>
        <w:tab/>
        <w:t>(40)</w:t>
      </w:r>
      <w:r>
        <w:tab/>
        <w:t>For scaffolding constructed of metal pipes, a putlog shall be placed at each side of each standard except the standards at each end of the scaffolding frame, where 1 only need be used.</w:t>
      </w:r>
    </w:p>
    <w:p w:rsidR="00B40966" w:rsidRDefault="00B40966">
      <w:pPr>
        <w:pStyle w:val="Amain"/>
      </w:pPr>
      <w:r>
        <w:tab/>
        <w:t>(41)</w:t>
      </w:r>
      <w:r>
        <w:tab/>
        <w:t>The putlogs for scaffolding constructed of metal pipes shall be positioned not more than 9 inches from a standard, measured centre-line of standard to centre-line of putlog.</w:t>
      </w:r>
    </w:p>
    <w:p w:rsidR="00B40966" w:rsidRDefault="00B40966">
      <w:pPr>
        <w:pStyle w:val="Amain"/>
      </w:pPr>
      <w:r>
        <w:tab/>
        <w:t>(42)</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B40966" w:rsidRDefault="00B40966">
      <w:pPr>
        <w:pStyle w:val="Assectheading"/>
        <w:rPr>
          <w:i w:val="0"/>
        </w:rPr>
      </w:pPr>
      <w:r>
        <w:rPr>
          <w:rStyle w:val="charItals"/>
          <w:i/>
        </w:rPr>
        <w:t>Heavy duty single and independent pole scaffolding not exceeding 30 feet in height</w:t>
      </w:r>
      <w:r>
        <w:rPr>
          <w:i w:val="0"/>
          <w:color w:val="000000"/>
        </w:rPr>
        <w:t>—</w:t>
      </w:r>
      <w:r>
        <w:rPr>
          <w:rStyle w:val="charItals"/>
          <w:i/>
        </w:rPr>
        <w:t>bracings</w:t>
      </w:r>
    </w:p>
    <w:p w:rsidR="00B40966" w:rsidRDefault="00B40966">
      <w:pPr>
        <w:pStyle w:val="Amain"/>
      </w:pPr>
      <w:r>
        <w:tab/>
        <w:t>(43)</w:t>
      </w:r>
      <w:r>
        <w:tab/>
        <w:t>Bracings shall be—</w:t>
      </w:r>
    </w:p>
    <w:p w:rsidR="00B40966" w:rsidRDefault="00B40966">
      <w:pPr>
        <w:pStyle w:val="Apara"/>
      </w:pPr>
      <w:r>
        <w:tab/>
        <w:t>(a)</w:t>
      </w:r>
      <w:r>
        <w:tab/>
        <w:t>sawn timber not less than 9 square inches in sectional area; or</w:t>
      </w:r>
    </w:p>
    <w:p w:rsidR="00B40966" w:rsidRDefault="00B40966">
      <w:pPr>
        <w:pStyle w:val="Apara"/>
      </w:pPr>
      <w:r>
        <w:tab/>
        <w:t>(b)</w:t>
      </w:r>
      <w:r>
        <w:tab/>
        <w:t>timber poles not less than 2</w:t>
      </w:r>
      <w:r>
        <w:rPr>
          <w:position w:val="6"/>
          <w:sz w:val="18"/>
        </w:rPr>
        <w:t>1</w:t>
      </w:r>
      <w:r>
        <w:t>/</w:t>
      </w:r>
      <w:r>
        <w:rPr>
          <w:sz w:val="18"/>
        </w:rPr>
        <w:t>2</w:t>
      </w:r>
      <w:r>
        <w:t xml:space="preserve"> inches diameter at the small end; or</w:t>
      </w:r>
    </w:p>
    <w:p w:rsidR="00B40966" w:rsidRDefault="00B40966">
      <w:pPr>
        <w:pStyle w:val="Apara"/>
      </w:pPr>
      <w:r>
        <w:tab/>
        <w:t>(c)</w:t>
      </w:r>
      <w:r>
        <w:tab/>
        <w:t>for tubular scaffolding—round metal pipes as mentioned in subsection (33) (c);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color w:val="000000"/>
        </w:rPr>
        <w:t>general</w:t>
      </w:r>
    </w:p>
    <w:p w:rsidR="00B40966" w:rsidRDefault="00B40966">
      <w:pPr>
        <w:pStyle w:val="Amain"/>
      </w:pPr>
      <w:r>
        <w:tab/>
        <w:t>(44)</w:t>
      </w:r>
      <w:r>
        <w:tab/>
        <w:t>The requirements of subsections (29) to (32) shall also apply to this type of scaffolding.</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standards</w:t>
      </w:r>
    </w:p>
    <w:p w:rsidR="00B40966" w:rsidRDefault="00B40966">
      <w:pPr>
        <w:pStyle w:val="Amain"/>
      </w:pPr>
      <w:r>
        <w:tab/>
        <w:t>(45)</w:t>
      </w:r>
      <w:r>
        <w:tab/>
        <w:t>Standards shall be—</w:t>
      </w:r>
    </w:p>
    <w:p w:rsidR="00B40966" w:rsidRDefault="00B40966">
      <w:pPr>
        <w:pStyle w:val="Apara"/>
      </w:pPr>
      <w:r>
        <w:tab/>
        <w:t>(a)</w:t>
      </w:r>
      <w:r>
        <w:tab/>
        <w:t>of sawn timber not less than 4 inches by 4 inches sectional dimensions; or</w:t>
      </w:r>
    </w:p>
    <w:p w:rsidR="00B40966" w:rsidRDefault="00B40966">
      <w:pPr>
        <w:pStyle w:val="Apara"/>
      </w:pPr>
      <w:r>
        <w:tab/>
        <w:t>(b)</w:t>
      </w:r>
      <w:r>
        <w:tab/>
        <w:t>of timber poles not less than 3 inches diameter at the small end; or</w:t>
      </w:r>
    </w:p>
    <w:p w:rsidR="00B40966" w:rsidRDefault="00B40966">
      <w:pPr>
        <w:pStyle w:val="Apara"/>
      </w:pPr>
      <w:r>
        <w:tab/>
        <w:t>(c)</w:t>
      </w:r>
      <w:r>
        <w:tab/>
        <w:t>for tubular scaffolding—round metal pipes of the description and dimensions mentioned in subsection (33) (c);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standards</w:t>
      </w:r>
    </w:p>
    <w:p w:rsidR="00B40966" w:rsidRDefault="00B40966">
      <w:pPr>
        <w:pStyle w:val="Amain"/>
      </w:pPr>
      <w:r>
        <w:tab/>
        <w:t>(46)</w:t>
      </w:r>
      <w:r>
        <w:tab/>
        <w:t>Sawn timber and pole standards shall be spaced not more than 9 feet apart measured from the centre-line of one standard to the centre</w:t>
      </w:r>
      <w:r>
        <w:noBreakHyphen/>
        <w:t>line of the adjacent standard in the same row.</w:t>
      </w:r>
    </w:p>
    <w:p w:rsidR="00B40966" w:rsidRDefault="00B40966">
      <w:pPr>
        <w:pStyle w:val="Amain"/>
      </w:pPr>
      <w:r>
        <w:tab/>
        <w:t>(47)</w:t>
      </w:r>
      <w:r>
        <w:tab/>
        <w:t>Pipe standards in tubular scaffolding shall be spaced not more than 7 feet 6 inches apart in any row measured as mentioned in subsection (46).</w:t>
      </w:r>
    </w:p>
    <w:p w:rsidR="00B40966" w:rsidRDefault="00B40966">
      <w:pPr>
        <w:pStyle w:val="Amain"/>
      </w:pPr>
      <w:r>
        <w:tab/>
        <w:t>(48)</w:t>
      </w:r>
      <w:r>
        <w:tab/>
        <w:t>If 2 or more rows of standards are used the rows shall be spaced so as to be not more than 5 feet apart for scaffolding constructed of timber or of mild steel pipes and not more than 4 feet 6 inches apart for scaffolding constructed of pipes of approved aluminium alloy.</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ledgers</w:t>
      </w:r>
    </w:p>
    <w:p w:rsidR="00B40966" w:rsidRDefault="00B40966">
      <w:pPr>
        <w:pStyle w:val="Amain"/>
      </w:pPr>
      <w:r>
        <w:tab/>
        <w:t>(49)</w:t>
      </w:r>
      <w:r>
        <w:tab/>
        <w:t>Ledgers shall be spaced not more than 6 feet apart, provided that if circumstances so necessitate, the distance measured from the base of a scaffolding to the first ledger may be increased to not more than 10 feet, and shall be—</w:t>
      </w:r>
    </w:p>
    <w:p w:rsidR="00B40966" w:rsidRDefault="00B40966">
      <w:pPr>
        <w:pStyle w:val="Apara"/>
      </w:pPr>
      <w:r>
        <w:tab/>
        <w:t>(a)</w:t>
      </w:r>
      <w:r>
        <w:tab/>
        <w:t>of approved sawn hardwood timber not less than 6 inches by 2 inches sectional dimensions or of Oregon pine timber not less than 6 inches by 2</w:t>
      </w:r>
      <w:r>
        <w:rPr>
          <w:position w:val="6"/>
          <w:sz w:val="18"/>
        </w:rPr>
        <w:t>1</w:t>
      </w:r>
      <w:r>
        <w:t>/</w:t>
      </w:r>
      <w:r>
        <w:rPr>
          <w:sz w:val="18"/>
        </w:rPr>
        <w:t>2</w:t>
      </w:r>
      <w:r>
        <w:t xml:space="preserve"> inches sectional dimensions; or</w:t>
      </w:r>
    </w:p>
    <w:p w:rsidR="00B40966" w:rsidRDefault="00B40966">
      <w:pPr>
        <w:pStyle w:val="Apara"/>
      </w:pPr>
      <w:r>
        <w:tab/>
        <w:t>(b)</w:t>
      </w:r>
      <w:r>
        <w:tab/>
        <w:t>of timber poles not less than 3 inches diameter at the small end; or</w:t>
      </w:r>
    </w:p>
    <w:p w:rsidR="00B40966" w:rsidRDefault="00B40966">
      <w:pPr>
        <w:pStyle w:val="Apara"/>
      </w:pPr>
      <w:r>
        <w:tab/>
        <w:t>(c)</w:t>
      </w:r>
      <w:r>
        <w:tab/>
        <w:t>for tubular scaffolding only—of round metal pipes of the description and dimensions mentioned in subsection (33) (c);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putlogs</w:t>
      </w:r>
    </w:p>
    <w:p w:rsidR="00B40966" w:rsidRDefault="00B40966">
      <w:pPr>
        <w:pStyle w:val="Amain"/>
      </w:pPr>
      <w:r>
        <w:tab/>
        <w:t>(50)</w:t>
      </w:r>
      <w:r>
        <w:tab/>
        <w:t>Putlogs shall be—</w:t>
      </w:r>
    </w:p>
    <w:p w:rsidR="00B40966" w:rsidRDefault="00B40966">
      <w:pPr>
        <w:pStyle w:val="Apara"/>
      </w:pPr>
      <w:r>
        <w:tab/>
        <w:t>(a)</w:t>
      </w:r>
      <w:r>
        <w:tab/>
        <w:t>of sawn hardwood timber not less than 3 inches by 3 inches sectional dimensions; or</w:t>
      </w:r>
    </w:p>
    <w:p w:rsidR="00B40966" w:rsidRDefault="00B40966">
      <w:pPr>
        <w:pStyle w:val="Apara"/>
      </w:pPr>
      <w:r>
        <w:tab/>
        <w:t>(b)</w:t>
      </w:r>
      <w:r>
        <w:tab/>
        <w:t>for tubular scaffolding only—of round metal pipes of the description and dimensions mentioned in subsection (33) (c); or</w:t>
      </w:r>
    </w:p>
    <w:p w:rsidR="00B40966" w:rsidRDefault="00B40966">
      <w:pPr>
        <w:pStyle w:val="Apara"/>
      </w:pPr>
      <w:r>
        <w:tab/>
        <w:t>(c)</w:t>
      </w:r>
      <w:r>
        <w:tab/>
        <w:t>of the other material, construction and dimensions that may be prescribed in this section or that may be approved.</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spacing of putlogs</w:t>
      </w:r>
    </w:p>
    <w:p w:rsidR="00B40966" w:rsidRDefault="00B40966">
      <w:pPr>
        <w:pStyle w:val="Amain"/>
        <w:keepNext/>
      </w:pPr>
      <w:r>
        <w:tab/>
        <w:t>(51)</w:t>
      </w:r>
      <w:r>
        <w:tab/>
        <w:t>Sawn timber putlogs shall be spaced at not more than 6 feet apart.</w:t>
      </w:r>
    </w:p>
    <w:p w:rsidR="00B40966" w:rsidRDefault="00B40966">
      <w:pPr>
        <w:pStyle w:val="Amain"/>
      </w:pPr>
      <w:r>
        <w:tab/>
        <w:t>(52)</w:t>
      </w:r>
      <w:r>
        <w:tab/>
        <w:t>For scaffolding constructed of metal pipes, 1 putlog shall be placed at each side of each standard, except the standards at each end of the scaffolding frame where only 1 putlog need be used.</w:t>
      </w:r>
    </w:p>
    <w:p w:rsidR="00B40966" w:rsidRDefault="00B40966">
      <w:pPr>
        <w:pStyle w:val="Amain"/>
      </w:pPr>
      <w:r>
        <w:tab/>
        <w:t>(53)</w:t>
      </w:r>
      <w:r>
        <w:tab/>
        <w:t>All putlogs for scaffolding constructed of metal pipes shall be located not more than 9 inches from a standard measured from the centre-line of the standard to the centre-line of the putlog.</w:t>
      </w:r>
    </w:p>
    <w:p w:rsidR="00B40966" w:rsidRDefault="00B40966">
      <w:pPr>
        <w:pStyle w:val="Amain"/>
      </w:pPr>
      <w:r>
        <w:tab/>
        <w:t>(54)</w:t>
      </w:r>
      <w:r>
        <w:tab/>
        <w:t>The maximum span of a mild steel pipe putlog shall not exceed 5 feet 2</w:t>
      </w:r>
      <w:r>
        <w:rPr>
          <w:position w:val="6"/>
          <w:sz w:val="18"/>
        </w:rPr>
        <w:t>1</w:t>
      </w:r>
      <w:r>
        <w:t>/</w:t>
      </w:r>
      <w:r>
        <w:rPr>
          <w:sz w:val="18"/>
        </w:rPr>
        <w:t>2</w:t>
      </w:r>
      <w:r>
        <w:t xml:space="preserve"> inches and the maximum span of a putlog of high tensile aluminium pipe shall not exceed 4 feet 8</w:t>
      </w:r>
      <w:r>
        <w:rPr>
          <w:position w:val="6"/>
          <w:sz w:val="18"/>
        </w:rPr>
        <w:t>1</w:t>
      </w:r>
      <w:r>
        <w:t>/</w:t>
      </w:r>
      <w:r>
        <w:rPr>
          <w:sz w:val="18"/>
        </w:rPr>
        <w:t>2</w:t>
      </w:r>
      <w:r>
        <w:t xml:space="preserve"> inches.</w:t>
      </w:r>
    </w:p>
    <w:p w:rsidR="00B40966" w:rsidRDefault="00B40966">
      <w:pPr>
        <w:pStyle w:val="Assectheading"/>
      </w:pPr>
      <w:r>
        <w:rPr>
          <w:rStyle w:val="charItals"/>
          <w:i/>
        </w:rPr>
        <w:t>Heavy duty single and independent pole scaffolding exceeding 30 feet but not exceeding 150 feet in height</w:t>
      </w:r>
      <w:r>
        <w:rPr>
          <w:i w:val="0"/>
          <w:color w:val="000000"/>
        </w:rPr>
        <w:t>—</w:t>
      </w:r>
      <w:r>
        <w:rPr>
          <w:rStyle w:val="charItals"/>
          <w:i/>
        </w:rPr>
        <w:t>bracings</w:t>
      </w:r>
    </w:p>
    <w:p w:rsidR="00B40966" w:rsidRDefault="00B40966">
      <w:pPr>
        <w:pStyle w:val="Amain"/>
      </w:pPr>
      <w:r>
        <w:tab/>
        <w:t>(55)</w:t>
      </w:r>
      <w:r>
        <w:tab/>
        <w:t>Bracings shall be—</w:t>
      </w:r>
    </w:p>
    <w:p w:rsidR="00B40966" w:rsidRDefault="00B40966">
      <w:pPr>
        <w:pStyle w:val="Apara"/>
      </w:pPr>
      <w:r>
        <w:tab/>
        <w:t>(a)</w:t>
      </w:r>
      <w:r>
        <w:tab/>
        <w:t>sawn timber, not less than 9</w:t>
      </w:r>
      <w:r>
        <w:rPr>
          <w:b/>
        </w:rPr>
        <w:t xml:space="preserve"> </w:t>
      </w:r>
      <w:r>
        <w:t>square inches in sectional area; or</w:t>
      </w:r>
    </w:p>
    <w:p w:rsidR="00B40966" w:rsidRDefault="00B40966">
      <w:pPr>
        <w:pStyle w:val="Apara"/>
      </w:pPr>
      <w:r>
        <w:tab/>
        <w:t>(b)</w:t>
      </w:r>
      <w:r>
        <w:tab/>
        <w:t>timber poles not less than 2</w:t>
      </w:r>
      <w:r>
        <w:rPr>
          <w:position w:val="6"/>
          <w:sz w:val="18"/>
        </w:rPr>
        <w:t>1</w:t>
      </w:r>
      <w:r>
        <w:t>/</w:t>
      </w:r>
      <w:r>
        <w:rPr>
          <w:sz w:val="18"/>
        </w:rPr>
        <w:t>2</w:t>
      </w:r>
      <w:r>
        <w:t xml:space="preserve"> inches diameter at the small end; or</w:t>
      </w:r>
    </w:p>
    <w:p w:rsidR="00B40966" w:rsidRDefault="00B40966">
      <w:pPr>
        <w:pStyle w:val="Apara"/>
      </w:pPr>
      <w:r>
        <w:tab/>
        <w:t>(c)</w:t>
      </w:r>
      <w:r>
        <w:tab/>
        <w:t>for light duty scaffolding—round metal pipes mentioned in subsection (33) (c); or</w:t>
      </w:r>
    </w:p>
    <w:p w:rsidR="00B40966" w:rsidRDefault="00B40966">
      <w:pPr>
        <w:pStyle w:val="Apara"/>
      </w:pPr>
      <w:r>
        <w:tab/>
        <w:t>(d)</w:t>
      </w:r>
      <w:r>
        <w:tab/>
        <w:t>of the other material, construction and dimensions that may be prescribed in this section or that may be approved.</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permissible loads</w:t>
      </w:r>
    </w:p>
    <w:p w:rsidR="00B40966" w:rsidRDefault="00B40966">
      <w:pPr>
        <w:pStyle w:val="Amain"/>
      </w:pPr>
      <w:r>
        <w:tab/>
        <w:t>(56)</w:t>
      </w:r>
      <w:r>
        <w:tab/>
        <w:t>This type of scaffolding shall be used only by painters and decorators and other like tradespeople in building work of such description that the scaffolding is subjected only to small loads from the combined weight of workers and materials.</w:t>
      </w:r>
    </w:p>
    <w:p w:rsidR="00B40966" w:rsidRDefault="00B40966">
      <w:pPr>
        <w:pStyle w:val="Amain"/>
      </w:pPr>
      <w:r>
        <w:tab/>
        <w:t>(57)</w:t>
      </w:r>
      <w:r>
        <w:tab/>
        <w:t>The total load due to the weight of workers and material on the platform of a light duty scaffolding shall not exceed the equivalent of a uniformly distributed load of 10 pounds per square foot of platform area.</w:t>
      </w:r>
    </w:p>
    <w:p w:rsidR="00B40966" w:rsidRDefault="00B40966">
      <w:pPr>
        <w:pStyle w:val="Amain"/>
      </w:pPr>
      <w:r>
        <w:tab/>
        <w:t>(58)</w:t>
      </w:r>
      <w:r>
        <w:tab/>
        <w:t>This loading equals the combined weight of 4 workers plus material weighing 50 pounds.</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height</w:t>
      </w:r>
    </w:p>
    <w:p w:rsidR="00B40966" w:rsidRDefault="00B40966">
      <w:pPr>
        <w:pStyle w:val="Amain"/>
      </w:pPr>
      <w:r>
        <w:tab/>
        <w:t>(59)</w:t>
      </w:r>
      <w:r>
        <w:tab/>
        <w:t>The height of the topmost platform shall not exceed 100 feet, such height being the distance measured from the base from which the scaffolding rises to the top surface of the platform.</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permissible number of working platforms</w:t>
      </w:r>
    </w:p>
    <w:p w:rsidR="00B40966" w:rsidRDefault="00B40966">
      <w:pPr>
        <w:pStyle w:val="Amain"/>
      </w:pPr>
      <w:r>
        <w:tab/>
        <w:t>(60)</w:t>
      </w:r>
      <w:r>
        <w:tab/>
        <w:t>Not more than 2 working platforms shall be set up and used on a scaffolding frame at any time, but short platforms may be set up in different positions on the frame provided that the total area of these platforms supported by any standard would not exceed that supported when 2 full length platforms are set up.</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standards</w:t>
      </w:r>
    </w:p>
    <w:p w:rsidR="00B40966" w:rsidRDefault="00B40966">
      <w:pPr>
        <w:pStyle w:val="Amain"/>
      </w:pPr>
      <w:r>
        <w:tab/>
        <w:t>(61)</w:t>
      </w:r>
      <w:r>
        <w:tab/>
        <w:t>Standards shall be of round metal pipes, steam quality, mild steel, or pipes of an approved high tensile aluminium alloy, or other approved alloy, all such pipes being of an outside diameter of not less than 1</w:t>
      </w:r>
      <w:r>
        <w:rPr>
          <w:position w:val="6"/>
          <w:sz w:val="18"/>
        </w:rPr>
        <w:t>29</w:t>
      </w:r>
      <w:r>
        <w:t>/</w:t>
      </w:r>
      <w:r>
        <w:rPr>
          <w:sz w:val="18"/>
        </w:rPr>
        <w:t>32</w:t>
      </w:r>
      <w:r>
        <w:t xml:space="preserve"> inches, a nominal bore of 1</w:t>
      </w:r>
      <w:r>
        <w:rPr>
          <w:position w:val="6"/>
          <w:sz w:val="18"/>
        </w:rPr>
        <w:t>1</w:t>
      </w:r>
      <w:r>
        <w:t>/</w:t>
      </w:r>
      <w:r>
        <w:rPr>
          <w:sz w:val="18"/>
        </w:rPr>
        <w:t>2</w:t>
      </w:r>
      <w:r>
        <w:t xml:space="preserve"> inches and a wall thickness of not less than 0.192 inches for pipes of mild steel and 0.176 inches for pipes of an approved alloy.</w:t>
      </w:r>
    </w:p>
    <w:p w:rsidR="00B40966" w:rsidRDefault="00B40966">
      <w:pPr>
        <w:pStyle w:val="Amain"/>
      </w:pPr>
      <w:r>
        <w:tab/>
        <w:t>(62)</w:t>
      </w:r>
      <w:r>
        <w:tab/>
        <w:t>All standards shall be effectively tied to the building or structure or be otherwise braced at points not more than 12 feet apart, measured centre to centre.</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spacing of standards</w:t>
      </w:r>
    </w:p>
    <w:p w:rsidR="00B40966" w:rsidRDefault="00B40966">
      <w:pPr>
        <w:pStyle w:val="Amain"/>
      </w:pPr>
      <w:r>
        <w:tab/>
        <w:t>(63)</w:t>
      </w:r>
      <w:r>
        <w:tab/>
        <w:t>Standards shall be spaced not more than 12 feet apart measured from the centre-line of one standard to the centre-line of the adjacent standard in the same row.</w:t>
      </w:r>
    </w:p>
    <w:p w:rsidR="00B40966" w:rsidRDefault="00B40966">
      <w:pPr>
        <w:pStyle w:val="Amain"/>
      </w:pPr>
      <w:r>
        <w:tab/>
        <w:t>(64)</w:t>
      </w:r>
      <w:r>
        <w:tab/>
        <w:t>If 2 or more rows of standards are used the rows shall be spaced so as to be not more than 6 feet apart measured from the centre-line of one row to the centre-line of another row.</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ledgers</w:t>
      </w:r>
    </w:p>
    <w:p w:rsidR="00B40966" w:rsidRDefault="00B40966">
      <w:pPr>
        <w:pStyle w:val="Amain"/>
      </w:pPr>
      <w:r>
        <w:tab/>
        <w:t>(65)</w:t>
      </w:r>
      <w:r>
        <w:tab/>
        <w:t>Ledgers shall be of round metal pipes of the description and dimensions mentioned in subsection (61).</w:t>
      </w:r>
    </w:p>
    <w:p w:rsidR="00B40966" w:rsidRDefault="00B40966">
      <w:pPr>
        <w:pStyle w:val="Amain"/>
      </w:pPr>
      <w:r>
        <w:tab/>
        <w:t>(66)</w:t>
      </w:r>
      <w:r>
        <w:tab/>
        <w:t>Ledgers shall be spaced not more than 10 feet apart.</w:t>
      </w:r>
    </w:p>
    <w:p w:rsidR="00B40966" w:rsidRDefault="00B40966">
      <w:pPr>
        <w:pStyle w:val="Amain"/>
      </w:pPr>
      <w:r>
        <w:tab/>
        <w:t>(67)</w:t>
      </w:r>
      <w:r>
        <w:tab/>
        <w:t>For this type of scaffolding the distance of a joint in a ledger from a vertical shall not exceed 1 foot 9 inches.</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putlogs</w:t>
      </w:r>
    </w:p>
    <w:p w:rsidR="00B40966" w:rsidRDefault="00B40966">
      <w:pPr>
        <w:pStyle w:val="Amain"/>
      </w:pPr>
      <w:r>
        <w:tab/>
        <w:t>(68)</w:t>
      </w:r>
      <w:r>
        <w:tab/>
        <w:t>Putlogs shall be round metal pipes of the description and dimensions mentioned in subsection (61).</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spacing of putlogs</w:t>
      </w:r>
    </w:p>
    <w:p w:rsidR="00B40966" w:rsidRDefault="00B40966">
      <w:pPr>
        <w:pStyle w:val="Amain"/>
      </w:pPr>
      <w:r>
        <w:tab/>
        <w:t>(69)</w:t>
      </w:r>
      <w:r>
        <w:tab/>
        <w:t>A putlog shall be placed at each side of each standard except the standards at each end of the scaffolding frame, where 1 only need be used.</w:t>
      </w:r>
    </w:p>
    <w:p w:rsidR="00B40966" w:rsidRDefault="00B40966">
      <w:pPr>
        <w:pStyle w:val="Amain"/>
      </w:pPr>
      <w:r>
        <w:tab/>
        <w:t>(70)</w:t>
      </w:r>
      <w:r>
        <w:tab/>
        <w:t>The distance measured between the centre-line of a putlog and the centre-line of a standard shall be 2 feet.</w:t>
      </w:r>
    </w:p>
    <w:p w:rsidR="00B40966" w:rsidRDefault="00B40966">
      <w:pPr>
        <w:pStyle w:val="Amain"/>
      </w:pPr>
      <w:r>
        <w:tab/>
        <w:t>(71)</w:t>
      </w:r>
      <w:r>
        <w:tab/>
        <w:t>The span of a putlog shall not exceed 6 feet 4</w:t>
      </w:r>
      <w:r>
        <w:rPr>
          <w:position w:val="6"/>
          <w:sz w:val="18"/>
        </w:rPr>
        <w:t>1</w:t>
      </w:r>
      <w:r>
        <w:t>/</w:t>
      </w:r>
      <w:r>
        <w:rPr>
          <w:sz w:val="18"/>
        </w:rPr>
        <w:t>2</w:t>
      </w:r>
      <w:r>
        <w:t xml:space="preserve"> inches.</w:t>
      </w:r>
    </w:p>
    <w:p w:rsidR="00B40966" w:rsidRDefault="00B40966">
      <w:pPr>
        <w:pStyle w:val="Assectheading"/>
        <w:rPr>
          <w:i w:val="0"/>
        </w:rPr>
      </w:pPr>
      <w:r>
        <w:rPr>
          <w:rStyle w:val="charItals"/>
          <w:i/>
        </w:rPr>
        <w:t>Light duty single and independent pole tubular scaffolding</w:t>
      </w:r>
      <w:r>
        <w:rPr>
          <w:i w:val="0"/>
          <w:color w:val="000000"/>
        </w:rPr>
        <w:t>—</w:t>
      </w:r>
      <w:r>
        <w:rPr>
          <w:rStyle w:val="charItals"/>
          <w:i/>
        </w:rPr>
        <w:t>bracings</w:t>
      </w:r>
    </w:p>
    <w:p w:rsidR="00B40966" w:rsidRDefault="00B40966">
      <w:pPr>
        <w:pStyle w:val="Amain"/>
      </w:pPr>
      <w:r>
        <w:tab/>
        <w:t>(72)</w:t>
      </w:r>
      <w:r>
        <w:tab/>
        <w:t>Bracings shall be round metal pipes of the description and dimensions mentioned in subsection (61).</w:t>
      </w:r>
    </w:p>
    <w:p w:rsidR="00B40966" w:rsidRDefault="00B40966">
      <w:pPr>
        <w:pStyle w:val="Assectheading"/>
        <w:rPr>
          <w:i w:val="0"/>
        </w:rPr>
      </w:pPr>
      <w:r>
        <w:rPr>
          <w:rStyle w:val="charItals"/>
          <w:i/>
        </w:rPr>
        <w:t>Tubular birdcage scaffolding</w:t>
      </w:r>
      <w:r>
        <w:rPr>
          <w:i w:val="0"/>
          <w:color w:val="000000"/>
        </w:rPr>
        <w:t>—</w:t>
      </w:r>
      <w:r>
        <w:rPr>
          <w:rStyle w:val="charItals"/>
          <w:i/>
        </w:rPr>
        <w:t>permissible loads</w:t>
      </w:r>
    </w:p>
    <w:p w:rsidR="00B40966" w:rsidRDefault="00B40966">
      <w:pPr>
        <w:pStyle w:val="Amain"/>
      </w:pPr>
      <w:r>
        <w:tab/>
        <w:t>(73)</w:t>
      </w:r>
      <w:r>
        <w:tab/>
        <w:t>The total load on the platform in any bay at any time of this type of scaffolding shall not exceed the weight of 2 workers plus material weighing 50 pounds.</w:t>
      </w:r>
    </w:p>
    <w:p w:rsidR="00B40966" w:rsidRDefault="00B40966">
      <w:pPr>
        <w:pStyle w:val="Assectheading"/>
        <w:rPr>
          <w:i w:val="0"/>
        </w:rPr>
      </w:pPr>
      <w:r>
        <w:rPr>
          <w:rStyle w:val="charItals"/>
          <w:i/>
        </w:rPr>
        <w:t>Tubular birdcage scaffolding</w:t>
      </w:r>
      <w:r>
        <w:rPr>
          <w:i w:val="0"/>
          <w:color w:val="000000"/>
        </w:rPr>
        <w:t>—</w:t>
      </w:r>
      <w:r>
        <w:rPr>
          <w:rStyle w:val="charItals"/>
          <w:i/>
        </w:rPr>
        <w:t>arrangement and construction</w:t>
      </w:r>
    </w:p>
    <w:p w:rsidR="00B40966" w:rsidRDefault="00B40966">
      <w:pPr>
        <w:pStyle w:val="Amain"/>
      </w:pPr>
      <w:r>
        <w:tab/>
        <w:t>(74)</w:t>
      </w:r>
      <w:r>
        <w:tab/>
        <w:t>The general arrangement, construction and materials shall be as mentioned in subsections (56) to (72) subject to the following:</w:t>
      </w:r>
    </w:p>
    <w:p w:rsidR="00B40966" w:rsidRDefault="00B40966">
      <w:pPr>
        <w:pStyle w:val="Apara"/>
      </w:pPr>
      <w:r>
        <w:tab/>
        <w:t>(a)</w:t>
      </w:r>
      <w:r>
        <w:tab/>
        <w:t>platform planks may be spaced not more than 7 inches apart;</w:t>
      </w:r>
    </w:p>
    <w:p w:rsidR="00B40966" w:rsidRDefault="00B40966">
      <w:pPr>
        <w:pStyle w:val="Apara"/>
      </w:pPr>
      <w:r>
        <w:tab/>
        <w:t>(b)</w:t>
      </w:r>
      <w:r>
        <w:tab/>
        <w:t>the span of a mild steel putlog may be increased to 8 feet and the span of a high tensile aluminium putlog may be increased to 6 feet;</w:t>
      </w:r>
    </w:p>
    <w:p w:rsidR="00B40966" w:rsidRDefault="00B40966">
      <w:pPr>
        <w:pStyle w:val="Apara"/>
      </w:pPr>
      <w:r>
        <w:tab/>
        <w:t>(c)</w:t>
      </w:r>
      <w:r>
        <w:tab/>
        <w:t>standards shall be spaced not more than 10 feet apart in any row, unless additional putlogs are provided to support cantilevered ends of platform planks;</w:t>
      </w:r>
    </w:p>
    <w:p w:rsidR="00B40966" w:rsidRDefault="00B40966">
      <w:pPr>
        <w:pStyle w:val="Apara"/>
      </w:pPr>
      <w:r>
        <w:tab/>
        <w:t>(d)</w:t>
      </w:r>
      <w:r>
        <w:tab/>
        <w:t>not more than 1 working platform shall be set up on a scaffolding frame at any time.</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uses of scaffolding</w:t>
      </w:r>
    </w:p>
    <w:p w:rsidR="00B40966" w:rsidRDefault="00B40966">
      <w:pPr>
        <w:pStyle w:val="Amain"/>
      </w:pPr>
      <w:r>
        <w:tab/>
        <w:t>(75)</w:t>
      </w:r>
      <w:r>
        <w:tab/>
        <w:t>This type of scaffolding shall only be used by painters, repairers, decorators, electric welders and other like tradespeople.</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tubes</w:t>
      </w:r>
    </w:p>
    <w:p w:rsidR="00B40966" w:rsidRDefault="00B40966">
      <w:pPr>
        <w:pStyle w:val="Amain"/>
      </w:pPr>
      <w:r>
        <w:tab/>
        <w:t>(76)</w:t>
      </w:r>
      <w:r>
        <w:tab/>
        <w:t>Tubes shall be mild steel round pipes of steam quality, not less than 1</w:t>
      </w:r>
      <w:r>
        <w:rPr>
          <w:position w:val="6"/>
          <w:sz w:val="18"/>
        </w:rPr>
        <w:t>11</w:t>
      </w:r>
      <w:r>
        <w:t>/</w:t>
      </w:r>
      <w:r>
        <w:rPr>
          <w:sz w:val="18"/>
        </w:rPr>
        <w:t>32</w:t>
      </w:r>
      <w:r>
        <w:t xml:space="preserve"> inches outside diameter, having walls not less in thickness than 0.16 inch.</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fittings</w:t>
      </w:r>
    </w:p>
    <w:p w:rsidR="00B40966" w:rsidRDefault="00B40966">
      <w:pPr>
        <w:pStyle w:val="Amain"/>
      </w:pPr>
      <w:r>
        <w:tab/>
        <w:t>(77)</w:t>
      </w:r>
      <w:r>
        <w:tab/>
        <w:t>The fittings or devices used for connecting the various members of the scaffolding shall be only those that have been approved.</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height</w:t>
      </w:r>
    </w:p>
    <w:p w:rsidR="00B40966" w:rsidRDefault="00B40966">
      <w:pPr>
        <w:pStyle w:val="Amain"/>
      </w:pPr>
      <w:r>
        <w:tab/>
        <w:t>(78)</w:t>
      </w:r>
      <w:r>
        <w:tab/>
        <w:t>The height of the topmost platform above the surface on which the scaffolding is erected shall not exceed 15 feet for scaffolding having 1 or 2 rows of standards and shall not exceed 24 feet for scaffolding having 3 or more rows of standards.</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standards</w:t>
      </w:r>
    </w:p>
    <w:p w:rsidR="00B40966" w:rsidRDefault="00B40966">
      <w:pPr>
        <w:pStyle w:val="Amain"/>
      </w:pPr>
      <w:r>
        <w:tab/>
        <w:t>(79)</w:t>
      </w:r>
      <w:r>
        <w:tab/>
        <w:t>Standards shall be spaced not more than 5 feet apart measured horizontally centre to centre along any row.</w:t>
      </w:r>
    </w:p>
    <w:p w:rsidR="00B40966" w:rsidRDefault="00B40966">
      <w:pPr>
        <w:pStyle w:val="Amain"/>
      </w:pPr>
      <w:r>
        <w:tab/>
        <w:t>(80)</w:t>
      </w:r>
      <w:r>
        <w:tab/>
        <w:t>If 2 or more rows of standards are used, the rows shall be spaced 3 feet 9 inches apart measured horizontally centre to centre.</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ledgers</w:t>
      </w:r>
    </w:p>
    <w:p w:rsidR="00B40966" w:rsidRDefault="00B40966">
      <w:pPr>
        <w:pStyle w:val="Amain"/>
      </w:pPr>
      <w:r>
        <w:tab/>
        <w:t>(81)</w:t>
      </w:r>
      <w:r>
        <w:tab/>
        <w:t>Each ledger shall be supported by and at each standard.</w:t>
      </w:r>
    </w:p>
    <w:p w:rsidR="00B40966" w:rsidRDefault="00B40966">
      <w:pPr>
        <w:pStyle w:val="Amain"/>
      </w:pPr>
      <w:r>
        <w:tab/>
        <w:t>(82)</w:t>
      </w:r>
      <w:r>
        <w:tab/>
        <w:t>The vertical distance of one ledger to the next adjacent in the height of a standard shall not exceed 6 feet.</w:t>
      </w:r>
    </w:p>
    <w:p w:rsidR="00B40966" w:rsidRDefault="00B40966">
      <w:pPr>
        <w:pStyle w:val="Amain"/>
      </w:pPr>
      <w:r>
        <w:tab/>
        <w:t>(83)</w:t>
      </w:r>
      <w:r>
        <w:tab/>
        <w:t>The lowest ledger shall be fixed at a height not exceeding 18 inches above the feet of the standards.</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putlogs</w:t>
      </w:r>
    </w:p>
    <w:p w:rsidR="00B40966" w:rsidRDefault="00B40966">
      <w:pPr>
        <w:pStyle w:val="Amain"/>
      </w:pPr>
      <w:r>
        <w:tab/>
        <w:t>(84)</w:t>
      </w:r>
      <w:r>
        <w:tab/>
        <w:t>Putlogs shall be connected directly to the standards and the fittings employed shall be set together as closely as is practicable.</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bracing</w:t>
      </w:r>
    </w:p>
    <w:p w:rsidR="00B40966" w:rsidRDefault="00B40966">
      <w:pPr>
        <w:pStyle w:val="Amain"/>
      </w:pPr>
      <w:r>
        <w:tab/>
        <w:t>(85)</w:t>
      </w:r>
      <w:r>
        <w:tab/>
        <w:t>Diagonal bracings of steel scaffolding tubing shall be so arranged and fixed as to directly and effectively prevent longitudinal movements of all putlogs and of all ledgers.</w:t>
      </w:r>
    </w:p>
    <w:p w:rsidR="00B40966" w:rsidRDefault="00B40966">
      <w:pPr>
        <w:pStyle w:val="Amain"/>
      </w:pPr>
      <w:r>
        <w:tab/>
        <w:t>(86)</w:t>
      </w:r>
      <w:r>
        <w:tab/>
        <w:t>Alternatively the putlogs shall be effectively braced from an adjacent building or structure and the bracing shall be at least of equal effect to that otherwise required.</w:t>
      </w:r>
    </w:p>
    <w:p w:rsidR="00B40966" w:rsidRDefault="00B40966">
      <w:pPr>
        <w:pStyle w:val="Assectheading"/>
        <w:rPr>
          <w:i w:val="0"/>
        </w:rPr>
      </w:pPr>
      <w:r>
        <w:rPr>
          <w:rStyle w:val="charItals"/>
          <w:i/>
        </w:rPr>
        <w:t>Light duty single and independent pole scaffolding of 1 inch internal diameter steel tube</w:t>
      </w:r>
      <w:r>
        <w:rPr>
          <w:i w:val="0"/>
          <w:color w:val="000000"/>
        </w:rPr>
        <w:t>—</w:t>
      </w:r>
      <w:r>
        <w:rPr>
          <w:rStyle w:val="charItals"/>
          <w:i/>
        </w:rPr>
        <w:t>general limitations</w:t>
      </w:r>
    </w:p>
    <w:p w:rsidR="00B40966" w:rsidRDefault="00B40966">
      <w:pPr>
        <w:pStyle w:val="Amain"/>
      </w:pPr>
      <w:r>
        <w:tab/>
        <w:t>(87)</w:t>
      </w:r>
      <w:r>
        <w:tab/>
        <w:t>In connection with this type of scaffolding no person shall—</w:t>
      </w:r>
    </w:p>
    <w:p w:rsidR="00B40966" w:rsidRDefault="00B40966">
      <w:pPr>
        <w:pStyle w:val="Apara"/>
      </w:pPr>
      <w:r>
        <w:tab/>
        <w:t>(a)</w:t>
      </w:r>
      <w:r>
        <w:tab/>
        <w:t>impose or cause to be imposed on any putlog a greater total load than 470 pounds weight, inclusive of workers, tools, equipment, materials and platform timbers; or</w:t>
      </w:r>
    </w:p>
    <w:p w:rsidR="00B40966" w:rsidRDefault="00B40966">
      <w:pPr>
        <w:pStyle w:val="Apara"/>
      </w:pPr>
      <w:r>
        <w:tab/>
        <w:t>(b)</w:t>
      </w:r>
      <w:r>
        <w:tab/>
        <w:t>impose or cause to be imposed simultaneously on any scaffolding framework a greater number of working platforms than 2, but short platforms may be set up in different positions on the frame provided that the total area of these platforms supported by any part of the framework shall not exceed that supported when 2 full length platforms are set up; or</w:t>
      </w:r>
    </w:p>
    <w:p w:rsidR="00B40966" w:rsidRDefault="00B40966">
      <w:pPr>
        <w:pStyle w:val="Apara"/>
      </w:pPr>
      <w:r>
        <w:tab/>
        <w:t>(c)</w:t>
      </w:r>
      <w:r>
        <w:tab/>
        <w:t>use or cause to be used in connection with the scaffolding any connector, clip, socket, fitting, jack, base, finial, fastening, wheel or caster, unless it has been approved; or</w:t>
      </w:r>
    </w:p>
    <w:p w:rsidR="00B40966" w:rsidRDefault="00B40966">
      <w:pPr>
        <w:pStyle w:val="Apara"/>
      </w:pPr>
      <w:r>
        <w:tab/>
        <w:t>(d)</w:t>
      </w:r>
      <w:r>
        <w:tab/>
        <w:t>use or cause to be used any such connector, clip, socket, fitting, jack, base, finial, fastening, wheel or caster in any way or for any purpose other than that for which it has been approved, or for any greater loading than that for which it has been so approved; or</w:t>
      </w:r>
    </w:p>
    <w:p w:rsidR="00B40966" w:rsidRDefault="00B40966">
      <w:pPr>
        <w:pStyle w:val="Apara"/>
      </w:pPr>
      <w:r>
        <w:tab/>
        <w:t>(e)</w:t>
      </w:r>
      <w:r>
        <w:tab/>
        <w:t>fix or use or cause to be fixed or used any putlog of greater span than 3 feet 9 inches measured horizontally centre to centre of the standards or from the centre of a standard to the nearest face of the other support; or</w:t>
      </w:r>
    </w:p>
    <w:p w:rsidR="00B40966" w:rsidRDefault="00B40966">
      <w:pPr>
        <w:pStyle w:val="Apara"/>
      </w:pPr>
      <w:r>
        <w:tab/>
        <w:t>(f)</w:t>
      </w:r>
      <w:r>
        <w:tab/>
        <w:t>load or cause to be loaded any member of the scaffolding framework in any way other than that mentioned in this section.</w:t>
      </w:r>
    </w:p>
    <w:p w:rsidR="00B40966" w:rsidRDefault="00B40966">
      <w:pPr>
        <w:pStyle w:val="AH4SubDiv"/>
      </w:pPr>
      <w:bookmarkStart w:id="159" w:name="_Toc87258017"/>
      <w:r>
        <w:t>Cantilever scaffolding</w:t>
      </w:r>
      <w:bookmarkEnd w:id="159"/>
    </w:p>
    <w:p w:rsidR="00B40966" w:rsidRDefault="00B40966">
      <w:pPr>
        <w:pStyle w:val="AH5Sec"/>
      </w:pPr>
      <w:bookmarkStart w:id="160" w:name="_Toc87258018"/>
      <w:r>
        <w:rPr>
          <w:rStyle w:val="CharSectNo"/>
        </w:rPr>
        <w:t>88</w:t>
      </w:r>
      <w:bookmarkEnd w:id="160"/>
      <w:r>
        <w:tab/>
        <w:t xml:space="preserve">  </w:t>
      </w:r>
    </w:p>
    <w:p w:rsidR="00B40966" w:rsidRDefault="00B40966">
      <w:pPr>
        <w:pStyle w:val="Assectheading"/>
      </w:pPr>
      <w:r>
        <w:rPr>
          <w:rStyle w:val="charItals"/>
          <w:i/>
        </w:rPr>
        <w:t>General arrangement</w:t>
      </w:r>
    </w:p>
    <w:p w:rsidR="00B40966" w:rsidRDefault="00B40966">
      <w:pPr>
        <w:pStyle w:val="Amain"/>
        <w:rPr>
          <w:color w:val="000000"/>
        </w:rPr>
      </w:pPr>
      <w:r>
        <w:rPr>
          <w:color w:val="000000"/>
        </w:rPr>
        <w:tab/>
        <w:t>(1)</w:t>
      </w:r>
      <w:r>
        <w:rPr>
          <w:color w:val="000000"/>
        </w:rPr>
        <w:tab/>
        <w:t>The general arrangement of cantilever scaffolding shall be as shown in schedule 7, plate 2.</w:t>
      </w:r>
    </w:p>
    <w:p w:rsidR="00B40966" w:rsidRDefault="00B40966">
      <w:pPr>
        <w:pStyle w:val="Assectheading"/>
      </w:pPr>
      <w:r>
        <w:rPr>
          <w:rStyle w:val="charItals"/>
          <w:i/>
        </w:rPr>
        <w:t>Platform width</w:t>
      </w:r>
    </w:p>
    <w:p w:rsidR="00B40966" w:rsidRDefault="00B40966">
      <w:pPr>
        <w:pStyle w:val="Amain"/>
        <w:rPr>
          <w:color w:val="000000"/>
        </w:rPr>
      </w:pPr>
      <w:r>
        <w:rPr>
          <w:color w:val="000000"/>
        </w:rPr>
        <w:tab/>
        <w:t>(2)</w:t>
      </w:r>
      <w:r>
        <w:rPr>
          <w:color w:val="000000"/>
        </w:rPr>
        <w:tab/>
        <w:t>The platform width for this type of scaffolding shall not exceed 5 feet unless otherwise approved.</w:t>
      </w:r>
    </w:p>
    <w:p w:rsidR="00B40966" w:rsidRDefault="00B40966">
      <w:pPr>
        <w:pStyle w:val="Assectheading"/>
      </w:pPr>
      <w:r>
        <w:rPr>
          <w:rStyle w:val="charItals"/>
          <w:i/>
        </w:rPr>
        <w:t>Platform planks</w:t>
      </w:r>
    </w:p>
    <w:p w:rsidR="00B40966" w:rsidRDefault="00B40966">
      <w:pPr>
        <w:pStyle w:val="Amain"/>
        <w:rPr>
          <w:color w:val="000000"/>
        </w:rPr>
      </w:pPr>
      <w:r>
        <w:rPr>
          <w:color w:val="000000"/>
        </w:rPr>
        <w:tab/>
        <w:t>(3)</w:t>
      </w:r>
      <w:r>
        <w:rPr>
          <w:color w:val="000000"/>
        </w:rPr>
        <w:tab/>
        <w:t>The platform planks shall be spiked, strapped, lashed, or wired in position to overcome creep and to prevent displacement by wind.</w:t>
      </w:r>
    </w:p>
    <w:p w:rsidR="00B40966" w:rsidRDefault="00B40966">
      <w:pPr>
        <w:pStyle w:val="Amain"/>
      </w:pPr>
      <w:r>
        <w:tab/>
        <w:t>(4)</w:t>
      </w:r>
      <w:r>
        <w:tab/>
        <w:t>The dimensions of a section of any platform plank shall be not less than 10 inches by 1</w:t>
      </w:r>
      <w:r>
        <w:rPr>
          <w:position w:val="6"/>
          <w:sz w:val="18"/>
        </w:rPr>
        <w:t>1</w:t>
      </w:r>
      <w:r>
        <w:t>/</w:t>
      </w:r>
      <w:r>
        <w:rPr>
          <w:sz w:val="18"/>
        </w:rPr>
        <w:t>2</w:t>
      </w:r>
      <w:r>
        <w:t xml:space="preserve"> inches for spans to 6 feet and 10 inches by 2 inches for spans exceeding 6 feet but not exceeding 10 feet.</w:t>
      </w:r>
    </w:p>
    <w:p w:rsidR="00B40966" w:rsidRDefault="00B40966">
      <w:pPr>
        <w:pStyle w:val="Assectheading"/>
      </w:pPr>
      <w:r>
        <w:rPr>
          <w:rStyle w:val="charItals"/>
          <w:i/>
        </w:rPr>
        <w:t>Guardrails and toe board</w:t>
      </w:r>
    </w:p>
    <w:p w:rsidR="00B40966" w:rsidRDefault="00B40966">
      <w:pPr>
        <w:pStyle w:val="Amain"/>
      </w:pPr>
      <w:r>
        <w:rPr>
          <w:color w:val="000000"/>
        </w:rPr>
        <w:tab/>
        <w:t>(5)</w:t>
      </w:r>
      <w:r>
        <w:rPr>
          <w:color w:val="000000"/>
        </w:rPr>
        <w:tab/>
        <w:t>A toe board shall be securely fixed at the open sides of all platforms and guardrails at the open sides and ends of all platforms.</w:t>
      </w:r>
    </w:p>
    <w:p w:rsidR="00B40966" w:rsidRDefault="00B40966">
      <w:pPr>
        <w:pStyle w:val="Amain"/>
      </w:pPr>
      <w:r>
        <w:tab/>
        <w:t>(6)</w:t>
      </w:r>
      <w:r>
        <w:tab/>
        <w:t>Guardrails of the dimensions and description provided for by this regulation shall be fixed at the open sides and ends of all platforms.</w:t>
      </w:r>
    </w:p>
    <w:p w:rsidR="00B40966" w:rsidRDefault="00B40966">
      <w:pPr>
        <w:pStyle w:val="Assectheading"/>
      </w:pPr>
      <w:r>
        <w:rPr>
          <w:rStyle w:val="charItals"/>
          <w:i/>
        </w:rPr>
        <w:t>Cantilevers</w:t>
      </w:r>
    </w:p>
    <w:p w:rsidR="00B40966" w:rsidRDefault="00B40966">
      <w:pPr>
        <w:pStyle w:val="Amain"/>
      </w:pPr>
      <w:r>
        <w:rPr>
          <w:color w:val="000000"/>
        </w:rPr>
        <w:tab/>
        <w:t>(7)</w:t>
      </w:r>
      <w:r>
        <w:rPr>
          <w:color w:val="000000"/>
        </w:rPr>
        <w:tab/>
        <w:t>The length of a cantilever inside a building or structure shall not be less than 8 feet measured horizontally from the centre-line of the cantilever support to the centre of the bolt securing the inboard end to its support.</w:t>
      </w:r>
    </w:p>
    <w:p w:rsidR="00B40966" w:rsidRDefault="00B40966">
      <w:pPr>
        <w:pStyle w:val="Amain"/>
        <w:keepLines/>
      </w:pPr>
      <w:r>
        <w:tab/>
        <w:t>(8)</w:t>
      </w:r>
      <w:r>
        <w:tab/>
        <w:t>The dimensions of a section of a cantilever shall not be less than 9 inches by 2</w:t>
      </w:r>
      <w:r>
        <w:rPr>
          <w:position w:val="6"/>
          <w:sz w:val="18"/>
        </w:rPr>
        <w:t>1</w:t>
      </w:r>
      <w:r>
        <w:t>/</w:t>
      </w:r>
      <w:r>
        <w:rPr>
          <w:sz w:val="18"/>
        </w:rPr>
        <w:t>2</w:t>
      </w:r>
      <w:r>
        <w:t xml:space="preserve"> inches for Oregon pine timber, or 9 inches by 2 inches for approved hardwood timber if the distance between the centre-lines of adjacent cantilevers does not exceed 6 feet.</w:t>
      </w:r>
    </w:p>
    <w:p w:rsidR="00B40966" w:rsidRDefault="00B40966">
      <w:pPr>
        <w:pStyle w:val="Amain"/>
      </w:pPr>
      <w:r>
        <w:tab/>
        <w:t>(9)</w:t>
      </w:r>
      <w:r>
        <w:tab/>
        <w:t>If the distance is more than 6 feet but does not exceed 10 feet, the dimensions of the section shall be 10 inches by 2</w:t>
      </w:r>
      <w:r>
        <w:rPr>
          <w:position w:val="6"/>
          <w:sz w:val="18"/>
        </w:rPr>
        <w:t>1</w:t>
      </w:r>
      <w:r>
        <w:t>/</w:t>
      </w:r>
      <w:r>
        <w:rPr>
          <w:sz w:val="18"/>
        </w:rPr>
        <w:t>2</w:t>
      </w:r>
      <w:r>
        <w:t xml:space="preserve"> inches for oregon and 10 inches by 2 inches for hardwood.</w:t>
      </w:r>
    </w:p>
    <w:p w:rsidR="00B40966" w:rsidRDefault="00B40966">
      <w:pPr>
        <w:pStyle w:val="Amain"/>
      </w:pPr>
      <w:r>
        <w:tab/>
        <w:t>(10)</w:t>
      </w:r>
      <w:r>
        <w:tab/>
        <w:t xml:space="preserve">The diameter of a bolt used for fixing the inboard end of a cantilever to its support shall be not less than </w:t>
      </w:r>
      <w:r>
        <w:rPr>
          <w:position w:val="6"/>
          <w:sz w:val="18"/>
        </w:rPr>
        <w:t>5</w:t>
      </w:r>
      <w:r>
        <w:t>/</w:t>
      </w:r>
      <w:r>
        <w:rPr>
          <w:sz w:val="18"/>
        </w:rPr>
        <w:t>8</w:t>
      </w:r>
      <w:r>
        <w:t xml:space="preserve"> of an inch.</w:t>
      </w:r>
    </w:p>
    <w:p w:rsidR="00B40966" w:rsidRDefault="00B40966">
      <w:pPr>
        <w:pStyle w:val="Assectheading"/>
      </w:pPr>
      <w:r>
        <w:rPr>
          <w:rStyle w:val="charItals"/>
          <w:i/>
        </w:rPr>
        <w:t>Toms</w:t>
      </w:r>
    </w:p>
    <w:p w:rsidR="00B40966" w:rsidRDefault="00B40966">
      <w:pPr>
        <w:pStyle w:val="Amain"/>
      </w:pPr>
      <w:r>
        <w:rPr>
          <w:color w:val="000000"/>
        </w:rPr>
        <w:tab/>
        <w:t>(11)</w:t>
      </w:r>
      <w:r>
        <w:rPr>
          <w:color w:val="000000"/>
        </w:rPr>
        <w:tab/>
        <w:t>If the inboard end of a cantilever is fixed to a tom, the dimensions of a section of the tom shall be not less than 4 inches by 3 inches.</w:t>
      </w:r>
    </w:p>
    <w:p w:rsidR="00B40966" w:rsidRDefault="00B40966">
      <w:pPr>
        <w:pStyle w:val="Amain"/>
      </w:pPr>
      <w:r>
        <w:tab/>
        <w:t>(12)</w:t>
      </w:r>
      <w:r>
        <w:tab/>
        <w:t>Each tom shall rise from a pair of fox wedges, which shall be driven tight and then nailed, or it shall be fixed in an equally secure way.</w:t>
      </w:r>
    </w:p>
    <w:p w:rsidR="00B40966" w:rsidRDefault="00B40966">
      <w:pPr>
        <w:pStyle w:val="Assectheading"/>
      </w:pPr>
      <w:r>
        <w:rPr>
          <w:color w:val="000000"/>
        </w:rPr>
        <w:t>Bracing</w:t>
      </w:r>
    </w:p>
    <w:p w:rsidR="00B40966" w:rsidRDefault="00B40966">
      <w:pPr>
        <w:pStyle w:val="Amain"/>
      </w:pPr>
      <w:r>
        <w:rPr>
          <w:color w:val="000000"/>
        </w:rPr>
        <w:tab/>
        <w:t>(13)</w:t>
      </w:r>
      <w:r>
        <w:rPr>
          <w:color w:val="000000"/>
        </w:rPr>
        <w:tab/>
        <w:t>All toms shall be effectively braced by the use of 3 inch by 2 inch timber diagonal braces as indicated in schedule 7, plate 2.</w:t>
      </w:r>
    </w:p>
    <w:p w:rsidR="00B40966" w:rsidRDefault="00B40966">
      <w:pPr>
        <w:pStyle w:val="Amain"/>
      </w:pPr>
      <w:r>
        <w:tab/>
        <w:t>(14)</w:t>
      </w:r>
      <w:r>
        <w:tab/>
        <w:t>Each cantilever shall be braced as shown in schedule 7, plate 2 by 3 inch by 2 inch timber braces.</w:t>
      </w:r>
    </w:p>
    <w:p w:rsidR="00B40966" w:rsidRDefault="00B40966">
      <w:pPr>
        <w:pStyle w:val="Amain"/>
      </w:pPr>
      <w:r>
        <w:tab/>
        <w:t>(15)</w:t>
      </w:r>
      <w:r>
        <w:tab/>
        <w:t xml:space="preserve">All braces shall be fixed by bolts not less than </w:t>
      </w:r>
      <w:r>
        <w:rPr>
          <w:position w:val="6"/>
          <w:sz w:val="18"/>
        </w:rPr>
        <w:t>1</w:t>
      </w:r>
      <w:r>
        <w:t>/</w:t>
      </w:r>
      <w:r>
        <w:rPr>
          <w:sz w:val="18"/>
        </w:rPr>
        <w:t>2</w:t>
      </w:r>
      <w:r>
        <w:t xml:space="preserve"> an inch in diameter.</w:t>
      </w:r>
    </w:p>
    <w:p w:rsidR="00B40966" w:rsidRDefault="00B40966">
      <w:pPr>
        <w:pStyle w:val="AH4SubDiv"/>
      </w:pPr>
      <w:bookmarkStart w:id="161" w:name="_Toc87258019"/>
      <w:r>
        <w:t>Bracket scaffolding</w:t>
      </w:r>
      <w:bookmarkEnd w:id="161"/>
    </w:p>
    <w:p w:rsidR="00B40966" w:rsidRDefault="00B40966">
      <w:pPr>
        <w:pStyle w:val="AH5Sec"/>
      </w:pPr>
      <w:bookmarkStart w:id="162" w:name="_Toc87258020"/>
      <w:r>
        <w:rPr>
          <w:rStyle w:val="CharSectNo"/>
        </w:rPr>
        <w:t>89</w:t>
      </w:r>
      <w:bookmarkEnd w:id="162"/>
      <w:r>
        <w:tab/>
        <w:t xml:space="preserve">  </w:t>
      </w:r>
    </w:p>
    <w:p w:rsidR="00B40966" w:rsidRDefault="00B40966">
      <w:pPr>
        <w:pStyle w:val="Assectheading"/>
      </w:pPr>
      <w:r>
        <w:t>General</w:t>
      </w:r>
    </w:p>
    <w:p w:rsidR="00B40966" w:rsidRDefault="00B40966">
      <w:pPr>
        <w:pStyle w:val="Amain"/>
        <w:keepNext/>
      </w:pPr>
      <w:r>
        <w:tab/>
        <w:t>(1)</w:t>
      </w:r>
      <w:r>
        <w:tab/>
        <w:t>In this section:</w:t>
      </w:r>
    </w:p>
    <w:p w:rsidR="00B40966" w:rsidRDefault="00B40966">
      <w:pPr>
        <w:pStyle w:val="aDef"/>
      </w:pPr>
      <w:r>
        <w:rPr>
          <w:b/>
          <w:i/>
        </w:rPr>
        <w:t>bracket scaffolding</w:t>
      </w:r>
      <w:r>
        <w:t xml:space="preserve"> means a working platform supported by brackets, either of timber or metal, constructed and erected as mentioned in this section.</w:t>
      </w:r>
    </w:p>
    <w:p w:rsidR="00B40966" w:rsidRDefault="00B40966">
      <w:pPr>
        <w:pStyle w:val="Amain"/>
      </w:pPr>
      <w:r>
        <w:tab/>
        <w:t>(2)</w:t>
      </w:r>
      <w:r>
        <w:tab/>
        <w:t>Bracket scaffolding shall be used only by carpenters, painters, tuck pointers, electricians, plumbers and other like tradespeople who do not require their working platform to carry quantities of materials or to withstand the effects of marked physical activity.</w:t>
      </w:r>
    </w:p>
    <w:p w:rsidR="00B40966" w:rsidRDefault="00B40966">
      <w:pPr>
        <w:pStyle w:val="Assectheading"/>
      </w:pPr>
      <w:r>
        <w:rPr>
          <w:rStyle w:val="charItals"/>
          <w:i/>
        </w:rPr>
        <w:t>General arrangement</w:t>
      </w:r>
    </w:p>
    <w:p w:rsidR="00B40966" w:rsidRDefault="00B40966">
      <w:pPr>
        <w:pStyle w:val="Amain"/>
        <w:rPr>
          <w:color w:val="000000"/>
        </w:rPr>
      </w:pPr>
      <w:r>
        <w:rPr>
          <w:color w:val="000000"/>
        </w:rPr>
        <w:tab/>
        <w:t>(3)</w:t>
      </w:r>
      <w:r>
        <w:rPr>
          <w:color w:val="000000"/>
        </w:rPr>
        <w:tab/>
        <w:t>The general arrangement of a timber bracket scaffolding shall be as shown in schedule 7, plate 3, figure 1, provided that the brackets shall not be spaced at a greater distance apart than 14 feet.</w:t>
      </w:r>
    </w:p>
    <w:p w:rsidR="00B40966" w:rsidRDefault="00B40966">
      <w:pPr>
        <w:pStyle w:val="Assectheading"/>
      </w:pPr>
      <w:r>
        <w:rPr>
          <w:rStyle w:val="charItals"/>
          <w:i/>
        </w:rPr>
        <w:t>Construction of timber brackets—general arrangement</w:t>
      </w:r>
    </w:p>
    <w:p w:rsidR="00B40966" w:rsidRDefault="00B40966">
      <w:pPr>
        <w:pStyle w:val="Amain"/>
        <w:rPr>
          <w:color w:val="000000"/>
        </w:rPr>
      </w:pPr>
      <w:r>
        <w:rPr>
          <w:color w:val="000000"/>
        </w:rPr>
        <w:tab/>
        <w:t>(4)</w:t>
      </w:r>
      <w:r>
        <w:rPr>
          <w:color w:val="000000"/>
        </w:rPr>
        <w:tab/>
        <w:t>The general arrangement of brackets shall be as shown in schedule 7, plate 3, figure 2 or 3.</w:t>
      </w:r>
    </w:p>
    <w:p w:rsidR="00B40966" w:rsidRDefault="00B40966">
      <w:pPr>
        <w:pStyle w:val="Assectheading"/>
      </w:pPr>
      <w:r>
        <w:rPr>
          <w:rStyle w:val="charItals"/>
          <w:i/>
        </w:rPr>
        <w:t>Construction of timber brackets—vertical legs</w:t>
      </w:r>
    </w:p>
    <w:p w:rsidR="00B40966" w:rsidRDefault="00B40966">
      <w:pPr>
        <w:pStyle w:val="Amain"/>
      </w:pPr>
      <w:r>
        <w:tab/>
        <w:t>(5)</w:t>
      </w:r>
      <w:r>
        <w:tab/>
        <w:t>The minimum length of the vertical leg of a bracket shall be 4 feet and the minimum cross-sectional dimensions shall be 4 inches by 3 inches for Oregon pine timber and 4 inches by 2 inches for hardwood timber.</w:t>
      </w:r>
    </w:p>
    <w:p w:rsidR="00B40966" w:rsidRDefault="00B40966">
      <w:pPr>
        <w:pStyle w:val="Assectheading"/>
      </w:pPr>
      <w:r>
        <w:rPr>
          <w:rStyle w:val="charItals"/>
          <w:i/>
        </w:rPr>
        <w:t>Construction of timber brackets—horizontal legs</w:t>
      </w:r>
    </w:p>
    <w:p w:rsidR="00B40966" w:rsidRDefault="00B40966">
      <w:pPr>
        <w:pStyle w:val="Amain"/>
      </w:pPr>
      <w:r>
        <w:tab/>
        <w:t>(6)</w:t>
      </w:r>
      <w:r>
        <w:tab/>
        <w:t>The overall length of the horizontal legs shall not exceed 2 feet 6 inches and the cross-sectional dimensions of the legs shall be as set out in subsection (5) for vertical legs.</w:t>
      </w:r>
    </w:p>
    <w:p w:rsidR="00B40966" w:rsidRDefault="00B40966">
      <w:pPr>
        <w:pStyle w:val="Assectheading"/>
      </w:pPr>
      <w:r>
        <w:rPr>
          <w:rStyle w:val="charItals"/>
          <w:i/>
        </w:rPr>
        <w:t>Construction of timber brackets—connection vertical to horizontal legs</w:t>
      </w:r>
    </w:p>
    <w:p w:rsidR="00B40966" w:rsidRDefault="00B40966">
      <w:pPr>
        <w:pStyle w:val="Amain"/>
      </w:pPr>
      <w:r>
        <w:tab/>
        <w:t>(7)</w:t>
      </w:r>
      <w:r>
        <w:tab/>
        <w:t xml:space="preserve">The inboard end of the horizontal leg shall sit fair and square on the upper end of a vertical leg and one shall be connected to the other either by a 14 inch by 14 inch gusset of 14 gauge mild steel plate, secured by 4 </w:t>
      </w:r>
      <w:r>
        <w:rPr>
          <w:position w:val="6"/>
          <w:sz w:val="18"/>
        </w:rPr>
        <w:t>3</w:t>
      </w:r>
      <w:r>
        <w:t>/</w:t>
      </w:r>
      <w:r>
        <w:rPr>
          <w:sz w:val="18"/>
        </w:rPr>
        <w:t>8</w:t>
      </w:r>
      <w:r>
        <w:t xml:space="preserve"> inches diameter mild steel bolts, 2 in each leg as shown schedule 7, plate 3, figure 2, or by the insertion of a </w:t>
      </w:r>
      <w:r>
        <w:rPr>
          <w:position w:val="6"/>
          <w:sz w:val="18"/>
        </w:rPr>
        <w:t>3</w:t>
      </w:r>
      <w:r>
        <w:t>/</w:t>
      </w:r>
      <w:r>
        <w:rPr>
          <w:sz w:val="18"/>
        </w:rPr>
        <w:t>16</w:t>
      </w:r>
      <w:r>
        <w:t xml:space="preserve"> of an inch thick mild steel plate connected by 3 (three) </w:t>
      </w:r>
      <w:r>
        <w:rPr>
          <w:position w:val="6"/>
          <w:sz w:val="18"/>
        </w:rPr>
        <w:t>3</w:t>
      </w:r>
      <w:r>
        <w:t>/</w:t>
      </w:r>
      <w:r>
        <w:rPr>
          <w:sz w:val="18"/>
        </w:rPr>
        <w:t>8</w:t>
      </w:r>
      <w:r>
        <w:t> of and inch diameter mild steel bolts as shown in schedule 7, plate 3, figure 3.</w:t>
      </w:r>
    </w:p>
    <w:p w:rsidR="00B40966" w:rsidRDefault="00B40966">
      <w:pPr>
        <w:pStyle w:val="Assectheading"/>
      </w:pPr>
      <w:r>
        <w:rPr>
          <w:rStyle w:val="charItals"/>
          <w:i/>
        </w:rPr>
        <w:t>Construction of timber brackets—bracing between vertical and horizontal legs</w:t>
      </w:r>
    </w:p>
    <w:p w:rsidR="00B40966" w:rsidRDefault="00B40966">
      <w:pPr>
        <w:pStyle w:val="Amain"/>
      </w:pPr>
      <w:r>
        <w:tab/>
        <w:t>(8)</w:t>
      </w:r>
      <w:r>
        <w:tab/>
        <w:t>If the vertical leg is connected to the horizontal by a gusset, 1 pair of braces of 3 inch by 1</w:t>
      </w:r>
      <w:r>
        <w:rPr>
          <w:position w:val="6"/>
          <w:sz w:val="18"/>
        </w:rPr>
        <w:t>1</w:t>
      </w:r>
      <w:r>
        <w:t>/</w:t>
      </w:r>
      <w:r>
        <w:rPr>
          <w:sz w:val="18"/>
        </w:rPr>
        <w:t>4</w:t>
      </w:r>
      <w:r>
        <w:t xml:space="preserve"> inch timber shall be used as shown in schedule 7, plate 3, figure 2, or if a mild steel insert is used for this connection 2 pairs of braces of those dimensions shall be used for the purpose as shown in schedule 7, plate 3, figure 3.</w:t>
      </w:r>
    </w:p>
    <w:p w:rsidR="00B40966" w:rsidRDefault="00B40966">
      <w:pPr>
        <w:pStyle w:val="Amain"/>
      </w:pPr>
      <w:r>
        <w:tab/>
        <w:t>(9)</w:t>
      </w:r>
      <w:r>
        <w:tab/>
        <w:t>In both cases the ends of each brace shall be cut to form a shoulder that shall bear against the horizontal and vertical legs of the bracket, respectively.</w:t>
      </w:r>
    </w:p>
    <w:p w:rsidR="00B40966" w:rsidRDefault="00B40966">
      <w:pPr>
        <w:pStyle w:val="Assectheading"/>
      </w:pPr>
      <w:r>
        <w:rPr>
          <w:rStyle w:val="charItals"/>
          <w:i/>
        </w:rPr>
        <w:t>Construction of timber brackets—handrail brackets</w:t>
      </w:r>
    </w:p>
    <w:p w:rsidR="00B40966" w:rsidRDefault="00B40966">
      <w:pPr>
        <w:pStyle w:val="Amain"/>
      </w:pPr>
      <w:r>
        <w:tab/>
        <w:t>(10)</w:t>
      </w:r>
      <w:r>
        <w:tab/>
        <w:t xml:space="preserve">Handrail brackets constructed of mild steel plate </w:t>
      </w:r>
      <w:r>
        <w:rPr>
          <w:position w:val="6"/>
          <w:sz w:val="18"/>
        </w:rPr>
        <w:t>3</w:t>
      </w:r>
      <w:r>
        <w:t>/</w:t>
      </w:r>
      <w:r>
        <w:rPr>
          <w:sz w:val="18"/>
        </w:rPr>
        <w:t>16</w:t>
      </w:r>
      <w:r>
        <w:t xml:space="preserve"> of an inch thick shall be fixed to the outer end of the horizontal leg of each bracket by </w:t>
      </w:r>
      <w:r>
        <w:rPr>
          <w:position w:val="6"/>
          <w:sz w:val="18"/>
        </w:rPr>
        <w:t>3</w:t>
      </w:r>
      <w:r>
        <w:t>/</w:t>
      </w:r>
      <w:r>
        <w:rPr>
          <w:sz w:val="18"/>
        </w:rPr>
        <w:t>8</w:t>
      </w:r>
      <w:r>
        <w:t xml:space="preserve"> of an inch diameter mild steel bolts as indicated in schedule 7, plate 3, figure 5 and the handrail upright shall be bolted to this bracket.</w:t>
      </w:r>
    </w:p>
    <w:p w:rsidR="00B40966" w:rsidRDefault="00B40966">
      <w:pPr>
        <w:pStyle w:val="Assectheading"/>
      </w:pPr>
      <w:r>
        <w:rPr>
          <w:rStyle w:val="charItals"/>
          <w:i/>
        </w:rPr>
        <w:t>Struts</w:t>
      </w:r>
    </w:p>
    <w:p w:rsidR="00B40966" w:rsidRDefault="00B40966">
      <w:pPr>
        <w:pStyle w:val="Amain"/>
        <w:rPr>
          <w:color w:val="000000"/>
        </w:rPr>
      </w:pPr>
      <w:r>
        <w:rPr>
          <w:color w:val="000000"/>
        </w:rPr>
        <w:tab/>
        <w:t>(11)</w:t>
      </w:r>
      <w:r>
        <w:rPr>
          <w:color w:val="000000"/>
        </w:rPr>
        <w:tab/>
        <w:t>The strut used for holding a bracket against a wall shall not be less than 4 inches by 3 inches cross-sectional dimensions for lengths up to and including 20 feet.</w:t>
      </w:r>
    </w:p>
    <w:p w:rsidR="00B40966" w:rsidRDefault="00B40966">
      <w:pPr>
        <w:pStyle w:val="Amain"/>
        <w:rPr>
          <w:color w:val="000000"/>
        </w:rPr>
      </w:pPr>
      <w:r>
        <w:rPr>
          <w:color w:val="000000"/>
        </w:rPr>
        <w:tab/>
        <w:t>(12)</w:t>
      </w:r>
      <w:r>
        <w:rPr>
          <w:color w:val="000000"/>
        </w:rPr>
        <w:tab/>
        <w:t>The strut shall be so positioned that the 3 inch face is uppermost.</w:t>
      </w:r>
    </w:p>
    <w:p w:rsidR="00B40966" w:rsidRDefault="00B40966">
      <w:pPr>
        <w:pStyle w:val="Amain"/>
        <w:rPr>
          <w:color w:val="000000"/>
        </w:rPr>
      </w:pPr>
      <w:r>
        <w:rPr>
          <w:color w:val="000000"/>
        </w:rPr>
        <w:tab/>
        <w:t>(13)</w:t>
      </w:r>
      <w:r>
        <w:rPr>
          <w:color w:val="000000"/>
        </w:rPr>
        <w:tab/>
        <w:t>For lengths longer than 20 feet, the cross-sectional dimensions shall be so increased that a strut of equal strength is provided.</w:t>
      </w:r>
    </w:p>
    <w:p w:rsidR="00B40966" w:rsidRDefault="00B40966">
      <w:pPr>
        <w:pStyle w:val="Amain"/>
      </w:pPr>
      <w:r>
        <w:rPr>
          <w:color w:val="000000"/>
        </w:rPr>
        <w:tab/>
        <w:t>(14)</w:t>
      </w:r>
      <w:r>
        <w:rPr>
          <w:color w:val="000000"/>
        </w:rPr>
        <w:tab/>
        <w:t>The lower ends of the struts shall be effectively secured against movement.</w:t>
      </w:r>
    </w:p>
    <w:p w:rsidR="00B40966" w:rsidRDefault="00B40966">
      <w:pPr>
        <w:pStyle w:val="Amain"/>
      </w:pPr>
      <w:r>
        <w:tab/>
        <w:t>(15)</w:t>
      </w:r>
      <w:r>
        <w:tab/>
        <w:t>The angle of the struts with the horizontal shall not be greater than 60</w:t>
      </w:r>
      <w:r>
        <w:rPr>
          <w:rFonts w:ascii="Helvetica" w:hAnsi="Helvetica"/>
        </w:rPr>
        <w:t>°</w:t>
      </w:r>
      <w:r>
        <w:t xml:space="preserve"> or less than 50</w:t>
      </w:r>
      <w:r>
        <w:rPr>
          <w:rFonts w:ascii="Helvetica" w:hAnsi="Helvetica"/>
        </w:rPr>
        <w:t>°</w:t>
      </w:r>
      <w:r>
        <w:t>, with the exception that for seasoned brickwork the angle may be flattened to between 40</w:t>
      </w:r>
      <w:r>
        <w:rPr>
          <w:rFonts w:ascii="Helvetica" w:hAnsi="Helvetica"/>
        </w:rPr>
        <w:t>°</w:t>
      </w:r>
      <w:r>
        <w:t xml:space="preserve"> and 60</w:t>
      </w:r>
      <w:r>
        <w:rPr>
          <w:rFonts w:ascii="Helvetica" w:hAnsi="Helvetica"/>
        </w:rPr>
        <w:t>°</w:t>
      </w:r>
      <w:r>
        <w:t>.</w:t>
      </w:r>
    </w:p>
    <w:p w:rsidR="00B40966" w:rsidRDefault="00B40966">
      <w:pPr>
        <w:pStyle w:val="Assectheading"/>
      </w:pPr>
      <w:r>
        <w:rPr>
          <w:rStyle w:val="charItals"/>
          <w:i/>
        </w:rPr>
        <w:t>Bracing between struts</w:t>
      </w:r>
    </w:p>
    <w:p w:rsidR="00B40966" w:rsidRDefault="00B40966">
      <w:pPr>
        <w:pStyle w:val="Amain"/>
        <w:rPr>
          <w:color w:val="000000"/>
        </w:rPr>
      </w:pPr>
      <w:r>
        <w:rPr>
          <w:color w:val="000000"/>
        </w:rPr>
        <w:tab/>
        <w:t>(16)</w:t>
      </w:r>
      <w:r>
        <w:rPr>
          <w:color w:val="000000"/>
        </w:rPr>
        <w:tab/>
        <w:t>Struts shall be braced one to the other as indicated in schedule 7, plate 3, figure 1.</w:t>
      </w:r>
    </w:p>
    <w:p w:rsidR="00B40966" w:rsidRDefault="00B40966">
      <w:pPr>
        <w:pStyle w:val="Amain"/>
        <w:rPr>
          <w:color w:val="000000"/>
        </w:rPr>
      </w:pPr>
      <w:r>
        <w:rPr>
          <w:color w:val="000000"/>
        </w:rPr>
        <w:tab/>
        <w:t>(17)</w:t>
      </w:r>
      <w:r>
        <w:rPr>
          <w:color w:val="000000"/>
        </w:rPr>
        <w:tab/>
        <w:t>The braces, marked ‘B’ in the figure, shall have cross-sectional dimensions not less than 3 inches by 1</w:t>
      </w:r>
      <w:r>
        <w:rPr>
          <w:color w:val="000000"/>
          <w:position w:val="6"/>
          <w:sz w:val="18"/>
        </w:rPr>
        <w:t>1</w:t>
      </w:r>
      <w:r>
        <w:rPr>
          <w:color w:val="000000"/>
        </w:rPr>
        <w:t>/</w:t>
      </w:r>
      <w:r>
        <w:rPr>
          <w:color w:val="000000"/>
          <w:sz w:val="18"/>
        </w:rPr>
        <w:t>4</w:t>
      </w:r>
      <w:r>
        <w:rPr>
          <w:color w:val="000000"/>
        </w:rPr>
        <w:t xml:space="preserve"> inches for both hardwood and Oregon pine, and may be spiked, clamped or bolted in position.</w:t>
      </w:r>
    </w:p>
    <w:p w:rsidR="00B40966" w:rsidRDefault="00B40966">
      <w:pPr>
        <w:pStyle w:val="Assectheading"/>
      </w:pPr>
      <w:r>
        <w:rPr>
          <w:rStyle w:val="charItals"/>
          <w:i/>
        </w:rPr>
        <w:t>Platform</w:t>
      </w:r>
    </w:p>
    <w:p w:rsidR="00B40966" w:rsidRDefault="00B40966">
      <w:pPr>
        <w:pStyle w:val="Amain"/>
        <w:rPr>
          <w:color w:val="000000"/>
        </w:rPr>
      </w:pPr>
      <w:r>
        <w:rPr>
          <w:color w:val="000000"/>
        </w:rPr>
        <w:tab/>
        <w:t>(18)</w:t>
      </w:r>
      <w:r>
        <w:rPr>
          <w:color w:val="000000"/>
        </w:rPr>
        <w:tab/>
        <w:t>The platform may be of Oregon pine or hardwood scaffold planks.</w:t>
      </w:r>
    </w:p>
    <w:p w:rsidR="00B40966" w:rsidRDefault="00B40966">
      <w:pPr>
        <w:pStyle w:val="Amain"/>
      </w:pPr>
      <w:r>
        <w:rPr>
          <w:color w:val="000000"/>
        </w:rPr>
        <w:tab/>
        <w:t>(19)</w:t>
      </w:r>
      <w:r>
        <w:rPr>
          <w:color w:val="000000"/>
        </w:rPr>
        <w:tab/>
        <w:t>The overall width of the platform shall not exceed 2 feet 6 inches and the minimum width shall be 1 foot 6 inches.</w:t>
      </w:r>
    </w:p>
    <w:p w:rsidR="00B40966" w:rsidRDefault="00B40966">
      <w:pPr>
        <w:pStyle w:val="Amain"/>
      </w:pPr>
      <w:r>
        <w:tab/>
        <w:t>(20)</w:t>
      </w:r>
      <w:r>
        <w:tab/>
        <w:t>The scaffold planks shall be spiked or otherwise effectively secured to the brackets at each end and shall be cleated at mid length in the way shown in schedule 7, plate 3, figure 4.</w:t>
      </w:r>
    </w:p>
    <w:p w:rsidR="00B40966" w:rsidRDefault="00B40966">
      <w:pPr>
        <w:pStyle w:val="Amain"/>
      </w:pPr>
      <w:r>
        <w:tab/>
        <w:t>(21)</w:t>
      </w:r>
      <w:r>
        <w:tab/>
        <w:t>If the distance between brackets does not exceed 12 feet, the thickness of the scaffold planks shall be not less than 1</w:t>
      </w:r>
      <w:r>
        <w:rPr>
          <w:position w:val="6"/>
          <w:sz w:val="18"/>
        </w:rPr>
        <w:t>1</w:t>
      </w:r>
      <w:r>
        <w:t>/</w:t>
      </w:r>
      <w:r>
        <w:rPr>
          <w:sz w:val="18"/>
        </w:rPr>
        <w:t>2</w:t>
      </w:r>
      <w:r>
        <w:t xml:space="preserve"> inches for Oregon pine timber and 1</w:t>
      </w:r>
      <w:r>
        <w:rPr>
          <w:position w:val="6"/>
          <w:sz w:val="18"/>
        </w:rPr>
        <w:t>1</w:t>
      </w:r>
      <w:r>
        <w:t>/</w:t>
      </w:r>
      <w:r>
        <w:rPr>
          <w:sz w:val="18"/>
        </w:rPr>
        <w:t>8</w:t>
      </w:r>
      <w:r>
        <w:t xml:space="preserve"> inches for hardwood timber.</w:t>
      </w:r>
    </w:p>
    <w:p w:rsidR="00B40966" w:rsidRDefault="00B40966">
      <w:pPr>
        <w:pStyle w:val="Amain"/>
      </w:pPr>
      <w:r>
        <w:tab/>
        <w:t>(22)</w:t>
      </w:r>
      <w:r>
        <w:tab/>
        <w:t>If the distance between brackets exceeds 12 feet but does not exceed 14 feet the thickness of the scaffold planks shall be not less than 1</w:t>
      </w:r>
      <w:r>
        <w:rPr>
          <w:position w:val="6"/>
          <w:sz w:val="18"/>
        </w:rPr>
        <w:t>3</w:t>
      </w:r>
      <w:r>
        <w:t>/</w:t>
      </w:r>
      <w:r>
        <w:rPr>
          <w:sz w:val="18"/>
        </w:rPr>
        <w:t>4</w:t>
      </w:r>
      <w:r>
        <w:t>  inches for Oregon pine and 1</w:t>
      </w:r>
      <w:r>
        <w:rPr>
          <w:position w:val="6"/>
          <w:sz w:val="18"/>
        </w:rPr>
        <w:t>3</w:t>
      </w:r>
      <w:r>
        <w:t>/</w:t>
      </w:r>
      <w:r>
        <w:rPr>
          <w:sz w:val="18"/>
        </w:rPr>
        <w:t>8</w:t>
      </w:r>
      <w:r>
        <w:t xml:space="preserve"> inches for hardwood.</w:t>
      </w:r>
    </w:p>
    <w:p w:rsidR="00B40966" w:rsidRDefault="00B40966">
      <w:pPr>
        <w:pStyle w:val="Assectheading"/>
      </w:pPr>
      <w:r>
        <w:rPr>
          <w:rStyle w:val="charItals"/>
          <w:i/>
        </w:rPr>
        <w:t>Handrails</w:t>
      </w:r>
    </w:p>
    <w:p w:rsidR="00B40966" w:rsidRDefault="00B40966">
      <w:pPr>
        <w:pStyle w:val="Amain"/>
        <w:rPr>
          <w:color w:val="000000"/>
        </w:rPr>
      </w:pPr>
      <w:r>
        <w:rPr>
          <w:color w:val="000000"/>
        </w:rPr>
        <w:tab/>
        <w:t>(23)</w:t>
      </w:r>
      <w:r>
        <w:rPr>
          <w:color w:val="000000"/>
        </w:rPr>
        <w:tab/>
        <w:t>Handrails shall be fixed at the outer edges and ends of all bracket scaffolding and shall be not less than 3 inches by 2 inches cross</w:t>
      </w:r>
      <w:r>
        <w:rPr>
          <w:color w:val="000000"/>
        </w:rPr>
        <w:noBreakHyphen/>
        <w:t>sectional dimensions.</w:t>
      </w:r>
    </w:p>
    <w:p w:rsidR="00B40966" w:rsidRDefault="00B40966">
      <w:pPr>
        <w:pStyle w:val="Amain"/>
        <w:rPr>
          <w:color w:val="000000"/>
        </w:rPr>
      </w:pPr>
      <w:r>
        <w:rPr>
          <w:color w:val="000000"/>
        </w:rPr>
        <w:tab/>
        <w:t>(24)</w:t>
      </w:r>
      <w:r>
        <w:rPr>
          <w:color w:val="000000"/>
        </w:rPr>
        <w:tab/>
        <w:t>Handrail uprights shall be effectively and rigidly attached to the brackets as mentioned in subsection (10).</w:t>
      </w:r>
    </w:p>
    <w:p w:rsidR="00B40966" w:rsidRDefault="00B40966">
      <w:pPr>
        <w:pStyle w:val="Assectheading"/>
      </w:pPr>
      <w:r>
        <w:rPr>
          <w:rStyle w:val="charItals"/>
          <w:i/>
        </w:rPr>
        <w:t>Metal brackets</w:t>
      </w:r>
    </w:p>
    <w:p w:rsidR="00B40966" w:rsidRDefault="00B40966">
      <w:pPr>
        <w:pStyle w:val="Amain"/>
      </w:pPr>
      <w:r>
        <w:rPr>
          <w:color w:val="000000"/>
        </w:rPr>
        <w:tab/>
        <w:t>(25)</w:t>
      </w:r>
      <w:r>
        <w:rPr>
          <w:color w:val="000000"/>
        </w:rPr>
        <w:tab/>
        <w:t>Metal brackets shall be so designed and constructed that they conform to the appropriate design requirements of part 11.</w:t>
      </w:r>
    </w:p>
    <w:p w:rsidR="00B40966" w:rsidRDefault="00B40966">
      <w:pPr>
        <w:pStyle w:val="Amain"/>
      </w:pPr>
      <w:r>
        <w:tab/>
        <w:t>(26)</w:t>
      </w:r>
      <w:r>
        <w:tab/>
        <w:t>Working platforms supported by metal brackets shall conform to the requirements of this section.</w:t>
      </w:r>
    </w:p>
    <w:p w:rsidR="00B40966" w:rsidRDefault="00B40966">
      <w:pPr>
        <w:pStyle w:val="AH4SubDiv"/>
      </w:pPr>
      <w:bookmarkStart w:id="163" w:name="_Toc87258021"/>
      <w:r>
        <w:t>Suspended scaffolding</w:t>
      </w:r>
      <w:bookmarkEnd w:id="163"/>
    </w:p>
    <w:p w:rsidR="00B40966" w:rsidRDefault="00B40966">
      <w:pPr>
        <w:pStyle w:val="AH5Sec"/>
      </w:pPr>
      <w:bookmarkStart w:id="164" w:name="_Toc87258022"/>
      <w:r>
        <w:rPr>
          <w:rStyle w:val="CharSectNo"/>
        </w:rPr>
        <w:t>90</w:t>
      </w:r>
      <w:bookmarkEnd w:id="164"/>
      <w:r>
        <w:tab/>
        <w:t xml:space="preserve">  </w:t>
      </w:r>
    </w:p>
    <w:p w:rsidR="00B40966" w:rsidRDefault="00B40966">
      <w:pPr>
        <w:pStyle w:val="Assectheading"/>
      </w:pPr>
      <w:r>
        <w:rPr>
          <w:rStyle w:val="charItals"/>
          <w:i/>
        </w:rPr>
        <w:t>Loading</w:t>
      </w:r>
    </w:p>
    <w:p w:rsidR="00B40966" w:rsidRDefault="00B40966">
      <w:pPr>
        <w:pStyle w:val="Amain"/>
      </w:pPr>
      <w:r>
        <w:rPr>
          <w:color w:val="000000"/>
        </w:rPr>
        <w:tab/>
        <w:t>(1)</w:t>
      </w:r>
      <w:r>
        <w:rPr>
          <w:color w:val="000000"/>
        </w:rPr>
        <w:tab/>
        <w:t>Suspended scaffolding constructed and erected in accordance with this section or to an approved design and description shall not at any time be loaded, except in a bona fide test in the presence of an inspector, in excess of the maximum load permitted by this section or specified by the chief inspector in an approval.</w:t>
      </w:r>
    </w:p>
    <w:p w:rsidR="00B40966" w:rsidRDefault="00B40966">
      <w:pPr>
        <w:pStyle w:val="Amain"/>
      </w:pPr>
      <w:r>
        <w:tab/>
        <w:t>(2)</w:t>
      </w:r>
      <w:r>
        <w:tab/>
        <w:t>The load on the platform over any one bay of a suspended scaffolding, constructed in accordance with this section, due to the weight of workers and materials shall not exceed 1 200 pounds and the gross weight, that is, the weight of scaffolding platforms, machine, ropes, workers and materials on any one outrigger shall not exceed 1 800 pounds or the load that is approved.</w:t>
      </w:r>
    </w:p>
    <w:p w:rsidR="00B40966" w:rsidRDefault="00B40966">
      <w:pPr>
        <w:pStyle w:val="Assectheading"/>
      </w:pPr>
      <w:r>
        <w:rPr>
          <w:rStyle w:val="charItals"/>
          <w:i/>
        </w:rPr>
        <w:t>Inspection</w:t>
      </w:r>
    </w:p>
    <w:p w:rsidR="00B40966" w:rsidRDefault="00B40966">
      <w:pPr>
        <w:pStyle w:val="Amain"/>
        <w:rPr>
          <w:color w:val="000000"/>
        </w:rPr>
      </w:pPr>
      <w:r>
        <w:rPr>
          <w:color w:val="000000"/>
        </w:rPr>
        <w:tab/>
        <w:t>(3)</w:t>
      </w:r>
      <w:r>
        <w:rPr>
          <w:color w:val="000000"/>
        </w:rPr>
        <w:tab/>
        <w:t>The moving parts of every scaffolding machine shall be inspected at least twice a month and a record shall be kept of the findings of the inspections.</w:t>
      </w:r>
    </w:p>
    <w:p w:rsidR="00B40966" w:rsidRDefault="00B40966">
      <w:pPr>
        <w:pStyle w:val="Amain"/>
      </w:pPr>
      <w:r>
        <w:rPr>
          <w:color w:val="000000"/>
        </w:rPr>
        <w:tab/>
        <w:t>(4)</w:t>
      </w:r>
      <w:r>
        <w:rPr>
          <w:color w:val="000000"/>
        </w:rPr>
        <w:tab/>
        <w:t>This record shall be accessible to an inspector at all times.</w:t>
      </w:r>
    </w:p>
    <w:p w:rsidR="00B40966" w:rsidRDefault="00B40966">
      <w:pPr>
        <w:pStyle w:val="Amain"/>
      </w:pPr>
      <w:r>
        <w:tab/>
        <w:t>(5)</w:t>
      </w:r>
      <w:r>
        <w:tab/>
        <w:t>The owner of a scaffolding machine shall be notified to at once replace any defective or worn parts and the use of the machine shall be discontinued until the required replacements have been made.</w:t>
      </w:r>
    </w:p>
    <w:p w:rsidR="00B40966" w:rsidRDefault="00B40966">
      <w:pPr>
        <w:pStyle w:val="Amain"/>
      </w:pPr>
      <w:r>
        <w:tab/>
        <w:t>(6)</w:t>
      </w:r>
      <w:r>
        <w:tab/>
        <w:t>In addition the owner or lessor of every scaffolding machine shall make a monthly inspection of every scaffolding machine in use and a record of the findings shall be kept.</w:t>
      </w:r>
    </w:p>
    <w:p w:rsidR="00B40966" w:rsidRDefault="00B40966">
      <w:pPr>
        <w:pStyle w:val="Amain"/>
      </w:pPr>
      <w:r>
        <w:tab/>
        <w:t>(7)</w:t>
      </w:r>
      <w:r>
        <w:tab/>
        <w:t>This record shall also be accessible to an inspector at all times.</w:t>
      </w:r>
    </w:p>
    <w:p w:rsidR="00B40966" w:rsidRDefault="00B40966">
      <w:pPr>
        <w:pStyle w:val="Amain"/>
      </w:pPr>
      <w:r>
        <w:tab/>
        <w:t>(8)</w:t>
      </w:r>
      <w:r>
        <w:tab/>
        <w:t>When a scaffolding machine is removed from a location, it shall be thoroughly inspected and overhauled before again being used.</w:t>
      </w:r>
    </w:p>
    <w:p w:rsidR="00B40966" w:rsidRDefault="00B40966">
      <w:pPr>
        <w:pStyle w:val="Assectheading"/>
      </w:pPr>
      <w:r>
        <w:rPr>
          <w:rStyle w:val="charItals"/>
          <w:i/>
        </w:rPr>
        <w:t>Platform</w:t>
      </w:r>
    </w:p>
    <w:p w:rsidR="00B40966" w:rsidRDefault="00B40966">
      <w:pPr>
        <w:pStyle w:val="Amain"/>
        <w:rPr>
          <w:color w:val="000000"/>
        </w:rPr>
      </w:pPr>
      <w:r>
        <w:rPr>
          <w:color w:val="000000"/>
        </w:rPr>
        <w:tab/>
        <w:t>(9)</w:t>
      </w:r>
      <w:r>
        <w:rPr>
          <w:color w:val="000000"/>
        </w:rPr>
        <w:tab/>
        <w:t>The total width of the working platform shall not exceed 5 feet.</w:t>
      </w:r>
    </w:p>
    <w:p w:rsidR="00B40966" w:rsidRDefault="00B40966">
      <w:pPr>
        <w:pStyle w:val="Amain"/>
        <w:rPr>
          <w:color w:val="000000"/>
        </w:rPr>
      </w:pPr>
      <w:r>
        <w:rPr>
          <w:color w:val="000000"/>
        </w:rPr>
        <w:tab/>
        <w:t>(10)</w:t>
      </w:r>
      <w:r>
        <w:rPr>
          <w:color w:val="000000"/>
        </w:rPr>
        <w:tab/>
        <w:t>The working platform shall be formed of scaffold planks laid so that their edges abut and fit tight.</w:t>
      </w:r>
    </w:p>
    <w:p w:rsidR="00B40966" w:rsidRDefault="00B40966">
      <w:pPr>
        <w:pStyle w:val="Amain"/>
      </w:pPr>
      <w:r>
        <w:rPr>
          <w:color w:val="000000"/>
        </w:rPr>
        <w:tab/>
        <w:t>(11)</w:t>
      </w:r>
      <w:r>
        <w:rPr>
          <w:color w:val="000000"/>
        </w:rPr>
        <w:tab/>
        <w:t>Scaffold planks shall be of Oregon pine not less than 10 inches wide and 2 inches thick.</w:t>
      </w:r>
    </w:p>
    <w:p w:rsidR="00B40966" w:rsidRDefault="00B40966">
      <w:pPr>
        <w:pStyle w:val="Amain"/>
      </w:pPr>
      <w:r>
        <w:tab/>
        <w:t>(12)</w:t>
      </w:r>
      <w:r>
        <w:tab/>
        <w:t>Each scaffold plank shall overlap its support by at least 12 inches but not more than 24 inches at the ends of the scaffolding.</w:t>
      </w:r>
    </w:p>
    <w:p w:rsidR="00B40966" w:rsidRDefault="00B40966">
      <w:pPr>
        <w:pStyle w:val="Amain"/>
      </w:pPr>
      <w:r>
        <w:tab/>
        <w:t>(13)</w:t>
      </w:r>
      <w:r>
        <w:tab/>
        <w:t>The ends of the scaffold planks of each unit, comprising 4 machines, shall be cleated and the cleats shall be made of 4 inches by 1</w:t>
      </w:r>
      <w:r>
        <w:rPr>
          <w:position w:val="6"/>
          <w:sz w:val="18"/>
        </w:rPr>
        <w:t>1</w:t>
      </w:r>
      <w:r>
        <w:t>/</w:t>
      </w:r>
      <w:r>
        <w:rPr>
          <w:sz w:val="18"/>
        </w:rPr>
        <w:t>2</w:t>
      </w:r>
      <w:r>
        <w:t xml:space="preserve"> inches timber, or of 2 inches by </w:t>
      </w:r>
      <w:r>
        <w:rPr>
          <w:position w:val="6"/>
          <w:sz w:val="18"/>
        </w:rPr>
        <w:t>3</w:t>
      </w:r>
      <w:r>
        <w:t>/</w:t>
      </w:r>
      <w:r>
        <w:rPr>
          <w:sz w:val="18"/>
        </w:rPr>
        <w:t>8</w:t>
      </w:r>
      <w:r>
        <w:t xml:space="preserve"> of an inch steel placed near the ends of the planks and outside the bearers and be so arranged as to ensure that the ends of the planks cannot lose their bearing on a bearer.</w:t>
      </w:r>
    </w:p>
    <w:p w:rsidR="00B40966" w:rsidRDefault="00B40966">
      <w:pPr>
        <w:pStyle w:val="Amain"/>
      </w:pPr>
      <w:r>
        <w:tab/>
        <w:t>(14)</w:t>
      </w:r>
      <w:r>
        <w:tab/>
        <w:t xml:space="preserve">Each scaffold plank shall be secured to the cleats by bolts not less than </w:t>
      </w:r>
      <w:r>
        <w:rPr>
          <w:position w:val="6"/>
          <w:sz w:val="18"/>
        </w:rPr>
        <w:t>3</w:t>
      </w:r>
      <w:r>
        <w:t>/</w:t>
      </w:r>
      <w:r>
        <w:rPr>
          <w:sz w:val="18"/>
        </w:rPr>
        <w:t>8</w:t>
      </w:r>
      <w:r>
        <w:t xml:space="preserve"> of an inch in diameter.</w:t>
      </w:r>
    </w:p>
    <w:p w:rsidR="00B40966" w:rsidRDefault="00B40966">
      <w:pPr>
        <w:pStyle w:val="Amain"/>
      </w:pPr>
      <w:r>
        <w:tab/>
        <w:t>(15)</w:t>
      </w:r>
      <w:r>
        <w:tab/>
        <w:t xml:space="preserve">Every such platform shall be supported on bearers made of steel, or other approved metal, having a transverse strength at least equivalent to a 2 inches by 2 inches by </w:t>
      </w:r>
      <w:r>
        <w:rPr>
          <w:position w:val="6"/>
          <w:sz w:val="18"/>
        </w:rPr>
        <w:t>3</w:t>
      </w:r>
      <w:r>
        <w:t>/</w:t>
      </w:r>
      <w:r>
        <w:rPr>
          <w:sz w:val="18"/>
        </w:rPr>
        <w:t>8</w:t>
      </w:r>
      <w:r>
        <w:t xml:space="preserve"> of a inch Australian Standard steel angle section.</w:t>
      </w:r>
    </w:p>
    <w:p w:rsidR="00B40966" w:rsidRDefault="00B40966">
      <w:pPr>
        <w:pStyle w:val="Assectheading"/>
        <w:rPr>
          <w:rStyle w:val="charItals"/>
          <w:i/>
        </w:rPr>
      </w:pPr>
      <w:r>
        <w:rPr>
          <w:rStyle w:val="charItals"/>
          <w:i/>
        </w:rPr>
        <w:t>Guardrails and fender boards</w:t>
      </w:r>
    </w:p>
    <w:p w:rsidR="00B40966" w:rsidRDefault="00B40966">
      <w:pPr>
        <w:pStyle w:val="Amain"/>
      </w:pPr>
      <w:r>
        <w:rPr>
          <w:color w:val="000000"/>
        </w:rPr>
        <w:tab/>
        <w:t>(16)</w:t>
      </w:r>
      <w:r>
        <w:rPr>
          <w:color w:val="000000"/>
        </w:rPr>
        <w:tab/>
        <w:t>Guardrails constructed in conformity with this regulation shall be effectively secured at a height of not less than 3 feet above the platform surface.</w:t>
      </w:r>
    </w:p>
    <w:p w:rsidR="00B40966" w:rsidRDefault="00B40966">
      <w:pPr>
        <w:pStyle w:val="Amain"/>
      </w:pPr>
      <w:r>
        <w:tab/>
        <w:t>(17)</w:t>
      </w:r>
      <w:r>
        <w:tab/>
        <w:t>Fender boards 9 inches high and 1</w:t>
      </w:r>
      <w:r>
        <w:rPr>
          <w:position w:val="6"/>
          <w:sz w:val="18"/>
        </w:rPr>
        <w:t>1</w:t>
      </w:r>
      <w:r>
        <w:t>/</w:t>
      </w:r>
      <w:r>
        <w:rPr>
          <w:sz w:val="18"/>
        </w:rPr>
        <w:t>2</w:t>
      </w:r>
      <w:r>
        <w:t xml:space="preserve"> inches thick shall be effectively secured on the outside, inside and ends of each platform.</w:t>
      </w:r>
    </w:p>
    <w:p w:rsidR="00B40966" w:rsidRDefault="00B40966">
      <w:pPr>
        <w:pStyle w:val="Assectheading"/>
      </w:pPr>
      <w:r>
        <w:rPr>
          <w:rStyle w:val="charItals"/>
          <w:i/>
        </w:rPr>
        <w:t>Prevention of swaying</w:t>
      </w:r>
    </w:p>
    <w:p w:rsidR="00B40966" w:rsidRDefault="00B40966">
      <w:pPr>
        <w:pStyle w:val="Amain"/>
        <w:rPr>
          <w:color w:val="000000"/>
        </w:rPr>
      </w:pPr>
      <w:r>
        <w:rPr>
          <w:color w:val="000000"/>
        </w:rPr>
        <w:tab/>
        <w:t>(18)</w:t>
      </w:r>
      <w:r>
        <w:rPr>
          <w:color w:val="000000"/>
        </w:rPr>
        <w:tab/>
        <w:t>Ropes or hooks shall be used and fastened to the platform of the scaffolding and to the building or structure in such way and at such intervals as to prevent the scaffolding swaying away from the building or structure.</w:t>
      </w:r>
    </w:p>
    <w:p w:rsidR="00B40966" w:rsidRDefault="00B40966">
      <w:pPr>
        <w:pStyle w:val="Amain"/>
        <w:rPr>
          <w:color w:val="000000"/>
        </w:rPr>
      </w:pPr>
      <w:r>
        <w:rPr>
          <w:color w:val="000000"/>
        </w:rPr>
        <w:tab/>
        <w:t>(19)</w:t>
      </w:r>
      <w:r>
        <w:rPr>
          <w:color w:val="000000"/>
        </w:rPr>
        <w:tab/>
        <w:t>Likewise fenders shall be provided if required to prevent the scaffolding from swinging against the building or structure.</w:t>
      </w:r>
    </w:p>
    <w:p w:rsidR="00B40966" w:rsidRDefault="00B40966">
      <w:pPr>
        <w:pStyle w:val="Assectheading"/>
      </w:pPr>
      <w:r>
        <w:rPr>
          <w:rStyle w:val="charItals"/>
          <w:i/>
        </w:rPr>
        <w:t>Suspended scaffolding machines</w:t>
      </w:r>
    </w:p>
    <w:p w:rsidR="00B40966" w:rsidRDefault="00B40966">
      <w:pPr>
        <w:pStyle w:val="Amain"/>
      </w:pPr>
      <w:r>
        <w:rPr>
          <w:color w:val="000000"/>
        </w:rPr>
        <w:tab/>
        <w:t>(20)</w:t>
      </w:r>
      <w:r>
        <w:rPr>
          <w:color w:val="000000"/>
        </w:rPr>
        <w:tab/>
        <w:t>No scaffolding machine, winch or other like mechanism shall be used as the lifting or lowering mechanism of a suspended scaffolding unless drawings, or a sample of the machine, winch, or mechanism, together with a complete description in writing of how the machine, winch, or mechanism is to be set up, used, and maintained, have previously been submitted to the chief inspector and have been approved.</w:t>
      </w:r>
    </w:p>
    <w:p w:rsidR="00B40966" w:rsidRDefault="00B40966">
      <w:pPr>
        <w:pStyle w:val="Amain"/>
        <w:keepLines/>
      </w:pPr>
      <w:r>
        <w:tab/>
        <w:t>(21)</w:t>
      </w:r>
      <w:r>
        <w:tab/>
        <w:t>All such machines, winches, and mechanisms shall be designed, set up, used and maintained as provided in the section and in accordance with the approved design and description, and while in use shall be kept lubricated and maintained in an efficient state of repair, free from accumulation of dust, dirt or foreign matter.</w:t>
      </w:r>
    </w:p>
    <w:p w:rsidR="00B40966" w:rsidRDefault="00B40966">
      <w:pPr>
        <w:pStyle w:val="Assectheading"/>
      </w:pPr>
      <w:r>
        <w:rPr>
          <w:rStyle w:val="charItals"/>
          <w:i/>
        </w:rPr>
        <w:t>Wire ropes for suspended scaffolding</w:t>
      </w:r>
    </w:p>
    <w:p w:rsidR="00B40966" w:rsidRDefault="00B40966">
      <w:pPr>
        <w:pStyle w:val="Amain"/>
        <w:rPr>
          <w:color w:val="000000"/>
        </w:rPr>
      </w:pPr>
      <w:r>
        <w:rPr>
          <w:color w:val="000000"/>
        </w:rPr>
        <w:tab/>
        <w:t>(22)</w:t>
      </w:r>
      <w:r>
        <w:rPr>
          <w:color w:val="000000"/>
        </w:rPr>
        <w:tab/>
        <w:t>Steel wire ropes of approved flexibility shall be used for suspended scaffolding.</w:t>
      </w:r>
    </w:p>
    <w:p w:rsidR="00B40966" w:rsidRDefault="00B40966">
      <w:pPr>
        <w:pStyle w:val="Amain"/>
      </w:pPr>
      <w:r>
        <w:rPr>
          <w:color w:val="000000"/>
        </w:rPr>
        <w:tab/>
        <w:t>(23)</w:t>
      </w:r>
      <w:r>
        <w:rPr>
          <w:color w:val="000000"/>
        </w:rPr>
        <w:tab/>
        <w:t>The terminal ends of every such rope shall be effectively secured to anchorages of ultimate strength at least equal to that of the rope.</w:t>
      </w:r>
    </w:p>
    <w:p w:rsidR="00B40966" w:rsidRDefault="00B40966">
      <w:pPr>
        <w:pStyle w:val="Amain"/>
      </w:pPr>
      <w:r>
        <w:tab/>
        <w:t>(24)</w:t>
      </w:r>
      <w:r>
        <w:tab/>
        <w:t>Ropes shall be evenly wound on the drum and not more rope than can be accommodated between the drum flanges shall be wound on the drum.</w:t>
      </w:r>
    </w:p>
    <w:p w:rsidR="00B40966" w:rsidRDefault="00B40966">
      <w:pPr>
        <w:pStyle w:val="Assectheading"/>
      </w:pPr>
      <w:r>
        <w:rPr>
          <w:rStyle w:val="charItals"/>
          <w:i/>
        </w:rPr>
        <w:t>Platform steel structural members</w:t>
      </w:r>
    </w:p>
    <w:p w:rsidR="00B40966" w:rsidRDefault="00B40966">
      <w:pPr>
        <w:pStyle w:val="Amain"/>
        <w:rPr>
          <w:color w:val="000000"/>
        </w:rPr>
      </w:pPr>
      <w:r>
        <w:rPr>
          <w:color w:val="000000"/>
        </w:rPr>
        <w:tab/>
        <w:t>(25)</w:t>
      </w:r>
      <w:r>
        <w:rPr>
          <w:color w:val="000000"/>
        </w:rPr>
        <w:tab/>
        <w:t>The steel structural members of a suspended scaffolding platform shall be so designed, constructed and used that under maximum conditions of loading the stress in each and every part of the members and in the connections of one part or member to another shall not exceed that prescribed by part 11.</w:t>
      </w:r>
    </w:p>
    <w:p w:rsidR="00B40966" w:rsidRDefault="00B40966">
      <w:pPr>
        <w:pStyle w:val="Assectheading"/>
      </w:pPr>
      <w:r>
        <w:rPr>
          <w:rStyle w:val="charItals"/>
          <w:i/>
        </w:rPr>
        <w:t>Cantilevers supporting a suspended scaffolding</w:t>
      </w:r>
    </w:p>
    <w:p w:rsidR="00B40966" w:rsidRDefault="00B40966">
      <w:pPr>
        <w:pStyle w:val="Amain"/>
        <w:rPr>
          <w:color w:val="000000"/>
        </w:rPr>
      </w:pPr>
      <w:r>
        <w:rPr>
          <w:color w:val="000000"/>
        </w:rPr>
        <w:tab/>
        <w:t>(26)</w:t>
      </w:r>
      <w:r>
        <w:rPr>
          <w:color w:val="000000"/>
        </w:rPr>
        <w:tab/>
        <w:t>The cantilevers constituting the overhead supports for a suspended scaffolding shall be rolled steel joist sections at least equivalent in strength to a 7 inches by 3</w:t>
      </w:r>
      <w:r>
        <w:rPr>
          <w:color w:val="000000"/>
          <w:position w:val="6"/>
          <w:sz w:val="18"/>
        </w:rPr>
        <w:t>1</w:t>
      </w:r>
      <w:r>
        <w:rPr>
          <w:color w:val="000000"/>
        </w:rPr>
        <w:t>/</w:t>
      </w:r>
      <w:r>
        <w:rPr>
          <w:color w:val="000000"/>
          <w:sz w:val="18"/>
        </w:rPr>
        <w:t>2</w:t>
      </w:r>
      <w:r>
        <w:rPr>
          <w:color w:val="000000"/>
        </w:rPr>
        <w:t xml:space="preserve"> inches by 15 pounds per running foot Australian Standard rolled steel joist section.</w:t>
      </w:r>
    </w:p>
    <w:p w:rsidR="00B40966" w:rsidRDefault="00B40966">
      <w:pPr>
        <w:pStyle w:val="Amain"/>
      </w:pPr>
      <w:r>
        <w:rPr>
          <w:color w:val="000000"/>
        </w:rPr>
        <w:tab/>
        <w:t>(27)</w:t>
      </w:r>
      <w:r>
        <w:rPr>
          <w:color w:val="000000"/>
        </w:rPr>
        <w:tab/>
        <w:t>The cantilevers shall be at least 15 feet in length and they shall not project more than 6 feet 6 inches from the outside point of support on a building or structure.</w:t>
      </w:r>
    </w:p>
    <w:p w:rsidR="00B40966" w:rsidRDefault="00B40966">
      <w:pPr>
        <w:pStyle w:val="Amain"/>
      </w:pPr>
      <w:r>
        <w:tab/>
        <w:t>(28)</w:t>
      </w:r>
      <w:r>
        <w:tab/>
        <w:t>These cantilevers shall be spaced at not more than 10 feet apart measured from the longitudinal centre-line of one to the longitudinal centre-line of the adjacent cantilever.</w:t>
      </w:r>
    </w:p>
    <w:p w:rsidR="00B40966" w:rsidRDefault="00B40966">
      <w:pPr>
        <w:pStyle w:val="Assectheading"/>
      </w:pPr>
      <w:r>
        <w:rPr>
          <w:rStyle w:val="charItals"/>
          <w:i/>
        </w:rPr>
        <w:t>Supports for suspended scaffolding cantilevers</w:t>
      </w:r>
    </w:p>
    <w:p w:rsidR="00B40966" w:rsidRDefault="00B40966">
      <w:pPr>
        <w:pStyle w:val="Amain"/>
        <w:rPr>
          <w:color w:val="000000"/>
        </w:rPr>
      </w:pPr>
      <w:r>
        <w:rPr>
          <w:color w:val="000000"/>
        </w:rPr>
        <w:tab/>
        <w:t>(29)</w:t>
      </w:r>
      <w:r>
        <w:rPr>
          <w:color w:val="000000"/>
        </w:rPr>
        <w:tab/>
        <w:t>Every such cantilever shall be provided with an adequate and firm support and the support shall be so arranged that the projecting or cantilever part shall be as short as possible.</w:t>
      </w:r>
    </w:p>
    <w:p w:rsidR="00B40966" w:rsidRDefault="00B40966">
      <w:pPr>
        <w:pStyle w:val="Assectheading"/>
      </w:pPr>
      <w:r>
        <w:rPr>
          <w:rStyle w:val="charItals"/>
          <w:i/>
        </w:rPr>
        <w:t>Fixing of suspended scaffolding cantilevers</w:t>
      </w:r>
    </w:p>
    <w:p w:rsidR="00B40966" w:rsidRDefault="00B40966">
      <w:pPr>
        <w:pStyle w:val="Amain"/>
      </w:pPr>
      <w:r>
        <w:rPr>
          <w:color w:val="000000"/>
        </w:rPr>
        <w:tab/>
        <w:t>(30)</w:t>
      </w:r>
      <w:r>
        <w:rPr>
          <w:color w:val="000000"/>
        </w:rPr>
        <w:tab/>
        <w:t>The inner end of each cantilever shall—</w:t>
      </w:r>
    </w:p>
    <w:p w:rsidR="00B40966" w:rsidRDefault="00B40966">
      <w:pPr>
        <w:pStyle w:val="Apara"/>
      </w:pPr>
      <w:r>
        <w:tab/>
        <w:t>(a)</w:t>
      </w:r>
      <w:r>
        <w:tab/>
        <w:t>be secured to the building or structure with bolts or other suitable fittings; or</w:t>
      </w:r>
    </w:p>
    <w:p w:rsidR="00B40966" w:rsidRDefault="00B40966">
      <w:pPr>
        <w:pStyle w:val="Apara"/>
      </w:pPr>
      <w:r>
        <w:tab/>
        <w:t>(b)</w:t>
      </w:r>
      <w:r>
        <w:tab/>
        <w:t>be counterbalanced with weights in accordance with the provisions of part 11; or</w:t>
      </w:r>
    </w:p>
    <w:p w:rsidR="00B40966" w:rsidRDefault="00B40966">
      <w:pPr>
        <w:pStyle w:val="Apara"/>
      </w:pPr>
      <w:r>
        <w:tab/>
        <w:t>(c)</w:t>
      </w:r>
      <w:r>
        <w:tab/>
        <w:t>be shored from a higher floor or steel frame of a building or structure, provided that every shore used is positively secured in its correct position and in such a way that no lateral movement can occur, and provided further that every shore so used is of adequate strength for the purpose and is so placed and fixed that undue load is not imposed on any part of the building or structure supporting the cantilever.</w:t>
      </w:r>
    </w:p>
    <w:p w:rsidR="00B40966" w:rsidRDefault="00B40966">
      <w:pPr>
        <w:pStyle w:val="Amain"/>
      </w:pPr>
      <w:r>
        <w:tab/>
        <w:t>(31)</w:t>
      </w:r>
      <w:r>
        <w:tab/>
        <w:t>The bolts or other fittings mentioned in subsection (30) (a), and also the parts of the building or structure to which the cantilever is fixed, shall provide a factor of safety of at least 4 under maximum conditions of loading.</w:t>
      </w:r>
    </w:p>
    <w:p w:rsidR="00B40966" w:rsidRDefault="00B40966">
      <w:pPr>
        <w:pStyle w:val="Assectheading"/>
      </w:pPr>
      <w:r>
        <w:rPr>
          <w:rStyle w:val="charItals"/>
          <w:i/>
        </w:rPr>
        <w:t>Suspended scaffolding cantilever supports</w:t>
      </w:r>
    </w:p>
    <w:p w:rsidR="00B40966" w:rsidRDefault="00B40966">
      <w:pPr>
        <w:pStyle w:val="Amain"/>
      </w:pPr>
      <w:r>
        <w:rPr>
          <w:color w:val="000000"/>
        </w:rPr>
        <w:tab/>
        <w:t>(32)</w:t>
      </w:r>
      <w:r>
        <w:rPr>
          <w:color w:val="000000"/>
        </w:rPr>
        <w:tab/>
        <w:t>Every platform or structure, or beam, bearer, or other structural member used for supporting any such cantilever and the loads from it or from any counterbalance or used for supporting and transferring the weight of counterbalance to cantilever, or used for transferring the loads from a cantilever to part of a building or structure shall be of such construction that a factor of safety of at least 6 shall obtain in all timber parts, taking into consideration the resultant loads from the cantilever when the suspended scaffolding is fully loaded, and also, when the scaffolding is unloaded.</w:t>
      </w:r>
    </w:p>
    <w:p w:rsidR="00B40966" w:rsidRDefault="00B40966">
      <w:pPr>
        <w:pStyle w:val="Amain"/>
      </w:pPr>
      <w:r>
        <w:tab/>
        <w:t>(33)</w:t>
      </w:r>
      <w:r>
        <w:tab/>
        <w:t>Every such platform, or structure, or beam, bearer, or other structural member shall be so constructed and fixed and secured that lateral movement cannot occur in any direction.</w:t>
      </w:r>
    </w:p>
    <w:p w:rsidR="00B40966" w:rsidRDefault="00B40966">
      <w:pPr>
        <w:pStyle w:val="Assectheading"/>
      </w:pPr>
      <w:r>
        <w:rPr>
          <w:rStyle w:val="charItals"/>
          <w:i/>
        </w:rPr>
        <w:t>Bolt diameters</w:t>
      </w:r>
    </w:p>
    <w:p w:rsidR="00B40966" w:rsidRDefault="00B40966">
      <w:pPr>
        <w:pStyle w:val="Amain"/>
        <w:rPr>
          <w:color w:val="000000"/>
        </w:rPr>
      </w:pPr>
      <w:r>
        <w:rPr>
          <w:color w:val="000000"/>
        </w:rPr>
        <w:tab/>
        <w:t>(34)</w:t>
      </w:r>
      <w:r>
        <w:rPr>
          <w:color w:val="000000"/>
        </w:rPr>
        <w:tab/>
        <w:t xml:space="preserve">Every bolt used for anchoring a cantilever or used in connections in the structure supporting a cantilever or for securing a shore in position, or for securing bracing or other structural member shall not be less than </w:t>
      </w:r>
      <w:r>
        <w:rPr>
          <w:color w:val="000000"/>
          <w:position w:val="6"/>
          <w:sz w:val="18"/>
        </w:rPr>
        <w:t>5</w:t>
      </w:r>
      <w:r>
        <w:rPr>
          <w:color w:val="000000"/>
        </w:rPr>
        <w:t>/</w:t>
      </w:r>
      <w:r>
        <w:rPr>
          <w:color w:val="000000"/>
          <w:sz w:val="18"/>
        </w:rPr>
        <w:t>8</w:t>
      </w:r>
      <w:r>
        <w:rPr>
          <w:color w:val="000000"/>
        </w:rPr>
        <w:t xml:space="preserve"> of an inch in diameter and shall be provided with standard washers.</w:t>
      </w:r>
    </w:p>
    <w:p w:rsidR="00B40966" w:rsidRDefault="00B40966">
      <w:pPr>
        <w:pStyle w:val="Assectheading"/>
      </w:pPr>
      <w:r>
        <w:rPr>
          <w:rStyle w:val="charItals"/>
          <w:i/>
        </w:rPr>
        <w:t>Weight of cantilever counterbalance</w:t>
      </w:r>
    </w:p>
    <w:p w:rsidR="00B40966" w:rsidRDefault="00B40966">
      <w:pPr>
        <w:pStyle w:val="Amain"/>
        <w:rPr>
          <w:color w:val="000000"/>
        </w:rPr>
      </w:pPr>
      <w:r>
        <w:rPr>
          <w:color w:val="000000"/>
        </w:rPr>
        <w:tab/>
        <w:t>(35)</w:t>
      </w:r>
      <w:r>
        <w:rPr>
          <w:color w:val="000000"/>
        </w:rPr>
        <w:tab/>
        <w:t>The net weight of the counterbalance on any cantilever shall not be less than 3 times that necessary to balance the load on the projecting part of the cantilever when the scaffolding is fully loaded.</w:t>
      </w:r>
    </w:p>
    <w:p w:rsidR="00B40966" w:rsidRDefault="00B40966">
      <w:pPr>
        <w:pStyle w:val="Assectheading"/>
      </w:pPr>
      <w:r>
        <w:rPr>
          <w:rStyle w:val="charItals"/>
          <w:i/>
        </w:rPr>
        <w:t>Suspended scaffolding rope anchors</w:t>
      </w:r>
    </w:p>
    <w:p w:rsidR="00B40966" w:rsidRDefault="00B40966">
      <w:pPr>
        <w:pStyle w:val="Amain"/>
        <w:rPr>
          <w:color w:val="000000"/>
        </w:rPr>
      </w:pPr>
      <w:r>
        <w:rPr>
          <w:color w:val="000000"/>
        </w:rPr>
        <w:tab/>
        <w:t>(36)</w:t>
      </w:r>
      <w:r>
        <w:rPr>
          <w:color w:val="000000"/>
        </w:rPr>
        <w:tab/>
        <w:t xml:space="preserve">A fitting of mild steel stock having sectional dimensions not less than 2 inches by </w:t>
      </w:r>
      <w:r>
        <w:rPr>
          <w:color w:val="000000"/>
          <w:position w:val="6"/>
          <w:sz w:val="18"/>
        </w:rPr>
        <w:t>3</w:t>
      </w:r>
      <w:r>
        <w:rPr>
          <w:color w:val="000000"/>
        </w:rPr>
        <w:t>/</w:t>
      </w:r>
      <w:r>
        <w:rPr>
          <w:color w:val="000000"/>
          <w:sz w:val="18"/>
        </w:rPr>
        <w:t>8</w:t>
      </w:r>
      <w:r>
        <w:rPr>
          <w:color w:val="000000"/>
        </w:rPr>
        <w:t xml:space="preserve"> of an inch shall be fitted at the outer end of every suspended scaffolding cantilever for the purpose of anchoring the scaffolding suspension rope or rope block.</w:t>
      </w:r>
    </w:p>
    <w:p w:rsidR="00B40966" w:rsidRDefault="00B40966">
      <w:pPr>
        <w:pStyle w:val="Amain"/>
      </w:pPr>
      <w:r>
        <w:rPr>
          <w:color w:val="000000"/>
        </w:rPr>
        <w:tab/>
        <w:t>(37)</w:t>
      </w:r>
      <w:r>
        <w:rPr>
          <w:color w:val="000000"/>
        </w:rPr>
        <w:tab/>
        <w:t>Every such fitting shall fit snug at the top and sides of the cantilever.</w:t>
      </w:r>
    </w:p>
    <w:p w:rsidR="00B40966" w:rsidRDefault="00B40966">
      <w:pPr>
        <w:pStyle w:val="Amain"/>
      </w:pPr>
      <w:r>
        <w:tab/>
        <w:t>(38)</w:t>
      </w:r>
      <w:r>
        <w:tab/>
        <w:t>Each leg shall be so forged as to make an angle of not less than 75</w:t>
      </w:r>
      <w:r>
        <w:rPr>
          <w:rFonts w:ascii="Helvetica" w:hAnsi="Helvetica"/>
        </w:rPr>
        <w:t>°</w:t>
      </w:r>
      <w:r>
        <w:t xml:space="preserve"> with the bottom surface of the cantilever, until the inside faces of each leg are 1 inch apart.</w:t>
      </w:r>
    </w:p>
    <w:p w:rsidR="00B40966" w:rsidRDefault="00B40966">
      <w:pPr>
        <w:pStyle w:val="Amain"/>
      </w:pPr>
      <w:r>
        <w:tab/>
        <w:t>(39)</w:t>
      </w:r>
      <w:r>
        <w:tab/>
        <w:t>Each leg shall then be forged so as to assume a vertical position.</w:t>
      </w:r>
    </w:p>
    <w:p w:rsidR="00B40966" w:rsidRDefault="00B40966">
      <w:pPr>
        <w:pStyle w:val="Amain"/>
      </w:pPr>
      <w:r>
        <w:tab/>
        <w:t>(40)</w:t>
      </w:r>
      <w:r>
        <w:tab/>
        <w:t>The legs are to be of such length that the vertical portions are parallel for not less than 2</w:t>
      </w:r>
      <w:r>
        <w:rPr>
          <w:position w:val="6"/>
          <w:sz w:val="18"/>
        </w:rPr>
        <w:t>1</w:t>
      </w:r>
      <w:r>
        <w:t>/</w:t>
      </w:r>
      <w:r>
        <w:rPr>
          <w:sz w:val="18"/>
        </w:rPr>
        <w:t>2</w:t>
      </w:r>
      <w:r>
        <w:t xml:space="preserve"> inches.</w:t>
      </w:r>
    </w:p>
    <w:p w:rsidR="00B40966" w:rsidRDefault="00B40966">
      <w:pPr>
        <w:pStyle w:val="Amain"/>
      </w:pPr>
      <w:r>
        <w:tab/>
        <w:t>(41)</w:t>
      </w:r>
      <w:r>
        <w:tab/>
        <w:t xml:space="preserve">The vertical part of each leg shall then be drilled to take a </w:t>
      </w:r>
      <w:r>
        <w:rPr>
          <w:position w:val="6"/>
          <w:sz w:val="18"/>
        </w:rPr>
        <w:t>3</w:t>
      </w:r>
      <w:r>
        <w:t>/</w:t>
      </w:r>
      <w:r>
        <w:rPr>
          <w:sz w:val="18"/>
        </w:rPr>
        <w:t>4</w:t>
      </w:r>
      <w:r>
        <w:t xml:space="preserve"> of an inch diameter steel bolt, the centre of the bolt hole being not less than 1 inch distant from the lower bend.</w:t>
      </w:r>
    </w:p>
    <w:p w:rsidR="00B40966" w:rsidRDefault="00B40966">
      <w:pPr>
        <w:pStyle w:val="Amain"/>
      </w:pPr>
      <w:r>
        <w:tab/>
        <w:t>(42)</w:t>
      </w:r>
      <w:r>
        <w:tab/>
        <w:t xml:space="preserve">A steel bolt not less than </w:t>
      </w:r>
      <w:r>
        <w:rPr>
          <w:position w:val="6"/>
          <w:sz w:val="18"/>
        </w:rPr>
        <w:t>3</w:t>
      </w:r>
      <w:r>
        <w:t>/</w:t>
      </w:r>
      <w:r>
        <w:rPr>
          <w:sz w:val="18"/>
        </w:rPr>
        <w:t>4</w:t>
      </w:r>
      <w:r>
        <w:t xml:space="preserve"> of an inch in diameter shall be inserted in the holes in the vertical legs, the bolt nut then being screwed on and the end of the bolt riveted over, or alternatively a split pin may be fitted in a hole drilled through the bolt end outside the nut.</w:t>
      </w:r>
    </w:p>
    <w:p w:rsidR="00B40966" w:rsidRDefault="00B40966">
      <w:pPr>
        <w:pStyle w:val="Amain"/>
      </w:pPr>
      <w:r>
        <w:tab/>
        <w:t>(43)</w:t>
      </w:r>
      <w:r>
        <w:tab/>
        <w:t>Every such fitting shall be secured to the cantilever by a bolt through the sides of the fitting and through the mid-section of the cantilever web or by a bolt passing through the cantilever web nearer the end of the cantilever than the spot where the fitting is positioned.</w:t>
      </w:r>
    </w:p>
    <w:p w:rsidR="00B40966" w:rsidRDefault="00B40966">
      <w:pPr>
        <w:pStyle w:val="Assectheading"/>
      </w:pPr>
      <w:r>
        <w:rPr>
          <w:rStyle w:val="charItals"/>
          <w:i/>
        </w:rPr>
        <w:t>Use of suspended scaffolding machines</w:t>
      </w:r>
    </w:p>
    <w:p w:rsidR="00B40966" w:rsidRDefault="00B40966">
      <w:pPr>
        <w:pStyle w:val="Amain"/>
        <w:rPr>
          <w:color w:val="000000"/>
        </w:rPr>
      </w:pPr>
      <w:r>
        <w:rPr>
          <w:color w:val="000000"/>
        </w:rPr>
        <w:tab/>
        <w:t>(44)</w:t>
      </w:r>
      <w:r>
        <w:rPr>
          <w:color w:val="000000"/>
        </w:rPr>
        <w:tab/>
        <w:t>No person under 18 years old and no person unless specifically authorised by his or her employer so to do, shall work a machine, winch, or mechanism used for raising or lowering a suspended scaffolding and no person shall in any way interfere with it.</w:t>
      </w:r>
    </w:p>
    <w:p w:rsidR="00B40966" w:rsidRDefault="00B40966">
      <w:pPr>
        <w:pStyle w:val="Amain"/>
      </w:pPr>
      <w:r>
        <w:rPr>
          <w:color w:val="000000"/>
        </w:rPr>
        <w:tab/>
        <w:t>(45)</w:t>
      </w:r>
      <w:r>
        <w:rPr>
          <w:color w:val="000000"/>
        </w:rPr>
        <w:tab/>
        <w:t>No person shall employ, instruct or direct any person under 18 years old to act in contravention of this provision.</w:t>
      </w:r>
    </w:p>
    <w:p w:rsidR="00B40966" w:rsidRDefault="00B40966">
      <w:pPr>
        <w:pStyle w:val="Amain"/>
      </w:pPr>
      <w:r>
        <w:tab/>
        <w:t>(46)</w:t>
      </w:r>
      <w:r>
        <w:tab/>
        <w:t>The handles of the scaffolding machine, winch, or mechanism shall be left in that position that will prevent the platform from descending when the machine, winch, or mechanism is not actually in use for raising or lowering the platform.</w:t>
      </w:r>
    </w:p>
    <w:p w:rsidR="00B40966" w:rsidRDefault="00B40966">
      <w:pPr>
        <w:pStyle w:val="Assectheading"/>
      </w:pPr>
      <w:r>
        <w:rPr>
          <w:rStyle w:val="charItals"/>
          <w:i/>
        </w:rPr>
        <w:t>Platform to be kept level</w:t>
      </w:r>
    </w:p>
    <w:p w:rsidR="00B40966" w:rsidRDefault="00B40966">
      <w:pPr>
        <w:pStyle w:val="Amain"/>
        <w:rPr>
          <w:color w:val="000000"/>
        </w:rPr>
      </w:pPr>
      <w:r>
        <w:rPr>
          <w:color w:val="000000"/>
        </w:rPr>
        <w:tab/>
        <w:t>(47)</w:t>
      </w:r>
      <w:r>
        <w:rPr>
          <w:color w:val="000000"/>
        </w:rPr>
        <w:tab/>
        <w:t>The process of raising and lowering a suspended scaffolding shall be such as to ensure that the working platform shall remain substantially level.</w:t>
      </w:r>
    </w:p>
    <w:p w:rsidR="00B40966" w:rsidRDefault="00B40966">
      <w:pPr>
        <w:pStyle w:val="Assectheading"/>
      </w:pPr>
      <w:r>
        <w:rPr>
          <w:rStyle w:val="charItals"/>
          <w:i/>
        </w:rPr>
        <w:t>Restrictions on use of suspended scaffolding</w:t>
      </w:r>
    </w:p>
    <w:p w:rsidR="00B40966" w:rsidRDefault="00B40966">
      <w:pPr>
        <w:pStyle w:val="Amain"/>
      </w:pPr>
      <w:r>
        <w:rPr>
          <w:color w:val="000000"/>
        </w:rPr>
        <w:tab/>
        <w:t>(48)</w:t>
      </w:r>
      <w:r>
        <w:rPr>
          <w:color w:val="000000"/>
        </w:rPr>
        <w:tab/>
        <w:t>Suspended scaffolding shall not be used if in the opinion of an inspector—</w:t>
      </w:r>
    </w:p>
    <w:p w:rsidR="00B40966" w:rsidRDefault="00B40966">
      <w:pPr>
        <w:pStyle w:val="Apara"/>
      </w:pPr>
      <w:r>
        <w:tab/>
        <w:t>(a)</w:t>
      </w:r>
      <w:r>
        <w:tab/>
        <w:t>the position of the scaffolding and the conditions under which the scaffolding is or would be used are dangerous to human life or limb; or</w:t>
      </w:r>
    </w:p>
    <w:p w:rsidR="00B40966" w:rsidRDefault="00B40966">
      <w:pPr>
        <w:pStyle w:val="Apara"/>
      </w:pPr>
      <w:r>
        <w:tab/>
        <w:t>(b)</w:t>
      </w:r>
      <w:r>
        <w:tab/>
        <w:t>the building or structure to which the scaffolding is attached or is proposed to be attached is not suitable for safely supporting a suspended scaffolding; or</w:t>
      </w:r>
    </w:p>
    <w:p w:rsidR="00B40966" w:rsidRDefault="00B40966">
      <w:pPr>
        <w:pStyle w:val="Apara"/>
      </w:pPr>
      <w:r>
        <w:tab/>
        <w:t>(c)</w:t>
      </w:r>
      <w:r>
        <w:tab/>
        <w:t>the scaffolding is not suitable for the work contemplated.</w:t>
      </w:r>
    </w:p>
    <w:p w:rsidR="00B40966" w:rsidRDefault="00B40966">
      <w:pPr>
        <w:pStyle w:val="AH4SubDiv"/>
      </w:pPr>
      <w:bookmarkStart w:id="165" w:name="_Toc87258023"/>
      <w:r>
        <w:t>Light swinging stages</w:t>
      </w:r>
      <w:bookmarkEnd w:id="165"/>
    </w:p>
    <w:p w:rsidR="00B40966" w:rsidRDefault="00B40966">
      <w:pPr>
        <w:pStyle w:val="AH5Sec"/>
      </w:pPr>
      <w:bookmarkStart w:id="166" w:name="_Toc87258024"/>
      <w:r>
        <w:rPr>
          <w:rStyle w:val="CharSectNo"/>
        </w:rPr>
        <w:t>91</w:t>
      </w:r>
      <w:bookmarkEnd w:id="166"/>
      <w:r>
        <w:tab/>
        <w:t xml:space="preserve">  </w:t>
      </w:r>
    </w:p>
    <w:p w:rsidR="00B40966" w:rsidRDefault="00B40966">
      <w:pPr>
        <w:pStyle w:val="Assectheading"/>
      </w:pPr>
      <w:r>
        <w:rPr>
          <w:rStyle w:val="charItals"/>
          <w:i/>
        </w:rPr>
        <w:t>Designs to be submitted</w:t>
      </w:r>
    </w:p>
    <w:p w:rsidR="00B40966" w:rsidRDefault="00B40966">
      <w:pPr>
        <w:pStyle w:val="Amain"/>
        <w:rPr>
          <w:color w:val="000000"/>
        </w:rPr>
      </w:pPr>
      <w:r>
        <w:rPr>
          <w:color w:val="000000"/>
        </w:rPr>
        <w:tab/>
        <w:t>(1)</w:t>
      </w:r>
      <w:r>
        <w:rPr>
          <w:color w:val="000000"/>
        </w:rPr>
        <w:tab/>
        <w:t>If it is impracticable to construct and use a light swinging stage of a type conforming to the requirements of this section, completely detailed working drawings together with a full description of the proposed methods of use of the light swinging stage proposed to be erected and used shall be submitted to the chief inspector and be approved before any person is allowed on the stage.</w:t>
      </w:r>
    </w:p>
    <w:p w:rsidR="00B40966" w:rsidRDefault="00B40966">
      <w:pPr>
        <w:pStyle w:val="Assectheading"/>
      </w:pPr>
      <w:r>
        <w:rPr>
          <w:rStyle w:val="charItals"/>
          <w:i/>
        </w:rPr>
        <w:t>Working platform</w:t>
      </w:r>
    </w:p>
    <w:p w:rsidR="00B40966" w:rsidRDefault="00B40966">
      <w:pPr>
        <w:pStyle w:val="Amain"/>
        <w:rPr>
          <w:color w:val="000000"/>
        </w:rPr>
      </w:pPr>
      <w:r>
        <w:rPr>
          <w:color w:val="000000"/>
        </w:rPr>
        <w:tab/>
        <w:t>(2)</w:t>
      </w:r>
      <w:r>
        <w:rPr>
          <w:color w:val="000000"/>
        </w:rPr>
        <w:tab/>
        <w:t>The working platform of a light swinging stage shall be not less than 20 inches nor more than 24 inches wide and shall be formed of straight grained oregon scaffolding planks not less than 1</w:t>
      </w:r>
      <w:r>
        <w:rPr>
          <w:color w:val="000000"/>
          <w:position w:val="6"/>
          <w:sz w:val="18"/>
        </w:rPr>
        <w:t>1</w:t>
      </w:r>
      <w:r>
        <w:rPr>
          <w:color w:val="000000"/>
        </w:rPr>
        <w:t>/</w:t>
      </w:r>
      <w:r>
        <w:rPr>
          <w:color w:val="000000"/>
          <w:sz w:val="18"/>
        </w:rPr>
        <w:t>2</w:t>
      </w:r>
      <w:r>
        <w:rPr>
          <w:color w:val="000000"/>
        </w:rPr>
        <w:t xml:space="preserve"> inches thick, running the full length of the platform.</w:t>
      </w:r>
    </w:p>
    <w:p w:rsidR="00B40966" w:rsidRDefault="00B40966">
      <w:pPr>
        <w:pStyle w:val="Amain"/>
        <w:rPr>
          <w:color w:val="000000"/>
        </w:rPr>
      </w:pPr>
      <w:r>
        <w:rPr>
          <w:color w:val="000000"/>
        </w:rPr>
        <w:tab/>
        <w:t>(3)</w:t>
      </w:r>
      <w:r>
        <w:rPr>
          <w:color w:val="000000"/>
        </w:rPr>
        <w:tab/>
        <w:t>These planks shall be stiffened with strong cleats fixed at the centre and immediately adjacent to each hanger.</w:t>
      </w:r>
    </w:p>
    <w:p w:rsidR="00B40966" w:rsidRDefault="00B40966">
      <w:pPr>
        <w:pStyle w:val="Amain"/>
        <w:rPr>
          <w:color w:val="000000"/>
        </w:rPr>
      </w:pPr>
      <w:r>
        <w:rPr>
          <w:color w:val="000000"/>
        </w:rPr>
        <w:tab/>
        <w:t>(4)</w:t>
      </w:r>
      <w:r>
        <w:rPr>
          <w:color w:val="000000"/>
        </w:rPr>
        <w:tab/>
        <w:t>The total length of the working platform shall not exceed 18 feet and the span of the scaffold planks from the centre-line of one hanger to the centre-line of the other shall not exceed 12 feet.</w:t>
      </w:r>
    </w:p>
    <w:p w:rsidR="00B40966" w:rsidRDefault="00B40966">
      <w:pPr>
        <w:pStyle w:val="Amain"/>
        <w:rPr>
          <w:color w:val="000000"/>
        </w:rPr>
      </w:pPr>
      <w:r>
        <w:rPr>
          <w:color w:val="000000"/>
        </w:rPr>
        <w:tab/>
        <w:t>(5)</w:t>
      </w:r>
      <w:r>
        <w:rPr>
          <w:color w:val="000000"/>
        </w:rPr>
        <w:tab/>
        <w:t>The overhang of the scaffold planks at each end shall not exceed </w:t>
      </w:r>
      <w:r>
        <w:rPr>
          <w:color w:val="000000"/>
          <w:position w:val="6"/>
          <w:sz w:val="18"/>
        </w:rPr>
        <w:t>1</w:t>
      </w:r>
      <w:r>
        <w:rPr>
          <w:color w:val="000000"/>
        </w:rPr>
        <w:t>/</w:t>
      </w:r>
      <w:r>
        <w:rPr>
          <w:color w:val="000000"/>
          <w:sz w:val="18"/>
        </w:rPr>
        <w:t>4</w:t>
      </w:r>
      <w:r>
        <w:rPr>
          <w:color w:val="000000"/>
        </w:rPr>
        <w:t> of the distance between the centre-lines of the hangers.</w:t>
      </w:r>
    </w:p>
    <w:p w:rsidR="00B40966" w:rsidRDefault="00B40966">
      <w:pPr>
        <w:pStyle w:val="Assectheading"/>
      </w:pPr>
      <w:r>
        <w:rPr>
          <w:rStyle w:val="charItals"/>
          <w:i/>
        </w:rPr>
        <w:t>Guardrails and toe boards</w:t>
      </w:r>
    </w:p>
    <w:p w:rsidR="00B40966" w:rsidRDefault="00B40966">
      <w:pPr>
        <w:pStyle w:val="Amain"/>
      </w:pPr>
      <w:r>
        <w:rPr>
          <w:color w:val="000000"/>
        </w:rPr>
        <w:tab/>
        <w:t>(6)</w:t>
      </w:r>
      <w:r>
        <w:rPr>
          <w:color w:val="000000"/>
        </w:rPr>
        <w:tab/>
        <w:t>A guardrail of straight grained Oregon pine having sectional dimensions not less than 3 inches by 2 inches or of galvanised steel water pipe of 1 inch internal diameter, or of a section and material ensuring equivalent strength and stiffness for the span, securely fastened to the hangers at not less than 30 inches above the surface of the working platform shall be provided on the outer side of the platform, and also, if in the opinion of an inspector it is necessary in the interests of safety to human life and limb, on the inside and ends of the platform.</w:t>
      </w:r>
    </w:p>
    <w:p w:rsidR="00B40966" w:rsidRDefault="00B40966">
      <w:pPr>
        <w:pStyle w:val="Amain"/>
      </w:pPr>
      <w:r>
        <w:tab/>
        <w:t>(7)</w:t>
      </w:r>
      <w:r>
        <w:tab/>
        <w:t>A toe board of not less than 6 inches by 1 inch sectional dimensions shall be provided and securely fixed on edge on the other side of the platform in all cases and if material or tools are to be loosely placed on the platform, a toe board of like section is to be provided on both sides and ends.</w:t>
      </w:r>
    </w:p>
    <w:p w:rsidR="00B40966" w:rsidRDefault="00B40966">
      <w:pPr>
        <w:pStyle w:val="Assectheading"/>
      </w:pPr>
      <w:r>
        <w:rPr>
          <w:rStyle w:val="charItals"/>
          <w:i/>
        </w:rPr>
        <w:t>Hangers</w:t>
      </w:r>
    </w:p>
    <w:p w:rsidR="00B40966" w:rsidRDefault="00B40966">
      <w:pPr>
        <w:pStyle w:val="Amain"/>
        <w:rPr>
          <w:color w:val="000000"/>
        </w:rPr>
      </w:pPr>
      <w:r>
        <w:rPr>
          <w:color w:val="000000"/>
        </w:rPr>
        <w:tab/>
        <w:t>(8)</w:t>
      </w:r>
      <w:r>
        <w:rPr>
          <w:color w:val="000000"/>
        </w:rPr>
        <w:tab/>
        <w:t xml:space="preserve">The hangers supporting the working platform of a light swinging stage shall be constructed of steel bar 2 inches by </w:t>
      </w:r>
      <w:r>
        <w:rPr>
          <w:color w:val="000000"/>
          <w:position w:val="6"/>
          <w:sz w:val="18"/>
        </w:rPr>
        <w:t>1</w:t>
      </w:r>
      <w:r>
        <w:rPr>
          <w:color w:val="000000"/>
        </w:rPr>
        <w:t>/</w:t>
      </w:r>
      <w:r>
        <w:rPr>
          <w:color w:val="000000"/>
          <w:sz w:val="18"/>
        </w:rPr>
        <w:t>2</w:t>
      </w:r>
      <w:r>
        <w:rPr>
          <w:color w:val="000000"/>
        </w:rPr>
        <w:t xml:space="preserve"> an inch sectional dimensions or of steel rod 1 inch in diameter.</w:t>
      </w:r>
    </w:p>
    <w:p w:rsidR="00B40966" w:rsidRDefault="00B40966">
      <w:pPr>
        <w:pStyle w:val="Amain"/>
        <w:rPr>
          <w:color w:val="000000"/>
        </w:rPr>
      </w:pPr>
      <w:r>
        <w:rPr>
          <w:color w:val="000000"/>
        </w:rPr>
        <w:tab/>
        <w:t>(9)</w:t>
      </w:r>
      <w:r>
        <w:rPr>
          <w:color w:val="000000"/>
        </w:rPr>
        <w:tab/>
        <w:t>Each hanger shall pass under the platform planks and shall be securely fixed to them.</w:t>
      </w:r>
    </w:p>
    <w:p w:rsidR="00B40966" w:rsidRDefault="00B40966">
      <w:pPr>
        <w:pStyle w:val="Amain"/>
      </w:pPr>
      <w:r>
        <w:rPr>
          <w:color w:val="000000"/>
        </w:rPr>
        <w:tab/>
        <w:t>(10)</w:t>
      </w:r>
      <w:r>
        <w:rPr>
          <w:color w:val="000000"/>
        </w:rPr>
        <w:tab/>
        <w:t>The distance measured between the vertical legs of a hanger shall not exceed that necessary to accommodate the full width of the platform scaffold planks.</w:t>
      </w:r>
    </w:p>
    <w:p w:rsidR="00B40966" w:rsidRDefault="00B40966">
      <w:pPr>
        <w:pStyle w:val="Amain"/>
      </w:pPr>
      <w:r>
        <w:tab/>
        <w:t>(11)</w:t>
      </w:r>
      <w:r>
        <w:tab/>
        <w:t>An anchorage of approved design shall be incorporated in the construction of each hanger, such anchorage to be used for the purpose of attaching the bottom block of the rope tackle used for raising and lowering the platform.</w:t>
      </w:r>
    </w:p>
    <w:p w:rsidR="00B40966" w:rsidRDefault="00B40966">
      <w:pPr>
        <w:pStyle w:val="Assectheading"/>
        <w:rPr>
          <w:i w:val="0"/>
        </w:rPr>
      </w:pPr>
      <w:r>
        <w:rPr>
          <w:rStyle w:val="charItals"/>
          <w:i/>
        </w:rPr>
        <w:t>Tackle for raising and lowering light swinging stages</w:t>
      </w:r>
      <w:r>
        <w:rPr>
          <w:i w:val="0"/>
          <w:color w:val="000000"/>
        </w:rPr>
        <w:t>—</w:t>
      </w:r>
      <w:r>
        <w:rPr>
          <w:rStyle w:val="charItals"/>
          <w:i/>
        </w:rPr>
        <w:t>rope</w:t>
      </w:r>
    </w:p>
    <w:p w:rsidR="00B40966" w:rsidRDefault="00B40966">
      <w:pPr>
        <w:pStyle w:val="Amain"/>
      </w:pPr>
      <w:r>
        <w:tab/>
        <w:t>(12)</w:t>
      </w:r>
      <w:r>
        <w:tab/>
        <w:t>The fall rope of a tackle used for raising and lowering a light swinging stage shall be constructed of Manila or sisal fibre, shall be not less than 2</w:t>
      </w:r>
      <w:r>
        <w:rPr>
          <w:position w:val="6"/>
          <w:sz w:val="18"/>
        </w:rPr>
        <w:t>1</w:t>
      </w:r>
      <w:r>
        <w:t>/</w:t>
      </w:r>
      <w:r>
        <w:rPr>
          <w:sz w:val="18"/>
        </w:rPr>
        <w:t>2</w:t>
      </w:r>
      <w:r>
        <w:t xml:space="preserve"> inches in circumference and shall be reeved through a double and a single block so as to form 4 parts of rope.</w:t>
      </w:r>
    </w:p>
    <w:p w:rsidR="00B40966" w:rsidRDefault="00B40966">
      <w:pPr>
        <w:pStyle w:val="Amain"/>
      </w:pPr>
      <w:r>
        <w:tab/>
        <w:t>(13)</w:t>
      </w:r>
      <w:r>
        <w:tab/>
        <w:t>At all times other than when the stage is being raised or lowered the hauling part of the fibre rope is to be made fast with a self-locking hitch to the lower block.</w:t>
      </w:r>
    </w:p>
    <w:p w:rsidR="00B40966" w:rsidRDefault="00B40966">
      <w:pPr>
        <w:pStyle w:val="Assectheading"/>
        <w:rPr>
          <w:i w:val="0"/>
        </w:rPr>
      </w:pPr>
      <w:r>
        <w:rPr>
          <w:rStyle w:val="charItals"/>
          <w:i/>
        </w:rPr>
        <w:t>Tackle for raising and lowering light swinging stages</w:t>
      </w:r>
      <w:r>
        <w:rPr>
          <w:i w:val="0"/>
          <w:color w:val="000000"/>
        </w:rPr>
        <w:t>—</w:t>
      </w:r>
      <w:r>
        <w:rPr>
          <w:rStyle w:val="charItals"/>
          <w:i/>
        </w:rPr>
        <w:t>fibre rope blocks</w:t>
      </w:r>
    </w:p>
    <w:p w:rsidR="00B40966" w:rsidRDefault="00B40966">
      <w:pPr>
        <w:pStyle w:val="Amain"/>
      </w:pPr>
      <w:r>
        <w:tab/>
        <w:t>(14)</w:t>
      </w:r>
      <w:r>
        <w:tab/>
        <w:t>The carcase of every block for fibre rope, both single and double sheave, used in the tackle for raising and lowering a light swinging stage, shall be constructed of steel and the sheaves of each such block shall be not less than 4 inches in diameter, measured at the bottom of the rope groove.</w:t>
      </w:r>
    </w:p>
    <w:p w:rsidR="00B40966" w:rsidRDefault="00B40966">
      <w:pPr>
        <w:pStyle w:val="Amain"/>
      </w:pPr>
      <w:r>
        <w:tab/>
        <w:t>(15)</w:t>
      </w:r>
      <w:r>
        <w:tab/>
        <w:t>The rope groove shall be of such size and shape as to afford ample support for the fibre rope passing over the sheave.</w:t>
      </w:r>
    </w:p>
    <w:p w:rsidR="00B40966" w:rsidRDefault="00B40966">
      <w:pPr>
        <w:pStyle w:val="Amain"/>
      </w:pPr>
      <w:r>
        <w:tab/>
        <w:t>(16)</w:t>
      </w:r>
      <w:r>
        <w:tab/>
        <w:t>No such block shall, unless approved, be used in which the rope anchorage or becket is fixed to the block carcase by welding.</w:t>
      </w:r>
    </w:p>
    <w:p w:rsidR="00B40966" w:rsidRDefault="00B40966">
      <w:pPr>
        <w:pStyle w:val="Amain"/>
      </w:pPr>
      <w:r>
        <w:tab/>
        <w:t>(17)</w:t>
      </w:r>
      <w:r>
        <w:tab/>
        <w:t>Rope blocks shall be adequately secured to a needle by a steel wire rope lashing or by a steel fitting designed in conformity with the requirements of part 11.</w:t>
      </w:r>
    </w:p>
    <w:p w:rsidR="00B40966" w:rsidRDefault="00B40966">
      <w:pPr>
        <w:pStyle w:val="Amain"/>
      </w:pPr>
      <w:r>
        <w:tab/>
        <w:t>(18)</w:t>
      </w:r>
      <w:r>
        <w:tab/>
        <w:t>The mouth of every rope block hook shall be moused to prevent inadvertent displacement.</w:t>
      </w:r>
    </w:p>
    <w:p w:rsidR="00B40966" w:rsidRDefault="00B40966">
      <w:pPr>
        <w:pStyle w:val="Assectheading"/>
        <w:rPr>
          <w:i w:val="0"/>
        </w:rPr>
      </w:pPr>
      <w:r>
        <w:rPr>
          <w:rStyle w:val="charItals"/>
          <w:i/>
        </w:rPr>
        <w:t>Needles</w:t>
      </w:r>
    </w:p>
    <w:p w:rsidR="00B40966" w:rsidRDefault="00B40966">
      <w:pPr>
        <w:pStyle w:val="Amain"/>
      </w:pPr>
      <w:r>
        <w:rPr>
          <w:color w:val="000000"/>
        </w:rPr>
        <w:tab/>
        <w:t>(19)</w:t>
      </w:r>
      <w:r>
        <w:rPr>
          <w:color w:val="000000"/>
        </w:rPr>
        <w:tab/>
        <w:t xml:space="preserve">For this section, the cantilevers from which a light swinging stage tackle is suspended shall be known as </w:t>
      </w:r>
      <w:r>
        <w:rPr>
          <w:b/>
          <w:i/>
          <w:color w:val="000000"/>
        </w:rPr>
        <w:t>needles</w:t>
      </w:r>
      <w:r>
        <w:rPr>
          <w:color w:val="000000"/>
        </w:rPr>
        <w:t>.</w:t>
      </w:r>
    </w:p>
    <w:p w:rsidR="00B40966" w:rsidRDefault="00B40966">
      <w:pPr>
        <w:pStyle w:val="Amain"/>
      </w:pPr>
      <w:r>
        <w:tab/>
        <w:t>(20)</w:t>
      </w:r>
      <w:r>
        <w:tab/>
        <w:t>Timber needles of at least equivalent strength to Oregon pine shall in no case be of smaller sectional dimensions than 6 inches by 4 inches and shall be placed on edge.</w:t>
      </w:r>
    </w:p>
    <w:p w:rsidR="00B40966" w:rsidRDefault="00B40966">
      <w:pPr>
        <w:pStyle w:val="Amain"/>
      </w:pPr>
      <w:r>
        <w:tab/>
        <w:t>(21)</w:t>
      </w:r>
      <w:r>
        <w:tab/>
        <w:t>If needles of this minimum section are used, the point of suspension of the fall rope top block shall not be more than 2 feet from the point of bearing of the needle on the building or structure.</w:t>
      </w:r>
    </w:p>
    <w:p w:rsidR="00B40966" w:rsidRDefault="00B40966">
      <w:pPr>
        <w:pStyle w:val="Amain"/>
      </w:pPr>
      <w:r>
        <w:tab/>
        <w:t>(22)</w:t>
      </w:r>
      <w:r>
        <w:tab/>
        <w:t>If this dimension cannot be kept within this limit, needles of larger sectional dimensions shall be used and the transverse strength of such larger section shall bear the same proportion to a 6 inch by 4 inch section on edge as the longer length of the cantilevered portion bears to 2 feet.</w:t>
      </w:r>
    </w:p>
    <w:p w:rsidR="00B40966" w:rsidRDefault="00B40966">
      <w:pPr>
        <w:pStyle w:val="Amain"/>
      </w:pPr>
      <w:r>
        <w:tab/>
        <w:t>(23)</w:t>
      </w:r>
      <w:r>
        <w:tab/>
        <w:t>If timber needles are counterbalanced, their length shall not be less than 12 feet and not less than 9 feet of the length shall be on the counterbalanced side.</w:t>
      </w:r>
    </w:p>
    <w:p w:rsidR="00B40966" w:rsidRDefault="00B40966">
      <w:pPr>
        <w:pStyle w:val="Assectheading"/>
        <w:rPr>
          <w:i w:val="0"/>
        </w:rPr>
      </w:pPr>
      <w:r>
        <w:rPr>
          <w:rStyle w:val="charItals"/>
          <w:i/>
        </w:rPr>
        <w:t>Fixing of needles</w:t>
      </w:r>
    </w:p>
    <w:p w:rsidR="00B40966" w:rsidRDefault="00B40966">
      <w:pPr>
        <w:pStyle w:val="Amain"/>
      </w:pPr>
      <w:r>
        <w:rPr>
          <w:color w:val="000000"/>
        </w:rPr>
        <w:tab/>
        <w:t>(24)</w:t>
      </w:r>
      <w:r>
        <w:rPr>
          <w:color w:val="000000"/>
        </w:rPr>
        <w:tab/>
        <w:t>Needles shall either be firmly secured to the building or structure with bolts, approved steel fittings, or lashing, designed in conformity with the provisions of part 11 or they shall be counterbalanced with weights in accordance with that part.</w:t>
      </w:r>
    </w:p>
    <w:p w:rsidR="00B40966" w:rsidRDefault="00B40966">
      <w:pPr>
        <w:pStyle w:val="Amain"/>
      </w:pPr>
      <w:r>
        <w:tab/>
        <w:t>(25)</w:t>
      </w:r>
      <w:r>
        <w:tab/>
        <w:t>Provision shall be made to prevent needles turning over or moving laterally, and any planking, platform or other structure provided for supporting needles or the counterbalance on needles shall have adequate strength to sustain the maximum weight imposed without undue deflection.</w:t>
      </w:r>
    </w:p>
    <w:p w:rsidR="00B40966" w:rsidRDefault="00B40966">
      <w:pPr>
        <w:pStyle w:val="Assectheading"/>
        <w:rPr>
          <w:i w:val="0"/>
        </w:rPr>
      </w:pPr>
      <w:r>
        <w:rPr>
          <w:rStyle w:val="charItals"/>
          <w:i/>
        </w:rPr>
        <w:t>Counterbalance</w:t>
      </w:r>
    </w:p>
    <w:p w:rsidR="00B40966" w:rsidRDefault="00B40966">
      <w:pPr>
        <w:pStyle w:val="Amain"/>
      </w:pPr>
      <w:r>
        <w:rPr>
          <w:color w:val="000000"/>
        </w:rPr>
        <w:tab/>
        <w:t>(26)</w:t>
      </w:r>
      <w:r>
        <w:rPr>
          <w:color w:val="000000"/>
        </w:rPr>
        <w:tab/>
        <w:t>The net weight of the counterbalance on any needle shall not be less than 3 times the weight necessary to balance the weight of the load on the projecting part of a needle when the stage is fully loaded.</w:t>
      </w:r>
    </w:p>
    <w:p w:rsidR="00B40966" w:rsidRDefault="00B40966">
      <w:pPr>
        <w:pStyle w:val="Amain"/>
      </w:pPr>
      <w:r>
        <w:tab/>
        <w:t>(27)</w:t>
      </w:r>
      <w:r>
        <w:tab/>
        <w:t>In calculating the net weight of counterbalance, due regard shall be given to the points of suspension of the stage, the disposition of the counterbalance, and the point of substantial bearing of the needle between them.</w:t>
      </w:r>
    </w:p>
    <w:p w:rsidR="00B40966" w:rsidRDefault="00B40966">
      <w:pPr>
        <w:pStyle w:val="Amain"/>
      </w:pPr>
      <w:r>
        <w:tab/>
        <w:t>(28)</w:t>
      </w:r>
      <w:r>
        <w:tab/>
        <w:t>Every such counterbalance shall be secured to the needles in a way that will prevent it accidentally shifting or being inadvertently removed.</w:t>
      </w:r>
    </w:p>
    <w:p w:rsidR="00B40966" w:rsidRDefault="00B40966">
      <w:pPr>
        <w:pStyle w:val="Amain"/>
      </w:pPr>
      <w:r>
        <w:tab/>
        <w:t>(29)</w:t>
      </w:r>
      <w:r>
        <w:tab/>
        <w:t>Sand or liquids shall not be used as a counterbalance.</w:t>
      </w:r>
    </w:p>
    <w:p w:rsidR="00B40966" w:rsidRDefault="00B40966">
      <w:pPr>
        <w:pStyle w:val="Assectheading"/>
        <w:rPr>
          <w:i w:val="0"/>
        </w:rPr>
      </w:pPr>
      <w:r>
        <w:rPr>
          <w:rStyle w:val="charItals"/>
          <w:i/>
        </w:rPr>
        <w:t>Use of parapet hooks prohibited</w:t>
      </w:r>
    </w:p>
    <w:p w:rsidR="00B40966" w:rsidRDefault="00B40966">
      <w:pPr>
        <w:pStyle w:val="Amain"/>
        <w:rPr>
          <w:color w:val="000000"/>
        </w:rPr>
      </w:pPr>
      <w:r>
        <w:rPr>
          <w:color w:val="000000"/>
        </w:rPr>
        <w:tab/>
        <w:t>(30)</w:t>
      </w:r>
      <w:r>
        <w:rPr>
          <w:color w:val="000000"/>
        </w:rPr>
        <w:tab/>
        <w:t>A parapet hook shall not be used for the purpose of suspending a light swinging stage.</w:t>
      </w:r>
    </w:p>
    <w:p w:rsidR="00B40966" w:rsidRDefault="00B40966">
      <w:pPr>
        <w:pStyle w:val="Assectheading"/>
        <w:rPr>
          <w:i w:val="0"/>
        </w:rPr>
      </w:pPr>
      <w:r>
        <w:rPr>
          <w:rStyle w:val="charItals"/>
          <w:i/>
        </w:rPr>
        <w:t>Stage to be kept level</w:t>
      </w:r>
    </w:p>
    <w:p w:rsidR="00B40966" w:rsidRDefault="00B40966">
      <w:pPr>
        <w:pStyle w:val="Amain"/>
        <w:rPr>
          <w:color w:val="000000"/>
        </w:rPr>
      </w:pPr>
      <w:r>
        <w:rPr>
          <w:color w:val="000000"/>
        </w:rPr>
        <w:tab/>
        <w:t>(31)</w:t>
      </w:r>
      <w:r>
        <w:rPr>
          <w:color w:val="000000"/>
        </w:rPr>
        <w:tab/>
        <w:t>In raising and lowering a light swinging stage the process shall be carried out in such a way as to ensure that the platform will remain substantially level.</w:t>
      </w:r>
    </w:p>
    <w:p w:rsidR="00B40966" w:rsidRDefault="00B40966">
      <w:pPr>
        <w:pStyle w:val="Assectheading"/>
        <w:rPr>
          <w:i w:val="0"/>
        </w:rPr>
      </w:pPr>
      <w:r>
        <w:rPr>
          <w:rStyle w:val="charItals"/>
          <w:i/>
        </w:rPr>
        <w:t>Winches for light swinging stages</w:t>
      </w:r>
    </w:p>
    <w:p w:rsidR="00B40966" w:rsidRDefault="00B40966">
      <w:pPr>
        <w:pStyle w:val="Amain"/>
      </w:pPr>
      <w:r>
        <w:rPr>
          <w:color w:val="000000"/>
        </w:rPr>
        <w:tab/>
        <w:t>(32)</w:t>
      </w:r>
      <w:r>
        <w:rPr>
          <w:color w:val="000000"/>
        </w:rPr>
        <w:tab/>
        <w:t>A machine, winch or other mechanism may be used for raising and lowering a light swinging stage provided that—</w:t>
      </w:r>
    </w:p>
    <w:p w:rsidR="00B40966" w:rsidRDefault="00B40966">
      <w:pPr>
        <w:pStyle w:val="Apara"/>
      </w:pPr>
      <w:r>
        <w:tab/>
        <w:t>(a)</w:t>
      </w:r>
      <w:r>
        <w:tab/>
        <w:t>a design; or</w:t>
      </w:r>
    </w:p>
    <w:p w:rsidR="00B40966" w:rsidRDefault="00B40966">
      <w:pPr>
        <w:pStyle w:val="Apara"/>
      </w:pPr>
      <w:r>
        <w:tab/>
        <w:t>(b)</w:t>
      </w:r>
      <w:r>
        <w:tab/>
        <w:t>a sample together with a written description of how the machine, winch or mechanism is to be set up, used and maintained;</w:t>
      </w:r>
    </w:p>
    <w:p w:rsidR="00B40966" w:rsidRDefault="00B40966">
      <w:pPr>
        <w:pStyle w:val="Amainreturn"/>
      </w:pPr>
      <w:r>
        <w:t>has previously been submitted to the chief inspector and has been approved.</w:t>
      </w:r>
    </w:p>
    <w:p w:rsidR="00B40966" w:rsidRDefault="00B40966">
      <w:pPr>
        <w:pStyle w:val="Amain"/>
      </w:pPr>
      <w:r>
        <w:tab/>
        <w:t>(33)</w:t>
      </w:r>
      <w:r>
        <w:tab/>
        <w:t>All such machines, winches and mechanisms shall be designed, set up, used, and maintained as provided in the section and in accordance with the approved design and description, and while in use they shall be kept lubricated and maintained in an efficient state of repair and free from any accumulation of dust, dirt, or foreign matter.</w:t>
      </w:r>
    </w:p>
    <w:p w:rsidR="00B40966" w:rsidRDefault="00B40966">
      <w:pPr>
        <w:pStyle w:val="Amain"/>
      </w:pPr>
      <w:r>
        <w:tab/>
        <w:t>(34)</w:t>
      </w:r>
      <w:r>
        <w:tab/>
        <w:t>Ropes shall be wound evenly on the drum of such machine, winch or mechanism and not more rope than can be accommodated between the drum flanges shall be wound on the drum.</w:t>
      </w:r>
    </w:p>
    <w:p w:rsidR="00B40966" w:rsidRDefault="00B40966">
      <w:pPr>
        <w:pStyle w:val="Amain"/>
      </w:pPr>
      <w:r>
        <w:tab/>
        <w:t>(35)</w:t>
      </w:r>
      <w:r>
        <w:tab/>
        <w:t>The handles of all such machines, winches and mechanisms when not actually in use for raising or lowering shall be kept in that position that will prevent the stage from descending.</w:t>
      </w:r>
    </w:p>
    <w:p w:rsidR="00B40966" w:rsidRDefault="00B40966">
      <w:pPr>
        <w:pStyle w:val="Assectheading"/>
        <w:rPr>
          <w:i w:val="0"/>
        </w:rPr>
      </w:pPr>
      <w:r>
        <w:rPr>
          <w:rStyle w:val="charItals"/>
          <w:i/>
        </w:rPr>
        <w:t>Restrictions of light swinging stages</w:t>
      </w:r>
    </w:p>
    <w:p w:rsidR="00B40966" w:rsidRDefault="00B40966">
      <w:pPr>
        <w:pStyle w:val="Amain"/>
      </w:pPr>
      <w:r>
        <w:rPr>
          <w:color w:val="000000"/>
        </w:rPr>
        <w:tab/>
        <w:t>(36)</w:t>
      </w:r>
      <w:r>
        <w:rPr>
          <w:color w:val="000000"/>
        </w:rPr>
        <w:tab/>
        <w:t>Light swinging stages shall not be used where, in the opinion of an inspector—</w:t>
      </w:r>
    </w:p>
    <w:p w:rsidR="00B40966" w:rsidRDefault="00B40966">
      <w:pPr>
        <w:pStyle w:val="Apara"/>
      </w:pPr>
      <w:r>
        <w:tab/>
        <w:t>(a)</w:t>
      </w:r>
      <w:r>
        <w:tab/>
        <w:t>the position of the scaffolding and the conditions under which the scaffolding is or would be used are dangerous to human life and limb; or</w:t>
      </w:r>
    </w:p>
    <w:p w:rsidR="00B40966" w:rsidRDefault="00B40966">
      <w:pPr>
        <w:pStyle w:val="Apara"/>
      </w:pPr>
      <w:r>
        <w:tab/>
        <w:t>(b)</w:t>
      </w:r>
      <w:r>
        <w:tab/>
        <w:t>the building or structure to which the scaffolding is attached or is proposed to be attached is not suitable for safely supporting the type of scaffolding used or proposed to be used; or</w:t>
      </w:r>
    </w:p>
    <w:p w:rsidR="00B40966" w:rsidRDefault="00B40966">
      <w:pPr>
        <w:pStyle w:val="Apara"/>
      </w:pPr>
      <w:r>
        <w:tab/>
        <w:t>(c)</w:t>
      </w:r>
      <w:r>
        <w:tab/>
        <w:t>the scaffolding is not suitable for the work contemplated.</w:t>
      </w:r>
    </w:p>
    <w:p w:rsidR="00B40966" w:rsidRDefault="00B40966">
      <w:pPr>
        <w:pStyle w:val="Amain"/>
      </w:pPr>
      <w:r>
        <w:tab/>
        <w:t>(37)</w:t>
      </w:r>
      <w:r>
        <w:tab/>
        <w:t>No person under 18 years old and no person unless specially authorised by his or her employer so to do shall work a machine, winch or mechanism used for raising or lowering a light swinging stage and no person shall interfere with it.</w:t>
      </w:r>
    </w:p>
    <w:p w:rsidR="00B40966" w:rsidRDefault="00B40966">
      <w:pPr>
        <w:pStyle w:val="Amain"/>
      </w:pPr>
      <w:r>
        <w:tab/>
        <w:t>(38)</w:t>
      </w:r>
      <w:r>
        <w:tab/>
        <w:t>No person shall employ, instruct, or direct any person under 18 years old to act in contravention of this provision.</w:t>
      </w:r>
    </w:p>
    <w:p w:rsidR="00B40966" w:rsidRDefault="00B40966">
      <w:pPr>
        <w:pStyle w:val="Assectheading"/>
        <w:rPr>
          <w:i w:val="0"/>
        </w:rPr>
      </w:pPr>
      <w:r>
        <w:rPr>
          <w:rStyle w:val="charItals"/>
          <w:i/>
        </w:rPr>
        <w:t>Inspection</w:t>
      </w:r>
    </w:p>
    <w:p w:rsidR="00B40966" w:rsidRDefault="00B40966">
      <w:pPr>
        <w:pStyle w:val="Amain"/>
      </w:pPr>
      <w:r>
        <w:rPr>
          <w:color w:val="000000"/>
        </w:rPr>
        <w:tab/>
        <w:t>(39)</w:t>
      </w:r>
      <w:r>
        <w:rPr>
          <w:color w:val="000000"/>
        </w:rPr>
        <w:tab/>
        <w:t>Immediately before the erection of a light swinging stage and at frequent intervals afterwards, the person actually responsible for erecting the stage and the scaffolder in charge of the work shall inspect all parts of the stage and its supports and satisfy himself or herself as to its safety and conformity with the section.</w:t>
      </w:r>
    </w:p>
    <w:p w:rsidR="00B40966" w:rsidRDefault="00B40966">
      <w:pPr>
        <w:pStyle w:val="AH4SubDiv"/>
      </w:pPr>
      <w:bookmarkStart w:id="167" w:name="_Toc87258025"/>
      <w:r>
        <w:t>Boatswain’s chairs</w:t>
      </w:r>
      <w:bookmarkEnd w:id="167"/>
    </w:p>
    <w:p w:rsidR="00B40966" w:rsidRDefault="00B40966">
      <w:pPr>
        <w:pStyle w:val="AH5Sec"/>
      </w:pPr>
      <w:bookmarkStart w:id="168" w:name="_Toc87258026"/>
      <w:r>
        <w:rPr>
          <w:rStyle w:val="CharSectNo"/>
        </w:rPr>
        <w:t>92</w:t>
      </w:r>
      <w:bookmarkEnd w:id="168"/>
      <w:r>
        <w:tab/>
        <w:t xml:space="preserve">  </w:t>
      </w:r>
    </w:p>
    <w:p w:rsidR="00B40966" w:rsidRDefault="00B40966">
      <w:pPr>
        <w:pStyle w:val="Assectheading"/>
      </w:pPr>
      <w:r>
        <w:rPr>
          <w:rStyle w:val="charItals"/>
          <w:i/>
        </w:rPr>
        <w:t>Seat construction</w:t>
      </w:r>
    </w:p>
    <w:p w:rsidR="00B40966" w:rsidRDefault="00B40966">
      <w:pPr>
        <w:pStyle w:val="Amain"/>
      </w:pPr>
      <w:r>
        <w:rPr>
          <w:color w:val="000000"/>
        </w:rPr>
        <w:tab/>
        <w:t>(1)</w:t>
      </w:r>
      <w:r>
        <w:rPr>
          <w:color w:val="000000"/>
        </w:rPr>
        <w:tab/>
        <w:t>The seat of a boatswain’s chair shall be constructed of timber not less than 1 inch in thickness and the seat shall be so arranged that a person seated in it shall have a seating space of not less than 18 inches by 10 inches.</w:t>
      </w:r>
    </w:p>
    <w:p w:rsidR="00B40966" w:rsidRDefault="00B40966">
      <w:pPr>
        <w:pStyle w:val="Amain"/>
      </w:pPr>
      <w:r>
        <w:tab/>
        <w:t>(2)</w:t>
      </w:r>
      <w:r>
        <w:tab/>
        <w:t>Cleats made of timber not less than 3 inches by 1 inch sectional dimensions shall be firmly fixed to the ends of the timber, on the underside, forming the seat.</w:t>
      </w:r>
    </w:p>
    <w:p w:rsidR="00B40966" w:rsidRDefault="00B40966">
      <w:pPr>
        <w:pStyle w:val="Assectheading"/>
      </w:pPr>
      <w:r>
        <w:rPr>
          <w:rStyle w:val="charItals"/>
          <w:i/>
        </w:rPr>
        <w:t>Slings</w:t>
      </w:r>
    </w:p>
    <w:p w:rsidR="00B40966" w:rsidRDefault="00B40966">
      <w:pPr>
        <w:pStyle w:val="Amain"/>
      </w:pPr>
      <w:r>
        <w:rPr>
          <w:color w:val="000000"/>
        </w:rPr>
        <w:tab/>
        <w:t>(3)</w:t>
      </w:r>
      <w:r>
        <w:rPr>
          <w:color w:val="000000"/>
        </w:rPr>
        <w:tab/>
        <w:t>The slings supporting the seat of a boatswain’s chair shall be of fibre rope, not less than 1</w:t>
      </w:r>
      <w:r>
        <w:rPr>
          <w:color w:val="000000"/>
          <w:position w:val="6"/>
          <w:sz w:val="18"/>
        </w:rPr>
        <w:t>1</w:t>
      </w:r>
      <w:r>
        <w:rPr>
          <w:color w:val="000000"/>
        </w:rPr>
        <w:t>/</w:t>
      </w:r>
      <w:r>
        <w:rPr>
          <w:color w:val="000000"/>
          <w:sz w:val="18"/>
        </w:rPr>
        <w:t>2</w:t>
      </w:r>
      <w:r>
        <w:rPr>
          <w:color w:val="000000"/>
        </w:rPr>
        <w:t xml:space="preserve"> inches in circumference.</w:t>
      </w:r>
    </w:p>
    <w:p w:rsidR="00B40966" w:rsidRDefault="00B40966">
      <w:pPr>
        <w:pStyle w:val="Amain"/>
      </w:pPr>
      <w:r>
        <w:tab/>
        <w:t>(4)</w:t>
      </w:r>
      <w:r>
        <w:tab/>
        <w:t>These slings shall be crossed underneath the chair seat and each leg shall pass through a suitable hole, 1 in each of the 4 corners of the seat and be arranged to form a loop over the seat to take a rope pulley block hook.</w:t>
      </w:r>
    </w:p>
    <w:p w:rsidR="00B40966" w:rsidRDefault="00B40966">
      <w:pPr>
        <w:pStyle w:val="Amain"/>
      </w:pPr>
      <w:r>
        <w:tab/>
        <w:t>(5)</w:t>
      </w:r>
      <w:r>
        <w:tab/>
        <w:t>These slings shall be fixed to the underside of the seat to prevent the seat tilting in the slings.</w:t>
      </w:r>
    </w:p>
    <w:p w:rsidR="00B40966" w:rsidRDefault="00B40966">
      <w:pPr>
        <w:pStyle w:val="Assectheading"/>
        <w:rPr>
          <w:i w:val="0"/>
        </w:rPr>
      </w:pPr>
      <w:r>
        <w:rPr>
          <w:rStyle w:val="charItals"/>
          <w:i/>
        </w:rPr>
        <w:t>Tackle</w:t>
      </w:r>
      <w:r>
        <w:rPr>
          <w:i w:val="0"/>
          <w:color w:val="000000"/>
        </w:rPr>
        <w:t>—</w:t>
      </w:r>
      <w:r>
        <w:rPr>
          <w:rStyle w:val="charItals"/>
          <w:i/>
        </w:rPr>
        <w:t>blocks</w:t>
      </w:r>
    </w:p>
    <w:p w:rsidR="00B40966" w:rsidRDefault="00B40966">
      <w:pPr>
        <w:pStyle w:val="Amain"/>
      </w:pPr>
      <w:r>
        <w:tab/>
        <w:t>(6)</w:t>
      </w:r>
      <w:r>
        <w:tab/>
        <w:t>The rope blocks included in the tackle for suspending and raising and lowering a boatswain’s chair shall be 1 (one) 2-sheave upper block and a single sheave lower block.</w:t>
      </w:r>
    </w:p>
    <w:p w:rsidR="00B40966" w:rsidRDefault="00B40966">
      <w:pPr>
        <w:pStyle w:val="Amain"/>
      </w:pPr>
      <w:r>
        <w:tab/>
        <w:t>(7)</w:t>
      </w:r>
      <w:r>
        <w:tab/>
        <w:t>The carcase of each block shall be of steel and the rope anchor or becket on the bottom block shall not unless approved be fixed to the block by welding.</w:t>
      </w:r>
    </w:p>
    <w:p w:rsidR="00B40966" w:rsidRDefault="00B40966">
      <w:pPr>
        <w:pStyle w:val="Amain"/>
      </w:pPr>
      <w:r>
        <w:tab/>
        <w:t>(8)</w:t>
      </w:r>
      <w:r>
        <w:tab/>
        <w:t>The rope sheaves shall be not less than 4 inches in diameter and they shall be grooved to accommodate the tackle rope.</w:t>
      </w:r>
    </w:p>
    <w:p w:rsidR="00B40966" w:rsidRDefault="00B40966">
      <w:pPr>
        <w:pStyle w:val="Assectheading"/>
        <w:rPr>
          <w:i w:val="0"/>
        </w:rPr>
      </w:pPr>
      <w:r>
        <w:rPr>
          <w:rStyle w:val="charItals"/>
          <w:i/>
        </w:rPr>
        <w:t>Tackle</w:t>
      </w:r>
      <w:r>
        <w:rPr>
          <w:i w:val="0"/>
          <w:color w:val="000000"/>
        </w:rPr>
        <w:t>—</w:t>
      </w:r>
      <w:r>
        <w:rPr>
          <w:rStyle w:val="charItals"/>
          <w:i/>
        </w:rPr>
        <w:t>rope</w:t>
      </w:r>
    </w:p>
    <w:p w:rsidR="00B40966" w:rsidRDefault="00B40966">
      <w:pPr>
        <w:pStyle w:val="Amain"/>
      </w:pPr>
      <w:r>
        <w:tab/>
        <w:t>(9)</w:t>
      </w:r>
      <w:r>
        <w:tab/>
        <w:t>The rope of the tackle suspending a boatswain’s chair shall be of either Manila or sisal fibre.</w:t>
      </w:r>
    </w:p>
    <w:p w:rsidR="00B40966" w:rsidRDefault="00B40966">
      <w:pPr>
        <w:pStyle w:val="Amain"/>
      </w:pPr>
      <w:r>
        <w:tab/>
        <w:t>(10)</w:t>
      </w:r>
      <w:r>
        <w:tab/>
        <w:t>The rope shall be so reeved as to form a 4-part rope tackle and shall be not less than 2 inches in circumference.</w:t>
      </w:r>
    </w:p>
    <w:p w:rsidR="00B40966" w:rsidRDefault="00B40966">
      <w:pPr>
        <w:pStyle w:val="Assectheading"/>
        <w:rPr>
          <w:i w:val="0"/>
        </w:rPr>
      </w:pPr>
      <w:r>
        <w:rPr>
          <w:rStyle w:val="charItals"/>
          <w:i/>
        </w:rPr>
        <w:t>Support</w:t>
      </w:r>
    </w:p>
    <w:p w:rsidR="00B40966" w:rsidRDefault="00B40966">
      <w:pPr>
        <w:pStyle w:val="Amain"/>
        <w:rPr>
          <w:color w:val="000000"/>
        </w:rPr>
      </w:pPr>
      <w:r>
        <w:rPr>
          <w:color w:val="000000"/>
        </w:rPr>
        <w:tab/>
        <w:t>(11)</w:t>
      </w:r>
      <w:r>
        <w:rPr>
          <w:color w:val="000000"/>
        </w:rPr>
        <w:tab/>
        <w:t>All overhead support for a boatswain’s chair shall be safely secured in position and shall be of sufficient strength to sustain not less than 4 times the weight to be suspended from it.</w:t>
      </w:r>
    </w:p>
    <w:p w:rsidR="00B40966" w:rsidRDefault="00B40966">
      <w:pPr>
        <w:pStyle w:val="Assectheading"/>
        <w:rPr>
          <w:i w:val="0"/>
        </w:rPr>
      </w:pPr>
      <w:r>
        <w:rPr>
          <w:rStyle w:val="charItals"/>
          <w:i/>
        </w:rPr>
        <w:t>Inspection</w:t>
      </w:r>
    </w:p>
    <w:p w:rsidR="00B40966" w:rsidRDefault="00B40966">
      <w:pPr>
        <w:pStyle w:val="Amain"/>
      </w:pPr>
      <w:r>
        <w:rPr>
          <w:color w:val="000000"/>
        </w:rPr>
        <w:tab/>
        <w:t>(12)</w:t>
      </w:r>
      <w:r>
        <w:rPr>
          <w:color w:val="000000"/>
        </w:rPr>
        <w:tab/>
        <w:t>Immediately before the erection of a boatswain’s chair, and at frequent intervals afterwards, the person actually responsible for the erection of the chair, or the person in charge of the work, shall inspect the overhead supports and the tackle to see that it is safe for use and in use.</w:t>
      </w:r>
    </w:p>
    <w:p w:rsidR="00B40966" w:rsidRDefault="00B40966">
      <w:pPr>
        <w:pStyle w:val="AH4SubDiv"/>
      </w:pPr>
      <w:bookmarkStart w:id="169" w:name="_Toc87258027"/>
      <w:r>
        <w:t>Scaffolding for use on ships in dock or on slips</w:t>
      </w:r>
      <w:bookmarkEnd w:id="169"/>
    </w:p>
    <w:p w:rsidR="00B40966" w:rsidRDefault="00B40966">
      <w:pPr>
        <w:pStyle w:val="AH5Sec"/>
      </w:pPr>
      <w:bookmarkStart w:id="170" w:name="_Toc87258028"/>
      <w:r>
        <w:rPr>
          <w:rStyle w:val="CharSectNo"/>
        </w:rPr>
        <w:t>93</w:t>
      </w:r>
      <w:bookmarkEnd w:id="170"/>
      <w:r>
        <w:tab/>
        <w:t xml:space="preserve">  </w:t>
      </w:r>
    </w:p>
    <w:p w:rsidR="00B40966" w:rsidRDefault="00B40966">
      <w:pPr>
        <w:pStyle w:val="Assectheading"/>
        <w:rPr>
          <w:i w:val="0"/>
        </w:rPr>
      </w:pPr>
      <w:r>
        <w:rPr>
          <w:rStyle w:val="charItals"/>
          <w:i/>
        </w:rPr>
        <w:t>Large flying stages</w:t>
      </w:r>
      <w:r>
        <w:rPr>
          <w:i w:val="0"/>
          <w:color w:val="000000"/>
        </w:rPr>
        <w:t>—</w:t>
      </w:r>
      <w:r>
        <w:rPr>
          <w:rStyle w:val="charItals"/>
          <w:i/>
        </w:rPr>
        <w:t>working platforms</w:t>
      </w:r>
    </w:p>
    <w:p w:rsidR="00B40966" w:rsidRDefault="00B40966">
      <w:pPr>
        <w:pStyle w:val="Amain"/>
      </w:pPr>
      <w:r>
        <w:tab/>
        <w:t>(1)</w:t>
      </w:r>
      <w:r>
        <w:tab/>
        <w:t>The working platform of this type of scaffolding shall be Oregon pine planks not less than 12 inches by 3 inches sectional dimensions and if the distance between the ropes supporting the stage exceeds 18 feet an intermediate supporting rope shall be used.</w:t>
      </w:r>
    </w:p>
    <w:p w:rsidR="00B40966" w:rsidRDefault="00B40966">
      <w:pPr>
        <w:pStyle w:val="Amain"/>
      </w:pPr>
      <w:r>
        <w:tab/>
        <w:t>(2)</w:t>
      </w:r>
      <w:r>
        <w:tab/>
        <w:t>Staging planks shall lap at least 4 feet.</w:t>
      </w:r>
    </w:p>
    <w:p w:rsidR="00B40966" w:rsidRDefault="00B40966">
      <w:pPr>
        <w:pStyle w:val="Assectheading"/>
        <w:rPr>
          <w:i w:val="0"/>
        </w:rPr>
      </w:pPr>
      <w:r>
        <w:rPr>
          <w:rStyle w:val="charItals"/>
          <w:i/>
        </w:rPr>
        <w:t>Large flying stages</w:t>
      </w:r>
      <w:r>
        <w:rPr>
          <w:i w:val="0"/>
          <w:color w:val="000000"/>
        </w:rPr>
        <w:t>—</w:t>
      </w:r>
      <w:r>
        <w:rPr>
          <w:rStyle w:val="charItals"/>
          <w:i/>
        </w:rPr>
        <w:t>stage ropes</w:t>
      </w:r>
    </w:p>
    <w:p w:rsidR="00B40966" w:rsidRDefault="00B40966">
      <w:pPr>
        <w:pStyle w:val="Amain"/>
      </w:pPr>
      <w:r>
        <w:tab/>
        <w:t>(3)</w:t>
      </w:r>
      <w:r>
        <w:tab/>
        <w:t>The stage ropes shall be flexible steel wire ropes not less than 1</w:t>
      </w:r>
      <w:r>
        <w:rPr>
          <w:position w:val="6"/>
          <w:sz w:val="18"/>
        </w:rPr>
        <w:t>1</w:t>
      </w:r>
      <w:r>
        <w:t>/</w:t>
      </w:r>
      <w:r>
        <w:rPr>
          <w:sz w:val="18"/>
        </w:rPr>
        <w:t>2 </w:t>
      </w:r>
      <w:r>
        <w:t>inches in circumference and shall have a long eye spliced in one end to go round planks, the eye to be not less than 4 feet 6 inches in length.</w:t>
      </w:r>
    </w:p>
    <w:p w:rsidR="00B40966" w:rsidRDefault="00B40966">
      <w:pPr>
        <w:pStyle w:val="Amain"/>
      </w:pPr>
      <w:r>
        <w:tab/>
        <w:t>(4)</w:t>
      </w:r>
      <w:r>
        <w:tab/>
        <w:t>A short eye shall be spliced in the other end to take a tail rope.</w:t>
      </w:r>
    </w:p>
    <w:p w:rsidR="00B40966" w:rsidRDefault="00B40966">
      <w:pPr>
        <w:pStyle w:val="Amain"/>
      </w:pPr>
      <w:r>
        <w:tab/>
        <w:t>(5)</w:t>
      </w:r>
      <w:r>
        <w:tab/>
        <w:t>Tail ropes shall be flexible steel wire ropes not less than 1</w:t>
      </w:r>
      <w:r>
        <w:rPr>
          <w:position w:val="6"/>
          <w:sz w:val="18"/>
        </w:rPr>
        <w:t>1</w:t>
      </w:r>
      <w:r>
        <w:t>/</w:t>
      </w:r>
      <w:r>
        <w:rPr>
          <w:sz w:val="18"/>
        </w:rPr>
        <w:t>2</w:t>
      </w:r>
      <w:r>
        <w:t xml:space="preserve"> inches in circumference and of sufficient length to pass over the bulwarks.</w:t>
      </w:r>
    </w:p>
    <w:p w:rsidR="00B40966" w:rsidRDefault="00B40966">
      <w:pPr>
        <w:pStyle w:val="Amain"/>
      </w:pPr>
      <w:r>
        <w:tab/>
        <w:t>(6)</w:t>
      </w:r>
      <w:r>
        <w:tab/>
        <w:t>Stage ropes shall be attached to planks, in the middle of plank laps, with 1 full turn of the large eye.</w:t>
      </w:r>
    </w:p>
    <w:p w:rsidR="00B40966" w:rsidRDefault="00B40966">
      <w:pPr>
        <w:pStyle w:val="Assectheading"/>
        <w:rPr>
          <w:i w:val="0"/>
        </w:rPr>
      </w:pPr>
      <w:r>
        <w:rPr>
          <w:rStyle w:val="charItals"/>
          <w:i/>
        </w:rPr>
        <w:t>Large flying stages</w:t>
      </w:r>
      <w:r>
        <w:rPr>
          <w:i w:val="0"/>
          <w:color w:val="000000"/>
        </w:rPr>
        <w:t>—</w:t>
      </w:r>
      <w:r>
        <w:rPr>
          <w:rStyle w:val="charItals"/>
          <w:i/>
        </w:rPr>
        <w:t>guys</w:t>
      </w:r>
    </w:p>
    <w:p w:rsidR="00B40966" w:rsidRDefault="00B40966">
      <w:pPr>
        <w:pStyle w:val="Amain"/>
      </w:pPr>
      <w:r>
        <w:tab/>
        <w:t>(7)</w:t>
      </w:r>
      <w:r>
        <w:tab/>
        <w:t>A sufficient number of guy ropes shall be used to secure proper steadiness of every stage.</w:t>
      </w:r>
    </w:p>
    <w:p w:rsidR="00B40966" w:rsidRDefault="00B40966">
      <w:pPr>
        <w:pStyle w:val="Amain"/>
      </w:pPr>
      <w:r>
        <w:tab/>
        <w:t>(8)</w:t>
      </w:r>
      <w:r>
        <w:tab/>
        <w:t>The guys shall be of flexible steel wire, not less than 1</w:t>
      </w:r>
      <w:r>
        <w:rPr>
          <w:position w:val="6"/>
          <w:sz w:val="18"/>
        </w:rPr>
        <w:t>1</w:t>
      </w:r>
      <w:r>
        <w:t>/</w:t>
      </w:r>
      <w:r>
        <w:rPr>
          <w:sz w:val="18"/>
        </w:rPr>
        <w:t>4</w:t>
      </w:r>
      <w:r>
        <w:t xml:space="preserve"> inches in circumference with fibre tail ropes not less than 2 inches in circumference.</w:t>
      </w:r>
    </w:p>
    <w:p w:rsidR="00B40966" w:rsidRDefault="00B40966">
      <w:pPr>
        <w:pStyle w:val="Amain"/>
      </w:pPr>
      <w:r>
        <w:tab/>
        <w:t>(9)</w:t>
      </w:r>
      <w:r>
        <w:tab/>
        <w:t>Guy and tail ropes shall be attached by means of spliced eyes.</w:t>
      </w:r>
    </w:p>
    <w:p w:rsidR="00B40966" w:rsidRDefault="00B40966">
      <w:pPr>
        <w:pStyle w:val="Amain"/>
      </w:pPr>
      <w:r>
        <w:tab/>
        <w:t>(10)</w:t>
      </w:r>
      <w:r>
        <w:tab/>
        <w:t>All stages shall have effective end guys.</w:t>
      </w:r>
    </w:p>
    <w:p w:rsidR="00B40966" w:rsidRDefault="00B40966">
      <w:pPr>
        <w:pStyle w:val="Assectheading"/>
        <w:rPr>
          <w:i w:val="0"/>
        </w:rPr>
      </w:pPr>
      <w:r>
        <w:rPr>
          <w:rStyle w:val="charItals"/>
          <w:i/>
        </w:rPr>
        <w:t>Large flying stages</w:t>
      </w:r>
      <w:r>
        <w:rPr>
          <w:i w:val="0"/>
          <w:color w:val="000000"/>
        </w:rPr>
        <w:t>—</w:t>
      </w:r>
      <w:r>
        <w:rPr>
          <w:rStyle w:val="charItals"/>
          <w:i/>
        </w:rPr>
        <w:t>life-lines</w:t>
      </w:r>
    </w:p>
    <w:p w:rsidR="00B40966" w:rsidRDefault="00B40966">
      <w:pPr>
        <w:pStyle w:val="Amain"/>
      </w:pPr>
      <w:r>
        <w:tab/>
        <w:t>(11)</w:t>
      </w:r>
      <w:r>
        <w:tab/>
        <w:t>All stages shall be provided with life-lines of not less than 2</w:t>
      </w:r>
      <w:r>
        <w:rPr>
          <w:position w:val="6"/>
          <w:sz w:val="18"/>
        </w:rPr>
        <w:t>1</w:t>
      </w:r>
      <w:r>
        <w:t>/</w:t>
      </w:r>
      <w:r>
        <w:rPr>
          <w:sz w:val="18"/>
        </w:rPr>
        <w:t>2</w:t>
      </w:r>
      <w:r>
        <w:t xml:space="preserve"> inch circumference fibre rope properly secured to the stage ropes by means of fibre rope lanyards not less than 1</w:t>
      </w:r>
      <w:r>
        <w:rPr>
          <w:position w:val="6"/>
          <w:sz w:val="18"/>
        </w:rPr>
        <w:t>1</w:t>
      </w:r>
      <w:r>
        <w:t>/</w:t>
      </w:r>
      <w:r>
        <w:rPr>
          <w:sz w:val="18"/>
        </w:rPr>
        <w:t>4</w:t>
      </w:r>
      <w:r>
        <w:t xml:space="preserve"> inches in circumference at a height of not less than 2 feet 6 inches above the surface of the planks.</w:t>
      </w:r>
    </w:p>
    <w:p w:rsidR="00B40966" w:rsidRDefault="00B40966">
      <w:pPr>
        <w:pStyle w:val="Assectheading"/>
        <w:rPr>
          <w:i w:val="0"/>
        </w:rPr>
      </w:pPr>
      <w:r>
        <w:rPr>
          <w:rStyle w:val="charItals"/>
          <w:i/>
        </w:rPr>
        <w:t>Small flying stages</w:t>
      </w:r>
      <w:r>
        <w:rPr>
          <w:i w:val="0"/>
          <w:color w:val="000000"/>
        </w:rPr>
        <w:t>—</w:t>
      </w:r>
      <w:r>
        <w:rPr>
          <w:rStyle w:val="charItals"/>
          <w:i/>
        </w:rPr>
        <w:t>working platform</w:t>
      </w:r>
    </w:p>
    <w:p w:rsidR="00B40966" w:rsidRDefault="00B40966">
      <w:pPr>
        <w:pStyle w:val="Amain"/>
      </w:pPr>
      <w:r>
        <w:tab/>
        <w:t>(12)</w:t>
      </w:r>
      <w:r>
        <w:tab/>
        <w:t>The working platform of this type of scaffolding shall be Oregon pine planks not less than 12 inches by 2 inches sectional dimensions and not more than 14 feet in length.</w:t>
      </w:r>
    </w:p>
    <w:p w:rsidR="00B40966" w:rsidRDefault="00B40966">
      <w:pPr>
        <w:pStyle w:val="Assectheading"/>
        <w:rPr>
          <w:i w:val="0"/>
        </w:rPr>
      </w:pPr>
      <w:r>
        <w:rPr>
          <w:rStyle w:val="charItals"/>
          <w:i/>
        </w:rPr>
        <w:t>Small flying stages</w:t>
      </w:r>
      <w:r>
        <w:rPr>
          <w:i w:val="0"/>
          <w:color w:val="000000"/>
        </w:rPr>
        <w:t>—</w:t>
      </w:r>
      <w:r>
        <w:rPr>
          <w:rStyle w:val="charItals"/>
          <w:i/>
        </w:rPr>
        <w:t>stage ropes</w:t>
      </w:r>
    </w:p>
    <w:p w:rsidR="00B40966" w:rsidRDefault="00B40966">
      <w:pPr>
        <w:pStyle w:val="Amain"/>
      </w:pPr>
      <w:r>
        <w:tab/>
        <w:t>(13)</w:t>
      </w:r>
      <w:r>
        <w:tab/>
        <w:t>The stage ropes shall be flexible steel wire ropes not less than 1 inch in circumference and shall be attached to planks by making 1 full turn around the plank, seizing the rope beneath the plank and stapling it in position at the sides of the plank.</w:t>
      </w:r>
    </w:p>
    <w:p w:rsidR="00B40966" w:rsidRDefault="00B40966">
      <w:pPr>
        <w:pStyle w:val="Amain"/>
      </w:pPr>
      <w:r>
        <w:tab/>
        <w:t>(14)</w:t>
      </w:r>
      <w:r>
        <w:tab/>
        <w:t>The stage ropes shall be attached to flexible steel wire tail ropes not less than 1</w:t>
      </w:r>
      <w:r>
        <w:rPr>
          <w:position w:val="6"/>
          <w:sz w:val="18"/>
        </w:rPr>
        <w:t>1</w:t>
      </w:r>
      <w:r>
        <w:t>/</w:t>
      </w:r>
      <w:r>
        <w:rPr>
          <w:sz w:val="18"/>
        </w:rPr>
        <w:t>4</w:t>
      </w:r>
      <w:r>
        <w:t xml:space="preserve"> inches in circumference and of sufficient length to pass over the bulwarks.</w:t>
      </w:r>
    </w:p>
    <w:p w:rsidR="00B40966" w:rsidRDefault="00B40966">
      <w:pPr>
        <w:pStyle w:val="Assectheading"/>
        <w:rPr>
          <w:i w:val="0"/>
        </w:rPr>
      </w:pPr>
      <w:r>
        <w:rPr>
          <w:rStyle w:val="charItals"/>
          <w:i/>
        </w:rPr>
        <w:t>Small flying stages</w:t>
      </w:r>
      <w:r>
        <w:rPr>
          <w:i w:val="0"/>
          <w:color w:val="000000"/>
        </w:rPr>
        <w:t>—</w:t>
      </w:r>
      <w:r>
        <w:rPr>
          <w:rStyle w:val="charItals"/>
          <w:i/>
        </w:rPr>
        <w:t>distance spars</w:t>
      </w:r>
    </w:p>
    <w:p w:rsidR="00B40966" w:rsidRDefault="00B40966">
      <w:pPr>
        <w:pStyle w:val="Amain"/>
      </w:pPr>
      <w:r>
        <w:tab/>
        <w:t>(15)</w:t>
      </w:r>
      <w:r>
        <w:tab/>
        <w:t>Small flying stages shall be provided with spars securely fixed to planks, and sufficiently long to ensure effective working conditions.</w:t>
      </w:r>
    </w:p>
    <w:p w:rsidR="00B40966" w:rsidRDefault="00B40966">
      <w:pPr>
        <w:pStyle w:val="Assectheading"/>
        <w:rPr>
          <w:i w:val="0"/>
        </w:rPr>
      </w:pPr>
      <w:r>
        <w:rPr>
          <w:rStyle w:val="charItals"/>
          <w:i/>
        </w:rPr>
        <w:t>Small flying stages</w:t>
      </w:r>
      <w:r>
        <w:rPr>
          <w:i w:val="0"/>
          <w:color w:val="000000"/>
        </w:rPr>
        <w:t>—</w:t>
      </w:r>
      <w:r>
        <w:rPr>
          <w:rStyle w:val="charItals"/>
          <w:i/>
        </w:rPr>
        <w:t>life-lines</w:t>
      </w:r>
    </w:p>
    <w:p w:rsidR="00B40966" w:rsidRDefault="00B40966">
      <w:pPr>
        <w:pStyle w:val="Amain"/>
      </w:pPr>
      <w:r>
        <w:tab/>
        <w:t>(16)</w:t>
      </w:r>
      <w:r>
        <w:tab/>
        <w:t>When it is necessary for workers to work standing on small flying stages an efficient life-line shall be provided.</w:t>
      </w:r>
    </w:p>
    <w:p w:rsidR="00B40966" w:rsidRDefault="00B40966">
      <w:pPr>
        <w:pStyle w:val="Assectheading"/>
        <w:rPr>
          <w:i w:val="0"/>
        </w:rPr>
      </w:pPr>
      <w:r>
        <w:rPr>
          <w:rStyle w:val="charItals"/>
          <w:i/>
        </w:rPr>
        <w:t>Small flying stages</w:t>
      </w:r>
      <w:r>
        <w:rPr>
          <w:i w:val="0"/>
          <w:color w:val="000000"/>
        </w:rPr>
        <w:t>—</w:t>
      </w:r>
      <w:r>
        <w:rPr>
          <w:rStyle w:val="charItals"/>
          <w:i/>
        </w:rPr>
        <w:t>restriction of use</w:t>
      </w:r>
    </w:p>
    <w:p w:rsidR="00B40966" w:rsidRDefault="00B40966">
      <w:pPr>
        <w:pStyle w:val="Amain"/>
      </w:pPr>
      <w:r>
        <w:tab/>
        <w:t>(17)</w:t>
      </w:r>
      <w:r>
        <w:tab/>
        <w:t>A small flying stage shall not be used in any operation in which power operated tools are employed.</w:t>
      </w:r>
    </w:p>
    <w:p w:rsidR="00B40966" w:rsidRDefault="00B40966">
      <w:pPr>
        <w:pStyle w:val="Assectheading"/>
        <w:rPr>
          <w:color w:val="000000"/>
        </w:rPr>
      </w:pPr>
      <w:r>
        <w:rPr>
          <w:rStyle w:val="charItals"/>
          <w:i/>
        </w:rPr>
        <w:t>Suspended stages for engineers and boilermakers</w:t>
      </w:r>
      <w:r>
        <w:rPr>
          <w:i w:val="0"/>
          <w:color w:val="000000"/>
        </w:rPr>
        <w:t>—</w:t>
      </w:r>
      <w:r>
        <w:rPr>
          <w:color w:val="000000"/>
        </w:rPr>
        <w:t>general</w:t>
      </w:r>
    </w:p>
    <w:p w:rsidR="00B40966" w:rsidRDefault="00B40966">
      <w:pPr>
        <w:pStyle w:val="Amain"/>
        <w:rPr>
          <w:color w:val="000000"/>
        </w:rPr>
      </w:pPr>
      <w:r>
        <w:rPr>
          <w:color w:val="000000"/>
        </w:rPr>
        <w:tab/>
        <w:t>(18)</w:t>
      </w:r>
      <w:r>
        <w:rPr>
          <w:color w:val="000000"/>
        </w:rPr>
        <w:tab/>
        <w:t>All suspended stages for the use of engineers and boilermakers shall be so designed and constructed as to bear not less than 3 times the weight of the load to be put on them.</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suspension</w:t>
      </w:r>
    </w:p>
    <w:p w:rsidR="00B40966" w:rsidRDefault="00B40966">
      <w:pPr>
        <w:pStyle w:val="Amain"/>
      </w:pPr>
      <w:r>
        <w:tab/>
        <w:t>(19)</w:t>
      </w:r>
      <w:r>
        <w:tab/>
        <w:t>This type of stage must be suspended from overhead catheads or needles of adequate strength properly lashed or otherwise securely and safely fixed in position.</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working platform</w:t>
      </w:r>
    </w:p>
    <w:p w:rsidR="00B40966" w:rsidRDefault="00B40966">
      <w:pPr>
        <w:pStyle w:val="Amain"/>
      </w:pPr>
      <w:r>
        <w:tab/>
        <w:t>(20)</w:t>
      </w:r>
      <w:r>
        <w:tab/>
        <w:t>The working platform of this type of scaffolding shall comprise Oregon pine planks not less than 12 inches by 3 inches free from knots and shakes.</w:t>
      </w:r>
    </w:p>
    <w:p w:rsidR="00B40966" w:rsidRDefault="00B40966">
      <w:pPr>
        <w:pStyle w:val="Amain"/>
      </w:pPr>
      <w:r>
        <w:tab/>
        <w:t>(21)</w:t>
      </w:r>
      <w:r>
        <w:tab/>
        <w:t>It shall be supported at intervals of not more than 14 feet and shall be not less than 2 planks in width.</w:t>
      </w:r>
    </w:p>
    <w:p w:rsidR="00B40966" w:rsidRDefault="00B40966">
      <w:pPr>
        <w:pStyle w:val="Amain"/>
      </w:pPr>
      <w:r>
        <w:tab/>
        <w:t>(22)</w:t>
      </w:r>
      <w:r>
        <w:tab/>
        <w:t>Planks shall lap at least 4 feet.</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platform bearers</w:t>
      </w:r>
    </w:p>
    <w:p w:rsidR="00B40966" w:rsidRDefault="00B40966">
      <w:pPr>
        <w:pStyle w:val="Amain"/>
      </w:pPr>
      <w:r>
        <w:tab/>
        <w:t>(23)</w:t>
      </w:r>
      <w:r>
        <w:tab/>
        <w:t>Platform spawls or bearers shall be of Oregon pine or other approved timber not less than 6 inches by 6 inches sectional dimensions.</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supporting ropes</w:t>
      </w:r>
    </w:p>
    <w:p w:rsidR="00B40966" w:rsidRDefault="00B40966">
      <w:pPr>
        <w:pStyle w:val="Amain"/>
      </w:pPr>
      <w:r>
        <w:tab/>
        <w:t>(24)</w:t>
      </w:r>
      <w:r>
        <w:tab/>
        <w:t>The supporting ropes for this type of stage shall be flexible steel wire ropes not less than 1</w:t>
      </w:r>
      <w:r>
        <w:rPr>
          <w:position w:val="6"/>
          <w:sz w:val="18"/>
        </w:rPr>
        <w:t>1</w:t>
      </w:r>
      <w:r>
        <w:t>/</w:t>
      </w:r>
      <w:r>
        <w:rPr>
          <w:sz w:val="18"/>
        </w:rPr>
        <w:t>2</w:t>
      </w:r>
      <w:r>
        <w:t xml:space="preserve"> inches in circumference.</w:t>
      </w:r>
    </w:p>
    <w:p w:rsidR="00B40966" w:rsidRDefault="00B40966">
      <w:pPr>
        <w:pStyle w:val="Amain"/>
      </w:pPr>
      <w:r>
        <w:tab/>
        <w:t>(25)</w:t>
      </w:r>
      <w:r>
        <w:tab/>
        <w:t>They shall be secured to the overhead needles or catheads and to the plank spawls or bearers.</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life-lines</w:t>
      </w:r>
    </w:p>
    <w:p w:rsidR="00B40966" w:rsidRDefault="00B40966">
      <w:pPr>
        <w:pStyle w:val="Amain"/>
      </w:pPr>
      <w:r>
        <w:tab/>
        <w:t>(26)</w:t>
      </w:r>
      <w:r>
        <w:tab/>
        <w:t>If the use of life-lines will not interfere with the operations being carried on and workers have to work standing on a stage, life-lines of not less than 2</w:t>
      </w:r>
      <w:r>
        <w:rPr>
          <w:position w:val="6"/>
          <w:sz w:val="18"/>
        </w:rPr>
        <w:t>1</w:t>
      </w:r>
      <w:r>
        <w:t>/</w:t>
      </w:r>
      <w:r>
        <w:rPr>
          <w:sz w:val="18"/>
        </w:rPr>
        <w:t>2</w:t>
      </w:r>
      <w:r>
        <w:t xml:space="preserve"> inches circumference fibre rope shall be effectively lashed to the supporting ropes or to special stanchions by means of rope lanyards 1</w:t>
      </w:r>
      <w:r>
        <w:rPr>
          <w:position w:val="6"/>
          <w:sz w:val="18"/>
        </w:rPr>
        <w:t>1</w:t>
      </w:r>
      <w:r>
        <w:t>/</w:t>
      </w:r>
      <w:r>
        <w:rPr>
          <w:sz w:val="18"/>
        </w:rPr>
        <w:t>2</w:t>
      </w:r>
      <w:r>
        <w:t xml:space="preserve"> inches in circumference.</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guys</w:t>
      </w:r>
    </w:p>
    <w:p w:rsidR="00B40966" w:rsidRDefault="00B40966">
      <w:pPr>
        <w:pStyle w:val="Amain"/>
      </w:pPr>
      <w:r>
        <w:tab/>
        <w:t>(27)</w:t>
      </w:r>
      <w:r>
        <w:tab/>
        <w:t>Guy ropes of adequate strength and sufficient in number shall be used to secure proper steadiness of every such stage.</w:t>
      </w:r>
    </w:p>
    <w:p w:rsidR="00B40966" w:rsidRDefault="00B40966">
      <w:pPr>
        <w:pStyle w:val="Assectheading"/>
        <w:rPr>
          <w:color w:val="000000"/>
        </w:rPr>
      </w:pPr>
      <w:r>
        <w:rPr>
          <w:rStyle w:val="charItals"/>
          <w:i/>
        </w:rPr>
        <w:t>Suspended stages for engineers and boilermakers</w:t>
      </w:r>
      <w:r>
        <w:rPr>
          <w:i w:val="0"/>
          <w:color w:val="000000"/>
        </w:rPr>
        <w:t>—</w:t>
      </w:r>
      <w:r>
        <w:rPr>
          <w:rStyle w:val="charItals"/>
          <w:i/>
        </w:rPr>
        <w:t>smaller stages</w:t>
      </w:r>
    </w:p>
    <w:p w:rsidR="00B40966" w:rsidRDefault="00B40966">
      <w:pPr>
        <w:pStyle w:val="Amain"/>
      </w:pPr>
      <w:r>
        <w:tab/>
        <w:t>(28)</w:t>
      </w:r>
      <w:r>
        <w:tab/>
        <w:t>Stages in which the distance between supports is appreciably less than provided for in this section may have planks and spawls of lesser dimensions than provided for in this section subject to the scaffolding having a strength equivalent to the scaffolding covered by this section.</w:t>
      </w:r>
    </w:p>
    <w:p w:rsidR="00B40966" w:rsidRDefault="00B40966">
      <w:pPr>
        <w:pStyle w:val="Assectheading"/>
        <w:rPr>
          <w:color w:val="000000"/>
        </w:rPr>
      </w:pPr>
      <w:r>
        <w:rPr>
          <w:rStyle w:val="charItals"/>
          <w:i/>
        </w:rPr>
        <w:t>Engineers and boilermakers trestle scaffolds</w:t>
      </w:r>
    </w:p>
    <w:p w:rsidR="00B40966" w:rsidRDefault="00B40966">
      <w:pPr>
        <w:pStyle w:val="Amain"/>
      </w:pPr>
      <w:r>
        <w:rPr>
          <w:color w:val="000000"/>
        </w:rPr>
        <w:tab/>
        <w:t>(29)</w:t>
      </w:r>
      <w:r>
        <w:rPr>
          <w:color w:val="000000"/>
        </w:rPr>
        <w:tab/>
        <w:t>Trestles conforming to the requirements of this regulation may be used for supporting a working platform of adequate strength for engineers and boilermakers.</w:t>
      </w:r>
    </w:p>
    <w:p w:rsidR="00B40966" w:rsidRDefault="00B40966">
      <w:pPr>
        <w:pStyle w:val="Assectheading"/>
        <w:rPr>
          <w:i w:val="0"/>
          <w:color w:val="000000"/>
        </w:rPr>
      </w:pPr>
      <w:r>
        <w:rPr>
          <w:rStyle w:val="charItals"/>
          <w:i/>
        </w:rPr>
        <w:t>Access to Stages</w:t>
      </w:r>
    </w:p>
    <w:p w:rsidR="00B40966" w:rsidRDefault="00B40966">
      <w:pPr>
        <w:pStyle w:val="Amain"/>
      </w:pPr>
      <w:r>
        <w:rPr>
          <w:color w:val="000000"/>
        </w:rPr>
        <w:tab/>
        <w:t>(30)</w:t>
      </w:r>
      <w:r>
        <w:rPr>
          <w:color w:val="000000"/>
        </w:rPr>
        <w:tab/>
        <w:t>Safe means of access shall be provided to all stages used on ships in dock or on slips.</w:t>
      </w:r>
    </w:p>
    <w:p w:rsidR="00B40966" w:rsidRDefault="00B40966">
      <w:pPr>
        <w:pStyle w:val="Amain"/>
      </w:pPr>
      <w:r>
        <w:tab/>
        <w:t>(31)</w:t>
      </w:r>
      <w:r>
        <w:tab/>
        <w:t>If a builders’ ladder is used as a means of access, it shall extend to a height of at least 3 feet 6 inches above the place of landing for persons using the ladder.</w:t>
      </w:r>
    </w:p>
    <w:p w:rsidR="00B40966" w:rsidRDefault="00B40966">
      <w:pPr>
        <w:pStyle w:val="AH4SubDiv"/>
      </w:pPr>
      <w:bookmarkStart w:id="171" w:name="_Toc87258029"/>
      <w:r>
        <w:t>Runs and ramps</w:t>
      </w:r>
      <w:bookmarkEnd w:id="171"/>
    </w:p>
    <w:p w:rsidR="00B40966" w:rsidRDefault="00B40966">
      <w:pPr>
        <w:pStyle w:val="AH5Sec"/>
      </w:pPr>
      <w:bookmarkStart w:id="172" w:name="_Toc87258030"/>
      <w:r>
        <w:rPr>
          <w:rStyle w:val="CharSectNo"/>
        </w:rPr>
        <w:t>94</w:t>
      </w:r>
      <w:bookmarkEnd w:id="172"/>
      <w:r>
        <w:tab/>
        <w:t xml:space="preserve">  </w:t>
      </w:r>
    </w:p>
    <w:p w:rsidR="00B40966" w:rsidRDefault="00B40966">
      <w:pPr>
        <w:pStyle w:val="Amain"/>
      </w:pPr>
      <w:r>
        <w:tab/>
        <w:t>(1)</w:t>
      </w:r>
      <w:r>
        <w:tab/>
        <w:t>All runs, ramps, gangways and similar structures used as a means of communication in building work shall be of sound material, good construction, adequate strength, free from patent defects and be safe for the purposes for which they are intended.</w:t>
      </w:r>
    </w:p>
    <w:p w:rsidR="00B40966" w:rsidRDefault="00B40966">
      <w:pPr>
        <w:pStyle w:val="Amain"/>
      </w:pPr>
      <w:r>
        <w:tab/>
        <w:t>(2)</w:t>
      </w:r>
      <w:r>
        <w:tab/>
        <w:t>They shall be constructed of timber planks not less than 10 inches by 2 inches sectional dimensions and shall be not less than 2 feet 6 inches wide.</w:t>
      </w:r>
    </w:p>
    <w:p w:rsidR="00B40966" w:rsidRDefault="00B40966">
      <w:pPr>
        <w:pStyle w:val="Amain"/>
      </w:pPr>
      <w:r>
        <w:tab/>
        <w:t>(3)</w:t>
      </w:r>
      <w:r>
        <w:tab/>
        <w:t>When the planks overlap, the plank that runs from below shall be placed so that it laps over the one running from above.</w:t>
      </w:r>
    </w:p>
    <w:p w:rsidR="00B40966" w:rsidRDefault="00B40966">
      <w:pPr>
        <w:pStyle w:val="Amain"/>
      </w:pPr>
      <w:r>
        <w:tab/>
        <w:t>(4)</w:t>
      </w:r>
      <w:r>
        <w:tab/>
        <w:t>Such planks shall be positively fixed in position.</w:t>
      </w:r>
    </w:p>
    <w:p w:rsidR="00B40966" w:rsidRDefault="00B40966">
      <w:pPr>
        <w:pStyle w:val="Amain"/>
      </w:pPr>
      <w:r>
        <w:tab/>
        <w:t>(5)</w:t>
      </w:r>
      <w:r>
        <w:tab/>
        <w:t>The supports for the planks shall be of adequate strength and shall be effectively braced.</w:t>
      </w:r>
    </w:p>
    <w:p w:rsidR="00B40966" w:rsidRDefault="00B40966">
      <w:pPr>
        <w:pStyle w:val="Amain"/>
      </w:pPr>
      <w:r>
        <w:tab/>
        <w:t>(6)</w:t>
      </w:r>
      <w:r>
        <w:tab/>
        <w:t>The construction of runs, ramps and gangways at an incline greater than 1 foot rise in 3 feet is prohibited.</w:t>
      </w:r>
    </w:p>
    <w:p w:rsidR="00B40966" w:rsidRDefault="00B40966">
      <w:pPr>
        <w:pStyle w:val="Amain"/>
      </w:pPr>
      <w:r>
        <w:tab/>
        <w:t>(7)</w:t>
      </w:r>
      <w:r>
        <w:tab/>
        <w:t>The planks of runs, ramps and gangways shall be cleated or otherwise fastened together to prevent unequal sagging.</w:t>
      </w:r>
    </w:p>
    <w:p w:rsidR="00B40966" w:rsidRDefault="00B40966">
      <w:pPr>
        <w:pStyle w:val="Amain"/>
      </w:pPr>
      <w:r>
        <w:tab/>
        <w:t>(8)</w:t>
      </w:r>
      <w:r>
        <w:tab/>
        <w:t>If runs, ramps and gangways are more than 8 feet in height, the outside edges at least shall be provided with guardrails and toe boards.</w:t>
      </w:r>
    </w:p>
    <w:p w:rsidR="00B40966" w:rsidRDefault="00B40966">
      <w:pPr>
        <w:pStyle w:val="PageBreak"/>
      </w:pPr>
      <w:r>
        <w:br w:type="page"/>
      </w:r>
    </w:p>
    <w:p w:rsidR="00B40966" w:rsidRDefault="00B40966">
      <w:pPr>
        <w:pStyle w:val="AH2Part"/>
      </w:pPr>
      <w:bookmarkStart w:id="173" w:name="_Toc87258031"/>
      <w:r>
        <w:rPr>
          <w:rStyle w:val="CharPartNo"/>
        </w:rPr>
        <w:t>Part 7</w:t>
      </w:r>
      <w:r>
        <w:tab/>
      </w:r>
      <w:r>
        <w:rPr>
          <w:rStyle w:val="CharPartText"/>
        </w:rPr>
        <w:t>Safeguards and measures to be taken for securing the safety and health of persons engaged in excavation work</w:t>
      </w:r>
      <w:bookmarkEnd w:id="173"/>
    </w:p>
    <w:p w:rsidR="00B40966" w:rsidRDefault="00B40966">
      <w:pPr>
        <w:pStyle w:val="AH3Div"/>
      </w:pPr>
      <w:bookmarkStart w:id="174" w:name="_Toc87258032"/>
      <w:r>
        <w:rPr>
          <w:rStyle w:val="CharDivNo"/>
        </w:rPr>
        <w:t>Division 7.1</w:t>
      </w:r>
      <w:r>
        <w:rPr>
          <w:rStyle w:val="CharDivNo"/>
        </w:rPr>
        <w:tab/>
      </w:r>
      <w:r>
        <w:rPr>
          <w:rStyle w:val="CharDivText"/>
        </w:rPr>
        <w:t>General</w:t>
      </w:r>
      <w:bookmarkEnd w:id="174"/>
    </w:p>
    <w:p w:rsidR="00B40966" w:rsidRDefault="00B40966">
      <w:pPr>
        <w:pStyle w:val="AH5Sec"/>
      </w:pPr>
      <w:bookmarkStart w:id="175" w:name="_Toc87258033"/>
      <w:r>
        <w:rPr>
          <w:rStyle w:val="CharSectNo"/>
        </w:rPr>
        <w:t>95</w:t>
      </w:r>
      <w:bookmarkEnd w:id="175"/>
      <w:r>
        <w:tab/>
        <w:t xml:space="preserve">  </w:t>
      </w:r>
    </w:p>
    <w:p w:rsidR="00B40966" w:rsidRDefault="00B40966">
      <w:pPr>
        <w:pStyle w:val="Amain"/>
        <w:rPr>
          <w:color w:val="000000"/>
        </w:rPr>
      </w:pPr>
      <w:r>
        <w:rPr>
          <w:color w:val="000000"/>
        </w:rPr>
        <w:tab/>
        <w:t>(1)</w:t>
      </w:r>
      <w:r>
        <w:rPr>
          <w:color w:val="000000"/>
        </w:rPr>
        <w:tab/>
        <w:t>An adequate supply of timber of the required dimensions, or other approved material, shall if necessary be provided and used to prevent, so far as is reasonably practicable and as early as is reasonably practicable in the course of the work, danger to any person employed from a fall or dislodgment of earth, rock or other material forming the side of or adjacent to any excavation work.</w:t>
      </w:r>
    </w:p>
    <w:p w:rsidR="00B40966" w:rsidRDefault="00B40966">
      <w:pPr>
        <w:pStyle w:val="Amain"/>
        <w:rPr>
          <w:color w:val="000000"/>
        </w:rPr>
      </w:pPr>
      <w:r>
        <w:rPr>
          <w:color w:val="000000"/>
        </w:rPr>
        <w:tab/>
        <w:t>(2)</w:t>
      </w:r>
      <w:r>
        <w:rPr>
          <w:color w:val="000000"/>
        </w:rPr>
        <w:tab/>
        <w:t>In addition to any other examination necessary to ensure compliance with this regulation, every part of an excavation work, other than a part to which subsection (3) (a) applies, shall be specially examined before any person works in it and afterwards at least once in every period of 7 days for the purpose of ensuring compliance with this regulation and in particular to see that timber and other supports are adequate, properly secured and in good condition.</w:t>
      </w:r>
    </w:p>
    <w:p w:rsidR="00B40966" w:rsidRDefault="00B40966">
      <w:pPr>
        <w:pStyle w:val="Amain"/>
      </w:pPr>
      <w:r>
        <w:rPr>
          <w:color w:val="000000"/>
        </w:rPr>
        <w:tab/>
        <w:t>(3)</w:t>
      </w:r>
      <w:r>
        <w:rPr>
          <w:color w:val="000000"/>
        </w:rPr>
        <w:tab/>
        <w:t>However—</w:t>
      </w:r>
    </w:p>
    <w:p w:rsidR="00B40966" w:rsidRDefault="00B40966">
      <w:pPr>
        <w:pStyle w:val="Apara"/>
      </w:pPr>
      <w:r>
        <w:tab/>
        <w:t>(a)</w:t>
      </w:r>
      <w:r>
        <w:tab/>
        <w:t>subsections (1) and (2) shall not apply if, having regard to the nature and slope of the side of the excavation and other circumstances, no fall or dislodgment of earth or other material so as to bury or trap a person employed, or so as to strike a person employed from a height of more than 5 feet is liable to occur; and</w:t>
      </w:r>
    </w:p>
    <w:p w:rsidR="00B40966" w:rsidRDefault="00B40966">
      <w:pPr>
        <w:pStyle w:val="Apara"/>
        <w:keepLines/>
      </w:pPr>
      <w:r>
        <w:tab/>
        <w:t>(b)</w:t>
      </w:r>
      <w:r>
        <w:tab/>
        <w:t>subsections (1) and (2) shall not apply in relation to a person actually engaged in timbering or other work (including an examination as mentioned in subsection (2)) that is being carried out for the purpose of compliance with subsections (1) and (2), if appropriate precautions are taken to ensure his or her safety as far as circumstances permit; and</w:t>
      </w:r>
    </w:p>
    <w:p w:rsidR="00B40966" w:rsidRDefault="00B40966">
      <w:pPr>
        <w:pStyle w:val="Apara"/>
      </w:pPr>
      <w:r>
        <w:tab/>
        <w:t>(c)</w:t>
      </w:r>
      <w:r>
        <w:tab/>
        <w:t>the requirement in subsection (2) as to a special examination once in every 7 days shall not apply until the work has been in progress for a period of 5 working days (whether continuous or not).</w:t>
      </w:r>
    </w:p>
    <w:p w:rsidR="00B40966" w:rsidRDefault="00B40966">
      <w:pPr>
        <w:pStyle w:val="Amain"/>
      </w:pPr>
      <w:r>
        <w:rPr>
          <w:color w:val="000000"/>
        </w:rPr>
        <w:tab/>
        <w:t>(4)</w:t>
      </w:r>
      <w:r>
        <w:rPr>
          <w:color w:val="000000"/>
        </w:rPr>
        <w:tab/>
        <w:t>No excavation work that is likely to reduce, so as to endanger any person employed, the security or stability of any part of any building or structure, whether temporary or permanent, shall be begun or continued unless adequate steps are taken before and during the progress of the work to prevent danger to any person employed from collapse of the building or structure or the fall of any part of it.</w:t>
      </w:r>
    </w:p>
    <w:p w:rsidR="00B40966" w:rsidRDefault="00B40966">
      <w:pPr>
        <w:pStyle w:val="Amain"/>
      </w:pPr>
      <w:r>
        <w:rPr>
          <w:color w:val="000000"/>
        </w:rPr>
        <w:tab/>
        <w:t>(5)</w:t>
      </w:r>
      <w:r>
        <w:rPr>
          <w:color w:val="000000"/>
        </w:rPr>
        <w:tab/>
        <w:t>Timbering used to retain or support any part of an excavation work shall be of good construction, sound material and adequate strength for the purpose for which it is used.</w:t>
      </w:r>
    </w:p>
    <w:p w:rsidR="00B40966" w:rsidRDefault="00B40966">
      <w:pPr>
        <w:pStyle w:val="Amain"/>
      </w:pPr>
      <w:r>
        <w:rPr>
          <w:color w:val="000000"/>
        </w:rPr>
        <w:tab/>
        <w:t>(6)</w:t>
      </w:r>
      <w:r>
        <w:rPr>
          <w:color w:val="000000"/>
        </w:rPr>
        <w:tab/>
        <w:t>If any timbering used to retain or support any part of an excavation work is liable to inward movement at the bottom and bracing or strutting at the bottom is not practicable, the timbering shall be adequately strutted or braced at a higher level so as to prevent such movement.</w:t>
      </w:r>
    </w:p>
    <w:p w:rsidR="00B40966" w:rsidRDefault="00B40966">
      <w:pPr>
        <w:pStyle w:val="Amain"/>
      </w:pPr>
      <w:r>
        <w:rPr>
          <w:color w:val="000000"/>
        </w:rPr>
        <w:tab/>
        <w:t>(7)</w:t>
      </w:r>
      <w:r>
        <w:rPr>
          <w:color w:val="000000"/>
        </w:rPr>
        <w:tab/>
        <w:t>All struts, braces and walings in any excavation work shall be properly and adequately secured so as to prevent their accidental displacement or fall.</w:t>
      </w:r>
    </w:p>
    <w:p w:rsidR="00B40966" w:rsidRDefault="00B40966">
      <w:pPr>
        <w:pStyle w:val="Amain"/>
      </w:pPr>
      <w:r>
        <w:rPr>
          <w:color w:val="000000"/>
        </w:rPr>
        <w:tab/>
        <w:t>(8)</w:t>
      </w:r>
      <w:r>
        <w:rPr>
          <w:color w:val="000000"/>
        </w:rPr>
        <w:tab/>
        <w:t>Safe means of access shall be provided to every place where persons are employed in an excavation work.</w:t>
      </w:r>
    </w:p>
    <w:p w:rsidR="00B40966" w:rsidRDefault="00B40966">
      <w:pPr>
        <w:pStyle w:val="Amain"/>
        <w:keepLines/>
      </w:pPr>
      <w:r>
        <w:rPr>
          <w:color w:val="000000"/>
        </w:rPr>
        <w:tab/>
        <w:t>(9)</w:t>
      </w:r>
      <w:r>
        <w:rPr>
          <w:color w:val="000000"/>
        </w:rPr>
        <w:tab/>
        <w:t>If there is reason to apprehend danger to persons employed in any excavation work due to rising water or from an irruption of water or material, there shall be provided means to enable every person to reach a position of safety.</w:t>
      </w:r>
    </w:p>
    <w:p w:rsidR="00B40966" w:rsidRDefault="00B40966">
      <w:pPr>
        <w:pStyle w:val="Amain"/>
        <w:rPr>
          <w:color w:val="000000"/>
        </w:rPr>
      </w:pPr>
      <w:r>
        <w:rPr>
          <w:color w:val="000000"/>
        </w:rPr>
        <w:tab/>
        <w:t>(10)</w:t>
      </w:r>
      <w:r>
        <w:rPr>
          <w:color w:val="000000"/>
        </w:rPr>
        <w:tab/>
        <w:t>If persons are employed in a shift and other persons are working above them, there shall be provided as early as is reasonably practicable an effective diaphragm to prevent the firstmentioned persons from being struck by tools or other objects falling from the place where the other persons are working.</w:t>
      </w:r>
    </w:p>
    <w:p w:rsidR="00B40966" w:rsidRDefault="00B40966">
      <w:pPr>
        <w:pStyle w:val="Amain"/>
      </w:pPr>
      <w:r>
        <w:rPr>
          <w:color w:val="000000"/>
        </w:rPr>
        <w:tab/>
        <w:t>(11)</w:t>
      </w:r>
      <w:r>
        <w:rPr>
          <w:color w:val="000000"/>
        </w:rPr>
        <w:tab/>
        <w:t>The doors in the diaphragms shall be as small as practicable, shall open upwards and shall be kept closed except when necessarily open for the passage of persons and gear.</w:t>
      </w:r>
    </w:p>
    <w:p w:rsidR="00B40966" w:rsidRDefault="00B40966">
      <w:pPr>
        <w:pStyle w:val="Amain"/>
      </w:pPr>
      <w:r>
        <w:rPr>
          <w:color w:val="000000"/>
        </w:rPr>
        <w:tab/>
        <w:t>(12)</w:t>
      </w:r>
      <w:r>
        <w:rPr>
          <w:color w:val="000000"/>
        </w:rPr>
        <w:tab/>
        <w:t>Every accessible part of an excavation work into which a person is liable to fall a distance of more than 6 feet shall be provided with a suitable barrier to a height of at least 3 feet and as close as is reasonably practicable to the edge.</w:t>
      </w:r>
    </w:p>
    <w:p w:rsidR="00B40966" w:rsidRDefault="00B40966">
      <w:pPr>
        <w:pStyle w:val="Amain"/>
      </w:pPr>
      <w:r>
        <w:tab/>
        <w:t>(13)</w:t>
      </w:r>
      <w:r>
        <w:tab/>
        <w:t>However, subsection (12) shall not apply to any part of an excavation work while (and to the extent to which) the absence of the barrier is necessary for the access of persons or for the movement of plant, gear, or materials or while (and to the extent to which) it has not yet been practicable to erect the barrier since the formation of that part of the excavation work.</w:t>
      </w:r>
    </w:p>
    <w:p w:rsidR="00B40966" w:rsidRDefault="00B40966">
      <w:pPr>
        <w:pStyle w:val="Amain"/>
      </w:pPr>
      <w:r>
        <w:rPr>
          <w:color w:val="000000"/>
        </w:rPr>
        <w:tab/>
        <w:t>(14)</w:t>
      </w:r>
      <w:r>
        <w:rPr>
          <w:color w:val="000000"/>
        </w:rPr>
        <w:tab/>
        <w:t>Material shall not be placed or stacked near the edge of any excavation work so as to endanger persons employed below.</w:t>
      </w:r>
    </w:p>
    <w:p w:rsidR="00B40966" w:rsidRDefault="00B40966">
      <w:pPr>
        <w:pStyle w:val="Amain"/>
      </w:pPr>
      <w:r>
        <w:tab/>
        <w:t>(15)</w:t>
      </w:r>
      <w:r>
        <w:tab/>
        <w:t>No load shall be placed or moved near the edge of any excavation work where it is likely to cause a collapse of the side of the excavation work and thereby endanger any person.</w:t>
      </w:r>
    </w:p>
    <w:p w:rsidR="00B40966" w:rsidRDefault="00B40966">
      <w:pPr>
        <w:pStyle w:val="AH3Div"/>
      </w:pPr>
      <w:bookmarkStart w:id="176" w:name="_Toc87258034"/>
      <w:r>
        <w:rPr>
          <w:rStyle w:val="CharDivNo"/>
        </w:rPr>
        <w:t>Division 7.2</w:t>
      </w:r>
      <w:r>
        <w:rPr>
          <w:rStyle w:val="CharDivNo"/>
        </w:rPr>
        <w:tab/>
      </w:r>
      <w:r>
        <w:rPr>
          <w:rStyle w:val="CharDivText"/>
        </w:rPr>
        <w:t>Cofferdams and caissons</w:t>
      </w:r>
      <w:bookmarkEnd w:id="176"/>
    </w:p>
    <w:p w:rsidR="00B40966" w:rsidRDefault="00B40966">
      <w:pPr>
        <w:pStyle w:val="AH5Sec"/>
      </w:pPr>
      <w:bookmarkStart w:id="177" w:name="_Toc87258035"/>
      <w:r>
        <w:rPr>
          <w:rStyle w:val="CharSectNo"/>
        </w:rPr>
        <w:t>96</w:t>
      </w:r>
      <w:bookmarkEnd w:id="177"/>
      <w:r>
        <w:tab/>
        <w:t xml:space="preserve">  </w:t>
      </w:r>
    </w:p>
    <w:p w:rsidR="00B40966" w:rsidRDefault="00B40966">
      <w:pPr>
        <w:pStyle w:val="Amain"/>
      </w:pPr>
      <w:r>
        <w:rPr>
          <w:color w:val="000000"/>
        </w:rPr>
        <w:tab/>
        <w:t>(1)</w:t>
      </w:r>
      <w:r>
        <w:rPr>
          <w:color w:val="000000"/>
        </w:rPr>
        <w:tab/>
        <w:t>Every cofferdam or caisson and every part of it shall be of good construction, sound material, and adequate strength and shall be properly maintained.</w:t>
      </w:r>
    </w:p>
    <w:p w:rsidR="00B40966" w:rsidRDefault="00B40966">
      <w:pPr>
        <w:pStyle w:val="Amain"/>
      </w:pPr>
      <w:r>
        <w:rPr>
          <w:color w:val="000000"/>
        </w:rPr>
        <w:tab/>
        <w:t>(2)</w:t>
      </w:r>
      <w:r>
        <w:rPr>
          <w:color w:val="000000"/>
        </w:rPr>
        <w:tab/>
        <w:t>A cofferdam or caisson shall if necessary be specially secured in position so as to prevent movement in a way dangerous to persons employed.</w:t>
      </w:r>
    </w:p>
    <w:p w:rsidR="00B40966" w:rsidRDefault="00B40966">
      <w:pPr>
        <w:pStyle w:val="Amain"/>
      </w:pPr>
      <w:r>
        <w:rPr>
          <w:color w:val="000000"/>
        </w:rPr>
        <w:tab/>
        <w:t>(3)</w:t>
      </w:r>
      <w:r>
        <w:rPr>
          <w:color w:val="000000"/>
        </w:rPr>
        <w:tab/>
        <w:t>The bracings and ties of every cofferdam or caisson shall be properly and adequately secured to prevent their accidental displacement or fall.</w:t>
      </w:r>
    </w:p>
    <w:p w:rsidR="00B40966" w:rsidRDefault="00B40966">
      <w:pPr>
        <w:pStyle w:val="Amain"/>
      </w:pPr>
      <w:r>
        <w:rPr>
          <w:color w:val="000000"/>
        </w:rPr>
        <w:tab/>
        <w:t>(4)</w:t>
      </w:r>
      <w:r>
        <w:rPr>
          <w:color w:val="000000"/>
        </w:rPr>
        <w:tab/>
        <w:t>The person in charge of the work of constructing, placing in position, substantially adding to, altering, or dismantling a cofferdam or caisson, and as far as possible every worker employed for any such work, shall possess adequate experience of this kind of work.</w:t>
      </w:r>
    </w:p>
    <w:p w:rsidR="00B40966" w:rsidRDefault="00B40966">
      <w:pPr>
        <w:pStyle w:val="Amain"/>
      </w:pPr>
      <w:r>
        <w:rPr>
          <w:color w:val="000000"/>
        </w:rPr>
        <w:tab/>
        <w:t>(5)</w:t>
      </w:r>
      <w:r>
        <w:rPr>
          <w:color w:val="000000"/>
        </w:rPr>
        <w:tab/>
        <w:t>All material for the construction or fixing of a cofferdam or caisson shall be inspected on each occasion before being taken into use for such a purpose, and material that is unsuitable or defective in any respect shall not be so used.</w:t>
      </w:r>
    </w:p>
    <w:p w:rsidR="00B40966" w:rsidRDefault="00B40966">
      <w:pPr>
        <w:pStyle w:val="Amain"/>
      </w:pPr>
      <w:r>
        <w:rPr>
          <w:color w:val="000000"/>
        </w:rPr>
        <w:tab/>
        <w:t>(6)</w:t>
      </w:r>
      <w:r>
        <w:rPr>
          <w:color w:val="000000"/>
        </w:rPr>
        <w:tab/>
        <w:t>Safe means of access shall be provided to every place where persons are employed in a cofferdam or caisson.</w:t>
      </w:r>
    </w:p>
    <w:p w:rsidR="00B40966" w:rsidRDefault="00B40966">
      <w:pPr>
        <w:pStyle w:val="Amain"/>
      </w:pPr>
      <w:r>
        <w:rPr>
          <w:color w:val="000000"/>
        </w:rPr>
        <w:tab/>
        <w:t>(7)</w:t>
      </w:r>
      <w:r>
        <w:rPr>
          <w:color w:val="000000"/>
        </w:rPr>
        <w:tab/>
        <w:t>Adequate means for persons to reach places of safety shall be provided in every cofferdam or caisson in case of an inrush of water.</w:t>
      </w:r>
    </w:p>
    <w:p w:rsidR="00B40966" w:rsidRDefault="00B40966">
      <w:pPr>
        <w:pStyle w:val="AH3Div"/>
      </w:pPr>
      <w:bookmarkStart w:id="178" w:name="_Toc87258036"/>
      <w:r>
        <w:rPr>
          <w:rStyle w:val="CharDivNo"/>
        </w:rPr>
        <w:t>Division 7.3</w:t>
      </w:r>
      <w:r>
        <w:rPr>
          <w:rStyle w:val="CharDivNo"/>
        </w:rPr>
        <w:tab/>
      </w:r>
      <w:r>
        <w:rPr>
          <w:rStyle w:val="CharDivText"/>
        </w:rPr>
        <w:t>Trenches</w:t>
      </w:r>
      <w:bookmarkEnd w:id="178"/>
    </w:p>
    <w:p w:rsidR="00B40966" w:rsidRDefault="00B40966">
      <w:pPr>
        <w:pStyle w:val="AH5Sec"/>
      </w:pPr>
      <w:bookmarkStart w:id="179" w:name="_Toc87258037"/>
      <w:r>
        <w:rPr>
          <w:rStyle w:val="CharSectNo"/>
        </w:rPr>
        <w:t>97</w:t>
      </w:r>
      <w:bookmarkEnd w:id="179"/>
      <w:r>
        <w:tab/>
        <w:t xml:space="preserve">  </w:t>
      </w:r>
    </w:p>
    <w:p w:rsidR="00B40966" w:rsidRDefault="00B40966">
      <w:pPr>
        <w:pStyle w:val="Amain"/>
        <w:keepLines/>
        <w:rPr>
          <w:color w:val="000000"/>
        </w:rPr>
      </w:pPr>
      <w:r>
        <w:rPr>
          <w:color w:val="000000"/>
        </w:rPr>
        <w:tab/>
        <w:t>(1)</w:t>
      </w:r>
      <w:r>
        <w:rPr>
          <w:color w:val="000000"/>
        </w:rPr>
        <w:tab/>
        <w:t>All trenches of over 8 feet in length and 5 feet or more in depth in hard compact ground shall be braced at intervals not exceeding 6 feet with 6 inches by 1</w:t>
      </w:r>
      <w:r>
        <w:rPr>
          <w:color w:val="000000"/>
          <w:position w:val="6"/>
          <w:sz w:val="18"/>
        </w:rPr>
        <w:t>1</w:t>
      </w:r>
      <w:r>
        <w:rPr>
          <w:color w:val="000000"/>
        </w:rPr>
        <w:t>/</w:t>
      </w:r>
      <w:r>
        <w:rPr>
          <w:color w:val="000000"/>
          <w:sz w:val="18"/>
        </w:rPr>
        <w:t>4</w:t>
      </w:r>
      <w:r>
        <w:rPr>
          <w:color w:val="000000"/>
        </w:rPr>
        <w:t xml:space="preserve"> inches hardwood runners or heavier material, placed vertically in the trench opposite each other against the trench walls.</w:t>
      </w:r>
    </w:p>
    <w:p w:rsidR="00B40966" w:rsidRDefault="00B40966">
      <w:pPr>
        <w:pStyle w:val="Amain"/>
      </w:pPr>
      <w:r>
        <w:rPr>
          <w:color w:val="000000"/>
        </w:rPr>
        <w:tab/>
        <w:t>(2)</w:t>
      </w:r>
      <w:r>
        <w:rPr>
          <w:color w:val="000000"/>
        </w:rPr>
        <w:tab/>
        <w:t>The runners shall, if possible, extend to the bottom of the trench, otherwise as low as possible to clear the top of the pipe, sewer, conduit, or other material to be placed in the bottom of the trench.</w:t>
      </w:r>
    </w:p>
    <w:p w:rsidR="00B40966" w:rsidRDefault="00B40966">
      <w:pPr>
        <w:pStyle w:val="Amain"/>
      </w:pPr>
      <w:r>
        <w:rPr>
          <w:color w:val="000000"/>
        </w:rPr>
        <w:tab/>
        <w:t>(3)</w:t>
      </w:r>
      <w:r>
        <w:rPr>
          <w:color w:val="000000"/>
        </w:rPr>
        <w:tab/>
        <w:t>Runners shall be supported by walings placed horizontally and held in position by screw-jacks or by struts.</w:t>
      </w:r>
    </w:p>
    <w:p w:rsidR="00B40966" w:rsidRDefault="00B40966">
      <w:pPr>
        <w:pStyle w:val="Amain"/>
      </w:pPr>
      <w:r>
        <w:tab/>
        <w:t>(4)</w:t>
      </w:r>
      <w:r>
        <w:tab/>
        <w:t>Side and end walings abutting at the corners of excavations shall be joined by halving one to the other so that each waling will sustain its correct proportion of any external load imposed on them.</w:t>
      </w:r>
    </w:p>
    <w:p w:rsidR="00B40966" w:rsidRDefault="00B40966">
      <w:pPr>
        <w:pStyle w:val="Amain"/>
        <w:rPr>
          <w:color w:val="000000"/>
        </w:rPr>
      </w:pPr>
      <w:r>
        <w:rPr>
          <w:color w:val="000000"/>
        </w:rPr>
        <w:tab/>
        <w:t>(5)</w:t>
      </w:r>
      <w:r>
        <w:rPr>
          <w:color w:val="000000"/>
        </w:rPr>
        <w:tab/>
        <w:t>The cross-sectional dimensions of hardwood walings shall be not less than 6 inches by 3 inches.</w:t>
      </w:r>
    </w:p>
    <w:p w:rsidR="00B40966" w:rsidRDefault="00B40966">
      <w:pPr>
        <w:pStyle w:val="Amain"/>
      </w:pPr>
      <w:r>
        <w:rPr>
          <w:color w:val="000000"/>
        </w:rPr>
        <w:tab/>
        <w:t>(6)</w:t>
      </w:r>
      <w:r>
        <w:rPr>
          <w:color w:val="000000"/>
        </w:rPr>
        <w:tab/>
        <w:t>Walings of other materials or timbers shall be at least of equivalent strength to hardwood walings.</w:t>
      </w:r>
    </w:p>
    <w:p w:rsidR="00B40966" w:rsidRDefault="00B40966">
      <w:pPr>
        <w:pStyle w:val="Amain"/>
      </w:pPr>
      <w:r>
        <w:tab/>
        <w:t>(7)</w:t>
      </w:r>
      <w:r>
        <w:tab/>
        <w:t>Walings shall be spaced at not more than 3 feet apart measured vertically from centre to centre of walings.</w:t>
      </w:r>
    </w:p>
    <w:p w:rsidR="00B40966" w:rsidRDefault="00B40966">
      <w:pPr>
        <w:pStyle w:val="Amain"/>
      </w:pPr>
      <w:r>
        <w:rPr>
          <w:color w:val="000000"/>
        </w:rPr>
        <w:tab/>
        <w:t>(8)</w:t>
      </w:r>
      <w:r>
        <w:rPr>
          <w:color w:val="000000"/>
        </w:rPr>
        <w:tab/>
        <w:t>Struts or screw-jacks shall be spaced at not more than 6 feet apart except at the joints of walings where they must be closer.</w:t>
      </w:r>
    </w:p>
    <w:p w:rsidR="00B40966" w:rsidRDefault="00B40966">
      <w:pPr>
        <w:pStyle w:val="Amain"/>
        <w:keepNext/>
      </w:pPr>
      <w:r>
        <w:tab/>
        <w:t>(9)</w:t>
      </w:r>
      <w:r>
        <w:tab/>
        <w:t>The cross-sectional dimensions of struts relative to the width of a trench shall be not less than is shown in table 97</w:t>
      </w:r>
    </w:p>
    <w:p w:rsidR="00B40966" w:rsidRDefault="00B40966">
      <w:pPr>
        <w:pStyle w:val="TableHd"/>
        <w:ind w:hanging="516"/>
      </w:pPr>
      <w:r>
        <w:t>Table 97</w:t>
      </w:r>
    </w:p>
    <w:tbl>
      <w:tblPr>
        <w:tblW w:w="0" w:type="auto"/>
        <w:tblInd w:w="800" w:type="dxa"/>
        <w:tblLayout w:type="fixed"/>
        <w:tblCellMar>
          <w:left w:w="80" w:type="dxa"/>
          <w:right w:w="80" w:type="dxa"/>
        </w:tblCellMar>
        <w:tblLook w:val="0000" w:firstRow="0" w:lastRow="0" w:firstColumn="0" w:lastColumn="0" w:noHBand="0" w:noVBand="0"/>
      </w:tblPr>
      <w:tblGrid>
        <w:gridCol w:w="4125"/>
        <w:gridCol w:w="2595"/>
      </w:tblGrid>
      <w:tr w:rsidR="00B40966">
        <w:trPr>
          <w:cantSplit/>
        </w:trPr>
        <w:tc>
          <w:tcPr>
            <w:tcW w:w="4125" w:type="dxa"/>
            <w:tcBorders>
              <w:bottom w:val="single" w:sz="6" w:space="0" w:color="auto"/>
            </w:tcBorders>
          </w:tcPr>
          <w:p w:rsidR="00B40966" w:rsidRDefault="00B40966">
            <w:pPr>
              <w:pStyle w:val="TableColHd"/>
            </w:pPr>
            <w:r>
              <w:t>Width of trench</w:t>
            </w:r>
          </w:p>
        </w:tc>
        <w:tc>
          <w:tcPr>
            <w:tcW w:w="2595" w:type="dxa"/>
            <w:tcBorders>
              <w:bottom w:val="single" w:sz="6" w:space="0" w:color="auto"/>
            </w:tcBorders>
          </w:tcPr>
          <w:p w:rsidR="00B40966" w:rsidRDefault="00B40966">
            <w:pPr>
              <w:pStyle w:val="TableColHd"/>
            </w:pPr>
            <w:r>
              <w:t>Dimensions of strut</w:t>
            </w:r>
          </w:p>
        </w:tc>
      </w:tr>
      <w:tr w:rsidR="00B40966">
        <w:trPr>
          <w:cantSplit/>
        </w:trPr>
        <w:tc>
          <w:tcPr>
            <w:tcW w:w="4125" w:type="dxa"/>
            <w:tcBorders>
              <w:top w:val="single" w:sz="6" w:space="0" w:color="auto"/>
            </w:tcBorders>
          </w:tcPr>
          <w:p w:rsidR="00B40966" w:rsidRDefault="00B40966">
            <w:pPr>
              <w:pStyle w:val="TableText"/>
            </w:pPr>
            <w:r>
              <w:t>1 foot to 2 feet 11 inches</w:t>
            </w:r>
          </w:p>
        </w:tc>
        <w:tc>
          <w:tcPr>
            <w:tcW w:w="2595" w:type="dxa"/>
            <w:tcBorders>
              <w:top w:val="single" w:sz="6" w:space="0" w:color="auto"/>
            </w:tcBorders>
          </w:tcPr>
          <w:p w:rsidR="00B40966" w:rsidRDefault="00B40966">
            <w:pPr>
              <w:pStyle w:val="TableText"/>
            </w:pPr>
            <w:r>
              <w:t>4 inches by 3 inches</w:t>
            </w:r>
          </w:p>
        </w:tc>
      </w:tr>
      <w:tr w:rsidR="00B40966">
        <w:trPr>
          <w:cantSplit/>
        </w:trPr>
        <w:tc>
          <w:tcPr>
            <w:tcW w:w="4125" w:type="dxa"/>
          </w:tcPr>
          <w:p w:rsidR="00B40966" w:rsidRDefault="00B40966">
            <w:pPr>
              <w:pStyle w:val="TableText"/>
            </w:pPr>
            <w:r>
              <w:t>3 feet to 4 feet 11 inches</w:t>
            </w:r>
          </w:p>
        </w:tc>
        <w:tc>
          <w:tcPr>
            <w:tcW w:w="2595" w:type="dxa"/>
          </w:tcPr>
          <w:p w:rsidR="00B40966" w:rsidRDefault="00B40966">
            <w:pPr>
              <w:pStyle w:val="TableText"/>
            </w:pPr>
            <w:r>
              <w:t>6 inches by 3 inches</w:t>
            </w:r>
          </w:p>
        </w:tc>
      </w:tr>
      <w:tr w:rsidR="00B40966">
        <w:trPr>
          <w:cantSplit/>
        </w:trPr>
        <w:tc>
          <w:tcPr>
            <w:tcW w:w="4125" w:type="dxa"/>
          </w:tcPr>
          <w:p w:rsidR="00B40966" w:rsidRDefault="00B40966">
            <w:pPr>
              <w:pStyle w:val="TableText"/>
            </w:pPr>
            <w:r>
              <w:t>5 feet to 6 feet 11 inches</w:t>
            </w:r>
          </w:p>
        </w:tc>
        <w:tc>
          <w:tcPr>
            <w:tcW w:w="2595" w:type="dxa"/>
          </w:tcPr>
          <w:p w:rsidR="00B40966" w:rsidRDefault="00B40966">
            <w:pPr>
              <w:pStyle w:val="TableText"/>
            </w:pPr>
            <w:r>
              <w:t>6 inches by 4 inches</w:t>
            </w:r>
          </w:p>
        </w:tc>
      </w:tr>
      <w:tr w:rsidR="00B40966">
        <w:trPr>
          <w:cantSplit/>
        </w:trPr>
        <w:tc>
          <w:tcPr>
            <w:tcW w:w="4125" w:type="dxa"/>
          </w:tcPr>
          <w:p w:rsidR="00B40966" w:rsidRDefault="00B40966">
            <w:pPr>
              <w:pStyle w:val="TableText"/>
            </w:pPr>
            <w:r>
              <w:t>7 feet to 9 feet</w:t>
            </w:r>
          </w:p>
        </w:tc>
        <w:tc>
          <w:tcPr>
            <w:tcW w:w="2595" w:type="dxa"/>
          </w:tcPr>
          <w:p w:rsidR="00B40966" w:rsidRDefault="00B40966">
            <w:pPr>
              <w:pStyle w:val="TableText"/>
            </w:pPr>
            <w:r>
              <w:t>6 inches by 6 inches</w:t>
            </w:r>
          </w:p>
        </w:tc>
      </w:tr>
    </w:tbl>
    <w:p w:rsidR="00B40966" w:rsidRDefault="00B40966"/>
    <w:p w:rsidR="00B40966" w:rsidRDefault="00B40966">
      <w:pPr>
        <w:pStyle w:val="Amain"/>
        <w:rPr>
          <w:color w:val="000000"/>
        </w:rPr>
      </w:pPr>
      <w:r>
        <w:rPr>
          <w:color w:val="000000"/>
        </w:rPr>
        <w:tab/>
        <w:t>(10)</w:t>
      </w:r>
      <w:r>
        <w:rPr>
          <w:color w:val="000000"/>
        </w:rPr>
        <w:tab/>
        <w:t>The timbering of trenches shall proceed as the work of excavation progresses.</w:t>
      </w:r>
    </w:p>
    <w:p w:rsidR="00B40966" w:rsidRDefault="00B40966">
      <w:pPr>
        <w:pStyle w:val="Amain"/>
      </w:pPr>
      <w:r>
        <w:rPr>
          <w:color w:val="000000"/>
        </w:rPr>
        <w:tab/>
        <w:t>(11)</w:t>
      </w:r>
      <w:r>
        <w:rPr>
          <w:color w:val="000000"/>
        </w:rPr>
        <w:tab/>
        <w:t>If a mechanical digger is used the timbering shall be kept as close as practicable to the digger but the length of untimbered trench shall not exceed 10 feet, measured from the lower edge of the digger jib.</w:t>
      </w:r>
    </w:p>
    <w:p w:rsidR="00B40966" w:rsidRDefault="00B40966">
      <w:pPr>
        <w:pStyle w:val="Amain"/>
        <w:rPr>
          <w:color w:val="000000"/>
        </w:rPr>
      </w:pPr>
      <w:r>
        <w:rPr>
          <w:color w:val="000000"/>
        </w:rPr>
        <w:tab/>
        <w:t>(12)</w:t>
      </w:r>
      <w:r>
        <w:rPr>
          <w:color w:val="000000"/>
        </w:rPr>
        <w:tab/>
        <w:t>Trenches in saturated, filled, or otherwise unstable ground (other than of the nature of wet running sand) shall be close timbered.</w:t>
      </w:r>
    </w:p>
    <w:p w:rsidR="00B40966" w:rsidRDefault="00B40966">
      <w:pPr>
        <w:pStyle w:val="Amain"/>
        <w:rPr>
          <w:color w:val="000000"/>
        </w:rPr>
      </w:pPr>
      <w:r>
        <w:rPr>
          <w:color w:val="000000"/>
        </w:rPr>
        <w:tab/>
        <w:t>(13)</w:t>
      </w:r>
      <w:r>
        <w:rPr>
          <w:color w:val="000000"/>
        </w:rPr>
        <w:tab/>
        <w:t>The cross-sectional dimensions of the runners shall be not less than 6 inches by 1</w:t>
      </w:r>
      <w:r>
        <w:rPr>
          <w:color w:val="000000"/>
          <w:position w:val="6"/>
          <w:sz w:val="18"/>
        </w:rPr>
        <w:t>1</w:t>
      </w:r>
      <w:r>
        <w:rPr>
          <w:color w:val="000000"/>
        </w:rPr>
        <w:t>/</w:t>
      </w:r>
      <w:r>
        <w:rPr>
          <w:color w:val="000000"/>
          <w:sz w:val="18"/>
        </w:rPr>
        <w:t>4</w:t>
      </w:r>
      <w:r>
        <w:rPr>
          <w:color w:val="000000"/>
        </w:rPr>
        <w:t xml:space="preserve"> inches for hardwood timber runners.</w:t>
      </w:r>
    </w:p>
    <w:p w:rsidR="00B40966" w:rsidRDefault="00B40966">
      <w:pPr>
        <w:pStyle w:val="Amain"/>
      </w:pPr>
      <w:r>
        <w:rPr>
          <w:color w:val="000000"/>
        </w:rPr>
        <w:tab/>
        <w:t>(14)</w:t>
      </w:r>
      <w:r>
        <w:rPr>
          <w:color w:val="000000"/>
        </w:rPr>
        <w:tab/>
        <w:t>The cross-sectional dimensions for hardwood timber walings shall be not less than 6 inches by 3 inches and they shall be spaced as required by subsection (7).</w:t>
      </w:r>
    </w:p>
    <w:p w:rsidR="00B40966" w:rsidRDefault="00B40966">
      <w:pPr>
        <w:pStyle w:val="Amain"/>
      </w:pPr>
      <w:r>
        <w:tab/>
        <w:t>(15)</w:t>
      </w:r>
      <w:r>
        <w:tab/>
        <w:t>Struts shall be of the cross-sectional dimensions prescribed by subsection (9).</w:t>
      </w:r>
    </w:p>
    <w:p w:rsidR="00B40966" w:rsidRDefault="00B40966">
      <w:pPr>
        <w:pStyle w:val="Amain"/>
        <w:rPr>
          <w:color w:val="000000"/>
        </w:rPr>
      </w:pPr>
      <w:r>
        <w:rPr>
          <w:color w:val="000000"/>
        </w:rPr>
        <w:tab/>
        <w:t>(16)</w:t>
      </w:r>
      <w:r>
        <w:rPr>
          <w:color w:val="000000"/>
        </w:rPr>
        <w:tab/>
        <w:t xml:space="preserve">If running material, as wet running sand, is encountered runners shall be kept </w:t>
      </w:r>
      <w:r>
        <w:rPr>
          <w:color w:val="000000"/>
          <w:position w:val="6"/>
          <w:sz w:val="18"/>
        </w:rPr>
        <w:t>1</w:t>
      </w:r>
      <w:r>
        <w:rPr>
          <w:color w:val="000000"/>
        </w:rPr>
        <w:t>/</w:t>
      </w:r>
      <w:r>
        <w:rPr>
          <w:color w:val="000000"/>
          <w:sz w:val="18"/>
        </w:rPr>
        <w:t>2</w:t>
      </w:r>
      <w:r>
        <w:rPr>
          <w:color w:val="000000"/>
        </w:rPr>
        <w:t xml:space="preserve"> an inch apart and the spaces thus formed shall be caulked with straw or other suitable material.</w:t>
      </w:r>
    </w:p>
    <w:p w:rsidR="00B40966" w:rsidRDefault="00B40966">
      <w:pPr>
        <w:pStyle w:val="Amain"/>
      </w:pPr>
      <w:r>
        <w:rPr>
          <w:color w:val="000000"/>
        </w:rPr>
        <w:tab/>
        <w:t>(17)</w:t>
      </w:r>
      <w:r>
        <w:rPr>
          <w:color w:val="000000"/>
        </w:rPr>
        <w:tab/>
        <w:t>If practicable straw, grass, bags, or other suitable material shall be packed behind the runners.</w:t>
      </w:r>
    </w:p>
    <w:p w:rsidR="00B40966" w:rsidRDefault="00B40966">
      <w:pPr>
        <w:pStyle w:val="Amain"/>
      </w:pPr>
      <w:r>
        <w:tab/>
        <w:t>(18)</w:t>
      </w:r>
      <w:r>
        <w:tab/>
        <w:t>Walings and struts shall be of the materials and cross-sectional dimensions and shall be placed as prescribed, respectively, by subsections (5) to (7) and subsections (8) and (9).</w:t>
      </w:r>
    </w:p>
    <w:p w:rsidR="00B40966" w:rsidRDefault="00B40966">
      <w:pPr>
        <w:pStyle w:val="Amain"/>
      </w:pPr>
      <w:r>
        <w:rPr>
          <w:color w:val="000000"/>
        </w:rPr>
        <w:tab/>
        <w:t>(19)</w:t>
      </w:r>
      <w:r>
        <w:rPr>
          <w:color w:val="000000"/>
        </w:rPr>
        <w:tab/>
        <w:t>An inspector, should the inspector considers it necessary, may order heavier timbering than that prescribed by this section.</w:t>
      </w:r>
    </w:p>
    <w:p w:rsidR="00B40966" w:rsidRDefault="00B40966">
      <w:pPr>
        <w:pStyle w:val="Amain"/>
        <w:rPr>
          <w:color w:val="000000"/>
        </w:rPr>
      </w:pPr>
      <w:r>
        <w:rPr>
          <w:color w:val="000000"/>
        </w:rPr>
        <w:tab/>
        <w:t>(20)</w:t>
      </w:r>
      <w:r>
        <w:rPr>
          <w:color w:val="000000"/>
        </w:rPr>
        <w:tab/>
        <w:t>Excavated material shall not be placed nearer than 1 foot to the edge of a trench.</w:t>
      </w:r>
    </w:p>
    <w:p w:rsidR="00B40966" w:rsidRDefault="00B40966">
      <w:pPr>
        <w:pStyle w:val="Amain"/>
      </w:pPr>
      <w:r>
        <w:rPr>
          <w:color w:val="000000"/>
        </w:rPr>
        <w:tab/>
        <w:t>(21)</w:t>
      </w:r>
      <w:r>
        <w:rPr>
          <w:color w:val="000000"/>
        </w:rPr>
        <w:tab/>
        <w:t>For a trench in running material, provided circumstances permit, no material shall be placed nearer than 3 feet to the edge of the trench.</w:t>
      </w:r>
    </w:p>
    <w:p w:rsidR="00B40966" w:rsidRDefault="00B40966">
      <w:pPr>
        <w:pStyle w:val="Amain"/>
      </w:pPr>
      <w:r>
        <w:rPr>
          <w:color w:val="000000"/>
        </w:rPr>
        <w:tab/>
        <w:t>(22)</w:t>
      </w:r>
      <w:r>
        <w:rPr>
          <w:color w:val="000000"/>
        </w:rPr>
        <w:tab/>
        <w:t>All trenches 5 feet or more in depth shall be supplied with 1 ladder for each 200 feet of trench or fraction of it, which ladder shall extend from the bottom of the trench to at least 3 feet 6 inches above the top.</w:t>
      </w:r>
    </w:p>
    <w:p w:rsidR="00B40966" w:rsidRDefault="00B40966">
      <w:pPr>
        <w:pStyle w:val="AH3Div"/>
      </w:pPr>
      <w:bookmarkStart w:id="180" w:name="_Toc87258038"/>
      <w:r>
        <w:rPr>
          <w:rStyle w:val="CharDivNo"/>
        </w:rPr>
        <w:t>Division 7.4</w:t>
      </w:r>
      <w:r>
        <w:rPr>
          <w:rStyle w:val="CharDivNo"/>
        </w:rPr>
        <w:tab/>
      </w:r>
      <w:r>
        <w:rPr>
          <w:rStyle w:val="CharDivText"/>
        </w:rPr>
        <w:t>Shafts, wells and tunnels</w:t>
      </w:r>
      <w:bookmarkEnd w:id="180"/>
    </w:p>
    <w:p w:rsidR="00B40966" w:rsidRDefault="00B40966">
      <w:pPr>
        <w:pStyle w:val="AH5Sec"/>
      </w:pPr>
      <w:bookmarkStart w:id="181" w:name="_Toc87258039"/>
      <w:r>
        <w:rPr>
          <w:rStyle w:val="CharSectNo"/>
        </w:rPr>
        <w:t>98</w:t>
      </w:r>
      <w:bookmarkEnd w:id="181"/>
      <w:r>
        <w:tab/>
        <w:t xml:space="preserve">  </w:t>
      </w:r>
    </w:p>
    <w:p w:rsidR="00B40966" w:rsidRDefault="00B40966">
      <w:pPr>
        <w:pStyle w:val="Amain"/>
      </w:pPr>
      <w:r>
        <w:tab/>
        <w:t>(1)</w:t>
      </w:r>
      <w:r>
        <w:tab/>
        <w:t>Every shaft and well shall be securely cased, lined or otherwise made safe.</w:t>
      </w:r>
    </w:p>
    <w:p w:rsidR="00B40966" w:rsidRDefault="00B40966">
      <w:pPr>
        <w:pStyle w:val="Amain"/>
      </w:pPr>
      <w:r>
        <w:tab/>
        <w:t>(2)</w:t>
      </w:r>
      <w:r>
        <w:tab/>
        <w:t>Every drive and tunnel shall be securely protected and made safe for persons employed in it.</w:t>
      </w:r>
    </w:p>
    <w:p w:rsidR="00B40966" w:rsidRDefault="00B40966">
      <w:pPr>
        <w:pStyle w:val="Amain"/>
      </w:pPr>
      <w:r>
        <w:tab/>
        <w:t>(3)</w:t>
      </w:r>
      <w:r>
        <w:tab/>
        <w:t>All entrances between the bottom of every shaft and the poppet head pulley wheel shall be securely fenced, including any entrances from an elevated platform.</w:t>
      </w:r>
    </w:p>
    <w:p w:rsidR="00B40966" w:rsidRDefault="00B40966">
      <w:pPr>
        <w:pStyle w:val="Amain"/>
      </w:pPr>
      <w:r>
        <w:tab/>
        <w:t>(4)</w:t>
      </w:r>
      <w:r>
        <w:tab/>
        <w:t>Any fence or cover may be temporarily removed, to facilitate the work that is in progress, if proper precautions are taken.</w:t>
      </w:r>
    </w:p>
    <w:p w:rsidR="00B40966" w:rsidRDefault="00B40966">
      <w:pPr>
        <w:pStyle w:val="Amain"/>
      </w:pPr>
      <w:r>
        <w:tab/>
        <w:t>(5)</w:t>
      </w:r>
      <w:r>
        <w:tab/>
        <w:t>If a fence or cover has been removed from any shaft entrance to allow work to proceed, 2 horizontal bars shall be fixed across the entrance not less than 2 feet nor more than 4 feet from the floor.</w:t>
      </w:r>
    </w:p>
    <w:p w:rsidR="00B40966" w:rsidRDefault="00B40966">
      <w:pPr>
        <w:pStyle w:val="Amain"/>
      </w:pPr>
      <w:r>
        <w:tab/>
        <w:t>(6)</w:t>
      </w:r>
      <w:r>
        <w:tab/>
        <w:t>If access to workings is by way of a shaft and the shaft is also used for haulage purposes, the shaft shall be divided into 2 compartments, one to be used for a ladder way the other for haulage purposes.</w:t>
      </w:r>
    </w:p>
    <w:p w:rsidR="00B40966" w:rsidRDefault="00B40966">
      <w:pPr>
        <w:pStyle w:val="Amain"/>
      </w:pPr>
      <w:r>
        <w:tab/>
        <w:t>(7)</w:t>
      </w:r>
      <w:r>
        <w:tab/>
        <w:t>The ladder way compartment must be securely fenced from the haulage compartment.</w:t>
      </w:r>
    </w:p>
    <w:p w:rsidR="00B40966" w:rsidRDefault="00B40966">
      <w:pPr>
        <w:pStyle w:val="Amain"/>
      </w:pPr>
      <w:r>
        <w:tab/>
        <w:t>(8)</w:t>
      </w:r>
      <w:r>
        <w:tab/>
        <w:t>In addition to any mechanical means of ingress and egress, every shaft shall have at least 1 proper ladder or footway communicating from the surface to the workings.</w:t>
      </w:r>
    </w:p>
    <w:p w:rsidR="00B40966" w:rsidRDefault="00B40966">
      <w:pPr>
        <w:pStyle w:val="Amain"/>
        <w:keepLines/>
      </w:pPr>
      <w:r>
        <w:tab/>
        <w:t>(9)</w:t>
      </w:r>
      <w:r>
        <w:tab/>
        <w:t>A ladder permanently used in a shaft for the ascent and descent of persons shall not be fixed in a vertical or overhanging position, except in shafts used exclusively for pumping, and every such ladder shall be inclined at the most convenient angle that the space in which the ladder is fixed allows.</w:t>
      </w:r>
    </w:p>
    <w:p w:rsidR="00B40966" w:rsidRDefault="00B40966">
      <w:pPr>
        <w:pStyle w:val="Amain"/>
      </w:pPr>
      <w:r>
        <w:tab/>
        <w:t>(10)</w:t>
      </w:r>
      <w:r>
        <w:tab/>
        <w:t>Every ladder-shaft shall have substantial platforms fixed at intervals of not more than 20 feet.</w:t>
      </w:r>
    </w:p>
    <w:p w:rsidR="00B40966" w:rsidRDefault="00B40966">
      <w:pPr>
        <w:pStyle w:val="PageBreak"/>
      </w:pPr>
      <w:r>
        <w:br w:type="page"/>
      </w:r>
    </w:p>
    <w:p w:rsidR="00B40966" w:rsidRDefault="00B40966">
      <w:pPr>
        <w:pStyle w:val="AH2Part"/>
      </w:pPr>
      <w:bookmarkStart w:id="182" w:name="_Toc87258040"/>
      <w:r>
        <w:rPr>
          <w:rStyle w:val="CharPartNo"/>
        </w:rPr>
        <w:t>Part 8</w:t>
      </w:r>
      <w:r>
        <w:tab/>
      </w:r>
      <w:r>
        <w:rPr>
          <w:rStyle w:val="CharPartText"/>
        </w:rPr>
        <w:t>Safeguards and measures to be taken for securing the safety and health of persons engaged in compressed air work</w:t>
      </w:r>
      <w:bookmarkEnd w:id="182"/>
    </w:p>
    <w:p w:rsidR="00B40966" w:rsidRDefault="00B40966">
      <w:pPr>
        <w:pStyle w:val="AH3Div"/>
      </w:pPr>
      <w:bookmarkStart w:id="183" w:name="_Toc87258041"/>
      <w:r>
        <w:rPr>
          <w:rStyle w:val="CharDivNo"/>
        </w:rPr>
        <w:t>Division 8.1</w:t>
      </w:r>
      <w:r>
        <w:rPr>
          <w:rStyle w:val="CharDivNo"/>
        </w:rPr>
        <w:tab/>
      </w:r>
      <w:r>
        <w:rPr>
          <w:rStyle w:val="CharDivText"/>
        </w:rPr>
        <w:t>Diving</w:t>
      </w:r>
      <w:bookmarkEnd w:id="183"/>
    </w:p>
    <w:p w:rsidR="00B40966" w:rsidRDefault="00B40966">
      <w:pPr>
        <w:pStyle w:val="AH5Sec"/>
      </w:pPr>
      <w:bookmarkStart w:id="184" w:name="_Toc87258042"/>
      <w:r>
        <w:rPr>
          <w:rStyle w:val="CharSectNo"/>
        </w:rPr>
        <w:t>99</w:t>
      </w:r>
      <w:bookmarkEnd w:id="184"/>
      <w:r>
        <w:tab/>
        <w:t xml:space="preserve">  </w:t>
      </w:r>
    </w:p>
    <w:p w:rsidR="00B40966" w:rsidRDefault="00B40966">
      <w:pPr>
        <w:pStyle w:val="Assectheading"/>
        <w:rPr>
          <w:i w:val="0"/>
          <w:color w:val="000000"/>
        </w:rPr>
      </w:pPr>
      <w:r>
        <w:rPr>
          <w:rStyle w:val="charItals"/>
          <w:i/>
        </w:rPr>
        <w:t>Age limits</w:t>
      </w:r>
    </w:p>
    <w:p w:rsidR="00B40966" w:rsidRDefault="00B40966">
      <w:pPr>
        <w:pStyle w:val="Amain"/>
      </w:pPr>
      <w:r>
        <w:rPr>
          <w:color w:val="000000"/>
        </w:rPr>
        <w:tab/>
        <w:t>(1)</w:t>
      </w:r>
      <w:r>
        <w:rPr>
          <w:color w:val="000000"/>
        </w:rPr>
        <w:tab/>
        <w:t>No person under 20 years old or over 55 years old shall dive, and no person shall employ any such person to dive except that the upper age limit of 55 years old may be exceeded for divers with special qualifications who after special medical examination have been certified by a medical officer as being fit to continue to dive after having reached the upper age limit.</w:t>
      </w:r>
    </w:p>
    <w:p w:rsidR="00B40966" w:rsidRDefault="00B40966">
      <w:pPr>
        <w:pStyle w:val="Assectheading"/>
        <w:rPr>
          <w:i w:val="0"/>
          <w:color w:val="000000"/>
        </w:rPr>
      </w:pPr>
      <w:r>
        <w:rPr>
          <w:rStyle w:val="charItals"/>
          <w:i/>
        </w:rPr>
        <w:t>Instruction</w:t>
      </w:r>
    </w:p>
    <w:p w:rsidR="00B40966" w:rsidRDefault="00B40966">
      <w:pPr>
        <w:pStyle w:val="Amain"/>
      </w:pPr>
      <w:r>
        <w:rPr>
          <w:color w:val="000000"/>
        </w:rPr>
        <w:tab/>
        <w:t>(2)</w:t>
      </w:r>
      <w:r>
        <w:rPr>
          <w:color w:val="000000"/>
        </w:rPr>
        <w:tab/>
        <w:t>No diver and no attendant shall engage or be employed in a diving operation unless the person has received such instruction in the work that the person is capable of carrying out his or her duties safely.</w:t>
      </w:r>
    </w:p>
    <w:p w:rsidR="00B40966" w:rsidRDefault="00B40966">
      <w:pPr>
        <w:pStyle w:val="Amain"/>
      </w:pPr>
      <w:r>
        <w:tab/>
        <w:t>(3)</w:t>
      </w:r>
      <w:r>
        <w:tab/>
        <w:t>This instruction shall be such that it will impart a full working knowledge of the safe use of signals, compression and decompression tables, diving dress with its ancillary fittings and gear, of air pumps, pressure gauges and depth gauges.</w:t>
      </w:r>
    </w:p>
    <w:p w:rsidR="00B40966" w:rsidRDefault="00B40966">
      <w:pPr>
        <w:pStyle w:val="Assectheading"/>
        <w:rPr>
          <w:i w:val="0"/>
        </w:rPr>
      </w:pPr>
      <w:r>
        <w:rPr>
          <w:rStyle w:val="charItals"/>
          <w:i/>
        </w:rPr>
        <w:t>Appointment of medical officers</w:t>
      </w:r>
    </w:p>
    <w:p w:rsidR="00B40966" w:rsidRDefault="00B40966">
      <w:pPr>
        <w:pStyle w:val="Amain"/>
      </w:pPr>
      <w:r>
        <w:tab/>
        <w:t>(4)</w:t>
      </w:r>
      <w:r>
        <w:tab/>
        <w:t>A legally qualified doctor shall be appointed to carry out the duties prescribed by this section as being the duties of a medical officer.</w:t>
      </w:r>
    </w:p>
    <w:p w:rsidR="00B40966" w:rsidRDefault="00B40966">
      <w:pPr>
        <w:pStyle w:val="Amain"/>
      </w:pPr>
      <w:r>
        <w:tab/>
        <w:t>(5)</w:t>
      </w:r>
      <w:r>
        <w:tab/>
        <w:t>The chief inspector shall be notified in writing of the name and address of the medical officer so appointed.</w:t>
      </w:r>
    </w:p>
    <w:p w:rsidR="00B40966" w:rsidRDefault="00B40966">
      <w:pPr>
        <w:pStyle w:val="Assectheading"/>
        <w:rPr>
          <w:i w:val="0"/>
        </w:rPr>
      </w:pPr>
      <w:r>
        <w:rPr>
          <w:rStyle w:val="charItals"/>
          <w:i/>
        </w:rPr>
        <w:t>Preliminary medical examinations</w:t>
      </w:r>
    </w:p>
    <w:p w:rsidR="00B40966" w:rsidRDefault="00B40966">
      <w:pPr>
        <w:pStyle w:val="Amain"/>
      </w:pPr>
      <w:r>
        <w:tab/>
        <w:t>(6)</w:t>
      </w:r>
      <w:r>
        <w:tab/>
        <w:t>No person shall dive or be employed to dive unless on or after such date the person has been examined by an appointed medical officer, and has been certified by the medical officer as being fit to work in compressed air.</w:t>
      </w:r>
    </w:p>
    <w:p w:rsidR="00B40966" w:rsidRDefault="00B40966">
      <w:pPr>
        <w:pStyle w:val="Amain"/>
      </w:pPr>
      <w:r>
        <w:tab/>
        <w:t>(7)</w:t>
      </w:r>
      <w:r>
        <w:tab/>
        <w:t>The examination shall include an X-ray examination of the chest.</w:t>
      </w:r>
    </w:p>
    <w:p w:rsidR="00B40966" w:rsidRDefault="00B40966">
      <w:pPr>
        <w:pStyle w:val="Amain"/>
      </w:pPr>
      <w:r>
        <w:tab/>
        <w:t>(8)</w:t>
      </w:r>
      <w:r>
        <w:tab/>
        <w:t>The medical officer’s report shall be kept and produced to an inspector on demand.</w:t>
      </w:r>
    </w:p>
    <w:p w:rsidR="00B40966" w:rsidRDefault="00B40966">
      <w:pPr>
        <w:pStyle w:val="Assectheading"/>
        <w:rPr>
          <w:i w:val="0"/>
        </w:rPr>
      </w:pPr>
      <w:r>
        <w:rPr>
          <w:rStyle w:val="charItals"/>
          <w:i/>
        </w:rPr>
        <w:t>Supervision of health during diving work</w:t>
      </w:r>
    </w:p>
    <w:p w:rsidR="00B40966" w:rsidRDefault="00B40966">
      <w:pPr>
        <w:pStyle w:val="Amain"/>
      </w:pPr>
      <w:r>
        <w:tab/>
        <w:t>(9)</w:t>
      </w:r>
      <w:r>
        <w:tab/>
        <w:t>It shall be the duty of the medical officer to inform each diver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B40966" w:rsidRDefault="00B40966">
      <w:pPr>
        <w:pStyle w:val="Amain"/>
      </w:pPr>
      <w:r>
        <w:tab/>
        <w:t>(10)</w:t>
      </w:r>
      <w:r>
        <w:tab/>
        <w:t>The symptoms and treatment of compressed air illness as set out in schedule 9 shall be exhibited in a conspicuous position in the divers’ change room.</w:t>
      </w:r>
    </w:p>
    <w:p w:rsidR="00B40966" w:rsidRDefault="00B40966">
      <w:pPr>
        <w:pStyle w:val="Amain"/>
        <w:keepNext/>
      </w:pPr>
      <w:r>
        <w:tab/>
        <w:t>(11)</w:t>
      </w:r>
      <w:r>
        <w:tab/>
        <w:t>A contractor shall not allow any person—</w:t>
      </w:r>
    </w:p>
    <w:p w:rsidR="00B40966" w:rsidRDefault="00B40966">
      <w:pPr>
        <w:pStyle w:val="Apara"/>
      </w:pPr>
      <w:r>
        <w:tab/>
        <w:t>(a)</w:t>
      </w:r>
      <w:r>
        <w:tab/>
        <w:t>known to be suffering from bends, cold in the head, sore throat, or any other illness or disease; or</w:t>
      </w:r>
    </w:p>
    <w:p w:rsidR="00B40966" w:rsidRDefault="00B40966">
      <w:pPr>
        <w:pStyle w:val="Apara"/>
      </w:pPr>
      <w:r>
        <w:tab/>
        <w:t>(b)</w:t>
      </w:r>
      <w:r>
        <w:tab/>
        <w:t>under the influence of intoxicating liquor;</w:t>
      </w:r>
    </w:p>
    <w:p w:rsidR="00B40966" w:rsidRDefault="00B40966">
      <w:pPr>
        <w:pStyle w:val="Amainreturn"/>
      </w:pPr>
      <w:r>
        <w:t>to be employed under water as a diver.</w:t>
      </w:r>
    </w:p>
    <w:p w:rsidR="00B40966" w:rsidRDefault="00B40966">
      <w:pPr>
        <w:pStyle w:val="Amain"/>
      </w:pPr>
      <w:r>
        <w:tab/>
        <w:t>(12)</w:t>
      </w:r>
      <w:r>
        <w:tab/>
        <w:t>If divers are employed continuously in diving operations they shall be medically re-examined regularly at the following intervals:</w:t>
      </w:r>
    </w:p>
    <w:p w:rsidR="00B40966" w:rsidRDefault="00B40966">
      <w:pPr>
        <w:pStyle w:val="Apara"/>
      </w:pPr>
      <w:r>
        <w:rPr>
          <w:rFonts w:ascii="Symbol" w:hAnsi="Symbol"/>
          <w:sz w:val="20"/>
        </w:rPr>
        <w:tab/>
      </w:r>
      <w:r>
        <w:rPr>
          <w:rFonts w:ascii="Symbol" w:hAnsi="Symbol"/>
          <w:sz w:val="20"/>
        </w:rPr>
        <w:t></w:t>
      </w:r>
      <w:r>
        <w:t>a</w:t>
      </w:r>
      <w:r>
        <w:rPr>
          <w:rFonts w:ascii="Symbol" w:hAnsi="Symbol"/>
          <w:sz w:val="20"/>
        </w:rPr>
        <w:t></w:t>
      </w:r>
      <w:r>
        <w:rPr>
          <w:rFonts w:ascii="Symbol" w:hAnsi="Symbol"/>
          <w:sz w:val="20"/>
        </w:rPr>
        <w:tab/>
      </w:r>
      <w:r>
        <w:t>working at depths less than 60 feet—every 6 months;</w:t>
      </w:r>
    </w:p>
    <w:p w:rsidR="00B40966" w:rsidRDefault="00B40966">
      <w:pPr>
        <w:pStyle w:val="Apara"/>
      </w:pPr>
      <w:r>
        <w:rPr>
          <w:rFonts w:ascii="Symbol" w:hAnsi="Symbol"/>
          <w:sz w:val="20"/>
        </w:rPr>
        <w:tab/>
      </w:r>
      <w:r>
        <w:rPr>
          <w:rFonts w:ascii="Symbol" w:hAnsi="Symbol"/>
          <w:sz w:val="20"/>
        </w:rPr>
        <w:t></w:t>
      </w:r>
      <w:r>
        <w:t>b</w:t>
      </w:r>
      <w:r>
        <w:rPr>
          <w:rFonts w:ascii="Symbol" w:hAnsi="Symbol"/>
          <w:sz w:val="20"/>
        </w:rPr>
        <w:t></w:t>
      </w:r>
      <w:r>
        <w:rPr>
          <w:rFonts w:ascii="Symbol" w:hAnsi="Symbol"/>
          <w:sz w:val="20"/>
        </w:rPr>
        <w:tab/>
      </w:r>
      <w:r>
        <w:t>working at depths between 60 feet and 90 feet—every 3 months;</w:t>
      </w:r>
    </w:p>
    <w:p w:rsidR="00B40966" w:rsidRDefault="00B40966">
      <w:pPr>
        <w:pStyle w:val="Apara"/>
      </w:pPr>
      <w:r>
        <w:rPr>
          <w:rFonts w:ascii="Symbol" w:hAnsi="Symbol"/>
          <w:sz w:val="20"/>
        </w:rPr>
        <w:tab/>
      </w:r>
      <w:r>
        <w:rPr>
          <w:rFonts w:ascii="Symbol" w:hAnsi="Symbol"/>
          <w:sz w:val="20"/>
        </w:rPr>
        <w:t></w:t>
      </w:r>
      <w:r>
        <w:t>c</w:t>
      </w:r>
      <w:r>
        <w:rPr>
          <w:rFonts w:ascii="Symbol" w:hAnsi="Symbol"/>
          <w:sz w:val="20"/>
        </w:rPr>
        <w:t></w:t>
      </w:r>
      <w:r>
        <w:rPr>
          <w:rFonts w:ascii="Symbol" w:hAnsi="Symbol"/>
          <w:sz w:val="20"/>
        </w:rPr>
        <w:tab/>
      </w:r>
      <w:r>
        <w:t>working at depths in excess of 90 feet—every 4 weeks,</w:t>
      </w:r>
    </w:p>
    <w:p w:rsidR="00B40966" w:rsidRDefault="00B40966">
      <w:pPr>
        <w:pStyle w:val="Amainreturn"/>
      </w:pPr>
      <w:r>
        <w:t>and unless so re-examined and found fit as mentioned in this section no person shall dive or be employed to dive.</w:t>
      </w:r>
    </w:p>
    <w:p w:rsidR="00B40966" w:rsidRDefault="00B40966">
      <w:pPr>
        <w:pStyle w:val="Amain"/>
      </w:pPr>
      <w:r>
        <w:tab/>
        <w:t>(13)</w:t>
      </w:r>
      <w:r>
        <w:tab/>
        <w:t>A diver who has been absent from work due to illness of any kind for more than 7 days, or has been absent from work due to any other cause, except for recreation, for a period of more than 3 weeks shall not dive or be employed to dive without first producing a certificate of fitness from the medical officer.</w:t>
      </w:r>
    </w:p>
    <w:p w:rsidR="00B40966" w:rsidRDefault="00B40966">
      <w:pPr>
        <w:pStyle w:val="Amain"/>
      </w:pPr>
      <w:r>
        <w:tab/>
        <w:t>(14)</w:t>
      </w:r>
      <w:r>
        <w:tab/>
        <w:t>No person shall dive or be employed to dive after 12 months or any lesser period that the medical officer may determine, has elapsed from the date of the last X-ray examination of his or her chest.</w:t>
      </w:r>
    </w:p>
    <w:p w:rsidR="00B40966" w:rsidRDefault="00B40966">
      <w:pPr>
        <w:pStyle w:val="Assectheading"/>
        <w:rPr>
          <w:i w:val="0"/>
        </w:rPr>
      </w:pPr>
      <w:r>
        <w:rPr>
          <w:rStyle w:val="charItals"/>
          <w:i/>
        </w:rPr>
        <w:t>Compressed air workers’ badge</w:t>
      </w:r>
    </w:p>
    <w:p w:rsidR="00B40966" w:rsidRDefault="00B40966">
      <w:pPr>
        <w:pStyle w:val="Amain"/>
      </w:pPr>
      <w:r>
        <w:tab/>
        <w:t>(15)</w:t>
      </w:r>
      <w:r>
        <w:tab/>
        <w:t>It shall be the duty of a contractor to supply to every diver in the contractor’s employ a compressed air worker’s badge.</w:t>
      </w:r>
    </w:p>
    <w:p w:rsidR="00B40966" w:rsidRDefault="00B40966">
      <w:pPr>
        <w:pStyle w:val="Amain"/>
      </w:pPr>
      <w:r>
        <w:tab/>
        <w:t>(16)</w:t>
      </w:r>
      <w:r>
        <w:tab/>
        <w:t>It shall be the duty of every diver at all times to wear a compressed air worker’s badge.</w:t>
      </w:r>
    </w:p>
    <w:p w:rsidR="00B40966" w:rsidRDefault="00B40966">
      <w:pPr>
        <w:pStyle w:val="Amain"/>
      </w:pPr>
      <w:r>
        <w:tab/>
        <w:t>(17)</w:t>
      </w:r>
      <w:r>
        <w:tab/>
        <w:t>A compressed air worker’s badge shall be made of non-corrodible metal and shall be arranged to be worn either in a coat lapel or suspended by a chain or cord placed around the neck.</w:t>
      </w:r>
    </w:p>
    <w:p w:rsidR="00B40966" w:rsidRDefault="00B40966">
      <w:pPr>
        <w:pStyle w:val="Amain"/>
      </w:pPr>
      <w:r>
        <w:tab/>
        <w:t>(18)</w:t>
      </w:r>
      <w:r>
        <w:tab/>
        <w:t>The badge shall be in the form of a disc, 1</w:t>
      </w:r>
      <w:r>
        <w:rPr>
          <w:position w:val="6"/>
          <w:sz w:val="18"/>
        </w:rPr>
        <w:t>1</w:t>
      </w:r>
      <w:r>
        <w:t>/</w:t>
      </w:r>
      <w:r>
        <w:rPr>
          <w:sz w:val="18"/>
        </w:rPr>
        <w:t>4</w:t>
      </w:r>
      <w:r>
        <w:t xml:space="preserve"> inches in diameter and not less than </w:t>
      </w:r>
      <w:r>
        <w:rPr>
          <w:position w:val="6"/>
          <w:sz w:val="18"/>
        </w:rPr>
        <w:t>1</w:t>
      </w:r>
      <w:r>
        <w:t>/</w:t>
      </w:r>
      <w:r>
        <w:rPr>
          <w:sz w:val="18"/>
        </w:rPr>
        <w:t>16</w:t>
      </w:r>
      <w:r>
        <w:t xml:space="preserve"> of an inch in thickness.</w:t>
      </w:r>
    </w:p>
    <w:p w:rsidR="00B40966" w:rsidRDefault="00B40966">
      <w:pPr>
        <w:pStyle w:val="Amain"/>
      </w:pPr>
      <w:r>
        <w:tab/>
        <w:t>(19)</w:t>
      </w:r>
      <w:r>
        <w:tab/>
        <w:t>The face shall bear the following inscription, arranged in the following way:</w:t>
      </w:r>
    </w:p>
    <w:bookmarkStart w:id="185" w:name="_MON_1159698743"/>
    <w:bookmarkEnd w:id="185"/>
    <w:bookmarkStart w:id="186" w:name="_MON_1090065505"/>
    <w:bookmarkEnd w:id="186"/>
    <w:p w:rsidR="00B40966" w:rsidRDefault="00B40966">
      <w:pPr>
        <w:pStyle w:val="Formula"/>
      </w:pPr>
      <w:r>
        <w:object w:dxaOrig="1846" w:dyaOrig="1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25pt;height:94.5pt" o:ole="" fillcolor="window">
            <v:imagedata r:id="rId29" o:title=""/>
          </v:shape>
          <o:OLEObject Type="Embed" ProgID="Word.Picture.8" ShapeID="_x0000_i1025" DrawAspect="Content" ObjectID="_1595937042" r:id="rId30"/>
        </w:object>
      </w:r>
    </w:p>
    <w:p w:rsidR="00B40966" w:rsidRDefault="00B40966">
      <w:pPr>
        <w:pStyle w:val="Assectheading"/>
        <w:rPr>
          <w:i w:val="0"/>
        </w:rPr>
      </w:pPr>
      <w:r>
        <w:rPr>
          <w:rStyle w:val="charItals"/>
          <w:i/>
        </w:rPr>
        <w:t>Safe diving periods</w:t>
      </w:r>
    </w:p>
    <w:p w:rsidR="00B40966" w:rsidRDefault="00B40966">
      <w:pPr>
        <w:pStyle w:val="Amain"/>
      </w:pPr>
      <w:r>
        <w:tab/>
        <w:t>(20)</w:t>
      </w:r>
      <w:r>
        <w:tab/>
        <w:t>Except in case of emergency, no person shall dive or be employed to dive under water in any period of 24 hours for longer than the total times and periods corresponding to the depth of dive set out in table 99.1:</w:t>
      </w:r>
    </w:p>
    <w:p w:rsidR="00B40966" w:rsidRDefault="00B40966">
      <w:pPr>
        <w:pStyle w:val="TableHd"/>
      </w:pPr>
      <w:r>
        <w:t>Table 99.1</w:t>
      </w:r>
      <w:r>
        <w:tab/>
        <w:t>Safe diving periods for varying depths*</w:t>
      </w:r>
    </w:p>
    <w:tbl>
      <w:tblPr>
        <w:tblW w:w="0" w:type="auto"/>
        <w:tblInd w:w="80" w:type="dxa"/>
        <w:tblLayout w:type="fixed"/>
        <w:tblCellMar>
          <w:left w:w="80" w:type="dxa"/>
          <w:right w:w="80" w:type="dxa"/>
        </w:tblCellMar>
        <w:tblLook w:val="0000" w:firstRow="0" w:lastRow="0" w:firstColumn="0" w:lastColumn="0" w:noHBand="0" w:noVBand="0"/>
      </w:tblPr>
      <w:tblGrid>
        <w:gridCol w:w="1200"/>
        <w:gridCol w:w="1440"/>
        <w:gridCol w:w="860"/>
        <w:gridCol w:w="976"/>
        <w:gridCol w:w="3162"/>
      </w:tblGrid>
      <w:tr w:rsidR="00B40966">
        <w:trPr>
          <w:cantSplit/>
          <w:tblHeader/>
        </w:trPr>
        <w:tc>
          <w:tcPr>
            <w:tcW w:w="1200" w:type="dxa"/>
            <w:tcBorders>
              <w:bottom w:val="single" w:sz="6" w:space="0" w:color="auto"/>
            </w:tcBorders>
          </w:tcPr>
          <w:p w:rsidR="00B40966" w:rsidRDefault="00B40966">
            <w:pPr>
              <w:pStyle w:val="TableColHd"/>
            </w:pPr>
            <w:r>
              <w:t>depth of dive</w:t>
            </w:r>
          </w:p>
          <w:p w:rsidR="00B40966" w:rsidRDefault="00B40966">
            <w:pPr>
              <w:pStyle w:val="TableColHd"/>
            </w:pPr>
            <w:r>
              <w:t>feet</w:t>
            </w:r>
          </w:p>
        </w:tc>
        <w:tc>
          <w:tcPr>
            <w:tcW w:w="1440" w:type="dxa"/>
            <w:tcBorders>
              <w:bottom w:val="single" w:sz="6" w:space="0" w:color="auto"/>
            </w:tcBorders>
          </w:tcPr>
          <w:p w:rsidR="00B40966" w:rsidRDefault="00B40966">
            <w:pPr>
              <w:pStyle w:val="TableColHd"/>
            </w:pPr>
            <w:r>
              <w:t>pressure lb. per sq. inch</w:t>
            </w:r>
          </w:p>
        </w:tc>
        <w:tc>
          <w:tcPr>
            <w:tcW w:w="1836" w:type="dxa"/>
            <w:gridSpan w:val="2"/>
            <w:tcBorders>
              <w:bottom w:val="single" w:sz="6" w:space="0" w:color="auto"/>
            </w:tcBorders>
          </w:tcPr>
          <w:p w:rsidR="00B40966" w:rsidRDefault="00B40966">
            <w:pPr>
              <w:pStyle w:val="TableColHd"/>
            </w:pPr>
            <w:r>
              <w:t>safe diving period*</w:t>
            </w:r>
          </w:p>
          <w:p w:rsidR="00B40966" w:rsidRDefault="00B40966">
            <w:pPr>
              <w:pStyle w:val="TableColHd"/>
              <w:rPr>
                <w:color w:val="000000"/>
              </w:rPr>
            </w:pPr>
            <w:r>
              <w:rPr>
                <w:color w:val="000000"/>
              </w:rPr>
              <w:t>hours</w:t>
            </w:r>
            <w:r>
              <w:rPr>
                <w:color w:val="000000"/>
              </w:rPr>
              <w:tab/>
              <w:t>minutes</w:t>
            </w:r>
          </w:p>
        </w:tc>
        <w:tc>
          <w:tcPr>
            <w:tcW w:w="3162" w:type="dxa"/>
            <w:tcBorders>
              <w:bottom w:val="single" w:sz="6" w:space="0" w:color="auto"/>
            </w:tcBorders>
          </w:tcPr>
          <w:p w:rsidR="00B40966" w:rsidRDefault="00B40966">
            <w:pPr>
              <w:pStyle w:val="TableColHd"/>
            </w:pPr>
          </w:p>
        </w:tc>
      </w:tr>
      <w:tr w:rsidR="00B40966">
        <w:trPr>
          <w:cantSplit/>
        </w:trPr>
        <w:tc>
          <w:tcPr>
            <w:tcW w:w="1200" w:type="dxa"/>
          </w:tcPr>
          <w:p w:rsidR="00B40966" w:rsidRDefault="00B40966">
            <w:pPr>
              <w:spacing w:before="120"/>
            </w:pPr>
            <w:r>
              <w:t>0—42</w:t>
            </w:r>
          </w:p>
        </w:tc>
        <w:tc>
          <w:tcPr>
            <w:tcW w:w="1440" w:type="dxa"/>
          </w:tcPr>
          <w:p w:rsidR="00B40966" w:rsidRDefault="00B40966">
            <w:pPr>
              <w:spacing w:before="120"/>
            </w:pPr>
            <w:r>
              <w:t>0—18</w:t>
            </w:r>
            <w:r>
              <w:rPr>
                <w:position w:val="6"/>
                <w:sz w:val="18"/>
              </w:rPr>
              <w:t>1</w:t>
            </w:r>
            <w:r>
              <w:t>/</w:t>
            </w:r>
            <w:r>
              <w:rPr>
                <w:sz w:val="18"/>
              </w:rPr>
              <w:t>2</w:t>
            </w:r>
          </w:p>
        </w:tc>
        <w:tc>
          <w:tcPr>
            <w:tcW w:w="860" w:type="dxa"/>
          </w:tcPr>
          <w:p w:rsidR="00B40966" w:rsidRDefault="00B40966">
            <w:pPr>
              <w:spacing w:before="120"/>
            </w:pPr>
            <w:r>
              <w:t>6</w:t>
            </w:r>
          </w:p>
        </w:tc>
        <w:tc>
          <w:tcPr>
            <w:tcW w:w="976" w:type="dxa"/>
          </w:tcPr>
          <w:p w:rsidR="00B40966" w:rsidRDefault="00B40966">
            <w:pPr>
              <w:spacing w:before="120"/>
            </w:pPr>
            <w:r>
              <w:t>0</w:t>
            </w:r>
          </w:p>
        </w:tc>
        <w:tc>
          <w:tcPr>
            <w:tcW w:w="3162" w:type="dxa"/>
          </w:tcPr>
          <w:p w:rsidR="00B40966" w:rsidRDefault="00B40966">
            <w:pPr>
              <w:spacing w:before="120"/>
            </w:pPr>
            <w:r>
              <w:t>provided that the period of any dive shall not exceed 1</w:t>
            </w:r>
            <w:r>
              <w:rPr>
                <w:position w:val="6"/>
                <w:sz w:val="18"/>
              </w:rPr>
              <w:t>1</w:t>
            </w:r>
            <w:r>
              <w:t>/</w:t>
            </w:r>
            <w:r>
              <w:rPr>
                <w:sz w:val="18"/>
              </w:rPr>
              <w:t>2</w:t>
            </w:r>
            <w:r>
              <w:t xml:space="preserve"> hours duration, and that 15 minutes is allowed on the surface after each such period</w:t>
            </w:r>
          </w:p>
        </w:tc>
      </w:tr>
      <w:tr w:rsidR="00B40966">
        <w:trPr>
          <w:cantSplit/>
        </w:trPr>
        <w:tc>
          <w:tcPr>
            <w:tcW w:w="1200" w:type="dxa"/>
          </w:tcPr>
          <w:p w:rsidR="00B40966" w:rsidRDefault="00B40966">
            <w:pPr>
              <w:spacing w:before="240"/>
            </w:pPr>
            <w:r>
              <w:t>42—60</w:t>
            </w:r>
          </w:p>
        </w:tc>
        <w:tc>
          <w:tcPr>
            <w:tcW w:w="1440" w:type="dxa"/>
          </w:tcPr>
          <w:p w:rsidR="00B40966" w:rsidRDefault="00B40966">
            <w:pPr>
              <w:spacing w:before="240"/>
            </w:pPr>
            <w:r>
              <w:t>18</w:t>
            </w:r>
            <w:r>
              <w:rPr>
                <w:position w:val="6"/>
                <w:sz w:val="18"/>
              </w:rPr>
              <w:t>1</w:t>
            </w:r>
            <w:r>
              <w:t>/</w:t>
            </w:r>
            <w:r>
              <w:rPr>
                <w:sz w:val="18"/>
              </w:rPr>
              <w:t>2</w:t>
            </w:r>
            <w:r>
              <w:t>—26</w:t>
            </w:r>
            <w:r>
              <w:rPr>
                <w:position w:val="6"/>
                <w:sz w:val="18"/>
              </w:rPr>
              <w:t>1</w:t>
            </w:r>
            <w:r>
              <w:t>/</w:t>
            </w:r>
            <w:r>
              <w:rPr>
                <w:sz w:val="18"/>
              </w:rPr>
              <w:t>2</w:t>
            </w:r>
          </w:p>
        </w:tc>
        <w:tc>
          <w:tcPr>
            <w:tcW w:w="860" w:type="dxa"/>
          </w:tcPr>
          <w:p w:rsidR="00B40966" w:rsidRDefault="00B40966">
            <w:pPr>
              <w:spacing w:before="240"/>
            </w:pPr>
            <w:r>
              <w:t>5</w:t>
            </w:r>
          </w:p>
        </w:tc>
        <w:tc>
          <w:tcPr>
            <w:tcW w:w="976" w:type="dxa"/>
          </w:tcPr>
          <w:p w:rsidR="00B40966" w:rsidRDefault="00B40966">
            <w:pPr>
              <w:spacing w:before="240"/>
            </w:pPr>
            <w:r>
              <w:t>0</w:t>
            </w:r>
          </w:p>
        </w:tc>
        <w:tc>
          <w:tcPr>
            <w:tcW w:w="3162" w:type="dxa"/>
          </w:tcPr>
          <w:p w:rsidR="00B40966" w:rsidRDefault="00B40966">
            <w:pPr>
              <w:spacing w:before="240"/>
            </w:pPr>
            <w:r>
              <w:t>provided that the period of any dive shall not exceed 1 hour duration, and that 15 minutes is allowed on the surface after each such period</w:t>
            </w:r>
          </w:p>
        </w:tc>
      </w:tr>
      <w:tr w:rsidR="00B40966">
        <w:trPr>
          <w:cantSplit/>
        </w:trPr>
        <w:tc>
          <w:tcPr>
            <w:tcW w:w="1200" w:type="dxa"/>
          </w:tcPr>
          <w:p w:rsidR="00B40966" w:rsidRDefault="00B40966">
            <w:pPr>
              <w:spacing w:before="240"/>
            </w:pPr>
            <w:r>
              <w:t>60—66</w:t>
            </w:r>
          </w:p>
        </w:tc>
        <w:tc>
          <w:tcPr>
            <w:tcW w:w="1440" w:type="dxa"/>
          </w:tcPr>
          <w:p w:rsidR="00B40966" w:rsidRDefault="00B40966">
            <w:pPr>
              <w:spacing w:before="240"/>
            </w:pPr>
            <w:r>
              <w:t>26</w:t>
            </w:r>
            <w:r>
              <w:rPr>
                <w:position w:val="6"/>
                <w:sz w:val="18"/>
              </w:rPr>
              <w:t>1</w:t>
            </w:r>
            <w:r>
              <w:t>/</w:t>
            </w:r>
            <w:r>
              <w:rPr>
                <w:sz w:val="18"/>
              </w:rPr>
              <w:t>2</w:t>
            </w:r>
            <w:r>
              <w:t>—29</w:t>
            </w:r>
            <w:r>
              <w:rPr>
                <w:position w:val="6"/>
                <w:sz w:val="18"/>
              </w:rPr>
              <w:t>1</w:t>
            </w:r>
            <w:r>
              <w:t>/</w:t>
            </w:r>
            <w:r>
              <w:rPr>
                <w:sz w:val="18"/>
              </w:rPr>
              <w:t>2</w:t>
            </w:r>
          </w:p>
        </w:tc>
        <w:tc>
          <w:tcPr>
            <w:tcW w:w="860" w:type="dxa"/>
          </w:tcPr>
          <w:p w:rsidR="00B40966" w:rsidRDefault="00B40966">
            <w:pPr>
              <w:spacing w:before="240"/>
            </w:pPr>
            <w:r>
              <w:t>3</w:t>
            </w:r>
          </w:p>
        </w:tc>
        <w:tc>
          <w:tcPr>
            <w:tcW w:w="976" w:type="dxa"/>
          </w:tcPr>
          <w:p w:rsidR="00B40966" w:rsidRDefault="00B40966">
            <w:pPr>
              <w:spacing w:before="240"/>
            </w:pPr>
            <w:r>
              <w:t>0</w:t>
            </w:r>
          </w:p>
        </w:tc>
        <w:tc>
          <w:tcPr>
            <w:tcW w:w="3162" w:type="dxa"/>
          </w:tcPr>
          <w:p w:rsidR="00B40966" w:rsidRDefault="00B40966">
            <w:pPr>
              <w:spacing w:before="240"/>
            </w:pPr>
            <w:r>
              <w:t>provided that the period of any dive shall not exceed 1 hour duration, and that 15 minutes is allowed on the surface after each such period</w:t>
            </w:r>
          </w:p>
        </w:tc>
      </w:tr>
      <w:tr w:rsidR="00B40966">
        <w:trPr>
          <w:cantSplit/>
        </w:trPr>
        <w:tc>
          <w:tcPr>
            <w:tcW w:w="1200" w:type="dxa"/>
          </w:tcPr>
          <w:p w:rsidR="00B40966" w:rsidRDefault="00B40966">
            <w:pPr>
              <w:spacing w:before="120"/>
            </w:pPr>
            <w:r>
              <w:t>66—72</w:t>
            </w:r>
          </w:p>
        </w:tc>
        <w:tc>
          <w:tcPr>
            <w:tcW w:w="1440" w:type="dxa"/>
          </w:tcPr>
          <w:p w:rsidR="00B40966" w:rsidRDefault="00B40966">
            <w:pPr>
              <w:spacing w:before="120"/>
            </w:pPr>
            <w:r>
              <w:t>29</w:t>
            </w:r>
            <w:r>
              <w:rPr>
                <w:position w:val="6"/>
                <w:sz w:val="18"/>
              </w:rPr>
              <w:t>1</w:t>
            </w:r>
            <w:r>
              <w:t>/</w:t>
            </w:r>
            <w:r>
              <w:rPr>
                <w:sz w:val="18"/>
              </w:rPr>
              <w:t>2</w:t>
            </w:r>
            <w:r>
              <w:t>—32</w:t>
            </w:r>
          </w:p>
        </w:tc>
        <w:tc>
          <w:tcPr>
            <w:tcW w:w="860" w:type="dxa"/>
          </w:tcPr>
          <w:p w:rsidR="00B40966" w:rsidRDefault="00B40966">
            <w:pPr>
              <w:spacing w:before="120"/>
            </w:pPr>
            <w:r>
              <w:t>2</w:t>
            </w:r>
          </w:p>
        </w:tc>
        <w:tc>
          <w:tcPr>
            <w:tcW w:w="976" w:type="dxa"/>
          </w:tcPr>
          <w:p w:rsidR="00B40966" w:rsidRDefault="00B40966">
            <w:pPr>
              <w:spacing w:before="120"/>
            </w:pPr>
            <w:r>
              <w:t>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72—78</w:t>
            </w:r>
          </w:p>
        </w:tc>
        <w:tc>
          <w:tcPr>
            <w:tcW w:w="1440" w:type="dxa"/>
          </w:tcPr>
          <w:p w:rsidR="00B40966" w:rsidRDefault="00B40966">
            <w:pPr>
              <w:spacing w:before="120"/>
            </w:pPr>
            <w:r>
              <w:t>32—34</w:t>
            </w:r>
            <w:r>
              <w:rPr>
                <w:position w:val="6"/>
                <w:sz w:val="18"/>
              </w:rPr>
              <w:t>1</w:t>
            </w:r>
            <w:r>
              <w:t>/</w:t>
            </w:r>
            <w:r>
              <w:rPr>
                <w:sz w:val="18"/>
              </w:rPr>
              <w:t>2</w:t>
            </w:r>
          </w:p>
        </w:tc>
        <w:tc>
          <w:tcPr>
            <w:tcW w:w="860" w:type="dxa"/>
          </w:tcPr>
          <w:p w:rsidR="00B40966" w:rsidRDefault="00B40966">
            <w:pPr>
              <w:spacing w:before="120"/>
            </w:pPr>
            <w:r>
              <w:t>1</w:t>
            </w:r>
          </w:p>
        </w:tc>
        <w:tc>
          <w:tcPr>
            <w:tcW w:w="976" w:type="dxa"/>
          </w:tcPr>
          <w:p w:rsidR="00B40966" w:rsidRDefault="00B40966">
            <w:pPr>
              <w:spacing w:before="120"/>
            </w:pPr>
            <w:r>
              <w:t>30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78—84</w:t>
            </w:r>
          </w:p>
        </w:tc>
        <w:tc>
          <w:tcPr>
            <w:tcW w:w="1440" w:type="dxa"/>
          </w:tcPr>
          <w:p w:rsidR="00B40966" w:rsidRDefault="00B40966">
            <w:pPr>
              <w:spacing w:before="120"/>
            </w:pPr>
            <w:r>
              <w:t>34</w:t>
            </w:r>
            <w:r>
              <w:rPr>
                <w:position w:val="6"/>
                <w:sz w:val="18"/>
              </w:rPr>
              <w:t>1</w:t>
            </w:r>
            <w:r>
              <w:t>/</w:t>
            </w:r>
            <w:r>
              <w:rPr>
                <w:sz w:val="18"/>
              </w:rPr>
              <w:t>2</w:t>
            </w:r>
            <w:r>
              <w:t>—37</w:t>
            </w:r>
          </w:p>
        </w:tc>
        <w:tc>
          <w:tcPr>
            <w:tcW w:w="860" w:type="dxa"/>
          </w:tcPr>
          <w:p w:rsidR="00B40966" w:rsidRDefault="00B40966">
            <w:pPr>
              <w:spacing w:before="120"/>
            </w:pPr>
            <w:r>
              <w:t>1</w:t>
            </w:r>
          </w:p>
        </w:tc>
        <w:tc>
          <w:tcPr>
            <w:tcW w:w="976" w:type="dxa"/>
          </w:tcPr>
          <w:p w:rsidR="00B40966" w:rsidRDefault="00B40966">
            <w:pPr>
              <w:spacing w:before="120"/>
            </w:pPr>
            <w:r>
              <w:t>15</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84—90</w:t>
            </w:r>
          </w:p>
        </w:tc>
        <w:tc>
          <w:tcPr>
            <w:tcW w:w="1440" w:type="dxa"/>
          </w:tcPr>
          <w:p w:rsidR="00B40966" w:rsidRDefault="00B40966">
            <w:pPr>
              <w:spacing w:before="120"/>
            </w:pPr>
            <w:r>
              <w:t>37—40</w:t>
            </w:r>
          </w:p>
        </w:tc>
        <w:tc>
          <w:tcPr>
            <w:tcW w:w="860" w:type="dxa"/>
          </w:tcPr>
          <w:p w:rsidR="00B40966" w:rsidRDefault="00B40966">
            <w:pPr>
              <w:spacing w:before="120"/>
            </w:pPr>
            <w:r>
              <w:t>1</w:t>
            </w:r>
          </w:p>
        </w:tc>
        <w:tc>
          <w:tcPr>
            <w:tcW w:w="976" w:type="dxa"/>
          </w:tcPr>
          <w:p w:rsidR="00B40966" w:rsidRDefault="00B40966">
            <w:pPr>
              <w:spacing w:before="120"/>
            </w:pPr>
            <w:r>
              <w:t>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90—96</w:t>
            </w:r>
          </w:p>
        </w:tc>
        <w:tc>
          <w:tcPr>
            <w:tcW w:w="1440" w:type="dxa"/>
          </w:tcPr>
          <w:p w:rsidR="00B40966" w:rsidRDefault="00B40966">
            <w:pPr>
              <w:spacing w:before="120"/>
            </w:pPr>
            <w:r>
              <w:t>40—42</w:t>
            </w:r>
            <w:r>
              <w:rPr>
                <w:position w:val="6"/>
                <w:sz w:val="18"/>
              </w:rPr>
              <w:t>1</w:t>
            </w:r>
            <w:r>
              <w:t>/</w:t>
            </w:r>
            <w:r>
              <w:rPr>
                <w:sz w:val="18"/>
              </w:rPr>
              <w:t>2</w:t>
            </w:r>
          </w:p>
        </w:tc>
        <w:tc>
          <w:tcPr>
            <w:tcW w:w="860" w:type="dxa"/>
          </w:tcPr>
          <w:p w:rsidR="00B40966" w:rsidRDefault="00B40966">
            <w:pPr>
              <w:spacing w:before="120"/>
            </w:pPr>
            <w:r>
              <w:t>. .</w:t>
            </w:r>
          </w:p>
        </w:tc>
        <w:tc>
          <w:tcPr>
            <w:tcW w:w="976" w:type="dxa"/>
          </w:tcPr>
          <w:p w:rsidR="00B40966" w:rsidRDefault="00B40966">
            <w:pPr>
              <w:spacing w:before="120"/>
            </w:pPr>
            <w:r>
              <w:t>55</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96—108</w:t>
            </w:r>
          </w:p>
        </w:tc>
        <w:tc>
          <w:tcPr>
            <w:tcW w:w="1440" w:type="dxa"/>
          </w:tcPr>
          <w:p w:rsidR="00B40966" w:rsidRDefault="00B40966">
            <w:pPr>
              <w:spacing w:before="120"/>
            </w:pPr>
            <w:r>
              <w:t>42</w:t>
            </w:r>
            <w:r>
              <w:rPr>
                <w:position w:val="6"/>
                <w:sz w:val="18"/>
              </w:rPr>
              <w:t>1</w:t>
            </w:r>
            <w:r>
              <w:t>/</w:t>
            </w:r>
            <w:r>
              <w:rPr>
                <w:sz w:val="18"/>
              </w:rPr>
              <w:t>2</w:t>
            </w:r>
            <w:r>
              <w:t>—48</w:t>
            </w:r>
          </w:p>
        </w:tc>
        <w:tc>
          <w:tcPr>
            <w:tcW w:w="860" w:type="dxa"/>
          </w:tcPr>
          <w:p w:rsidR="00B40966" w:rsidRDefault="00B40966">
            <w:pPr>
              <w:spacing w:before="120"/>
            </w:pPr>
            <w:r>
              <w:t>. .</w:t>
            </w:r>
          </w:p>
        </w:tc>
        <w:tc>
          <w:tcPr>
            <w:tcW w:w="976" w:type="dxa"/>
          </w:tcPr>
          <w:p w:rsidR="00B40966" w:rsidRDefault="00B40966">
            <w:pPr>
              <w:spacing w:before="120"/>
            </w:pPr>
            <w:r>
              <w:t>40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108—120</w:t>
            </w:r>
          </w:p>
        </w:tc>
        <w:tc>
          <w:tcPr>
            <w:tcW w:w="1440" w:type="dxa"/>
          </w:tcPr>
          <w:p w:rsidR="00B40966" w:rsidRDefault="00B40966">
            <w:pPr>
              <w:spacing w:before="120"/>
            </w:pPr>
            <w:r>
              <w:t>48—53</w:t>
            </w:r>
            <w:r>
              <w:rPr>
                <w:position w:val="6"/>
                <w:sz w:val="18"/>
              </w:rPr>
              <w:t>1</w:t>
            </w:r>
            <w:r>
              <w:t>/</w:t>
            </w:r>
            <w:r>
              <w:rPr>
                <w:sz w:val="18"/>
              </w:rPr>
              <w:t>2</w:t>
            </w:r>
          </w:p>
        </w:tc>
        <w:tc>
          <w:tcPr>
            <w:tcW w:w="860" w:type="dxa"/>
          </w:tcPr>
          <w:p w:rsidR="00B40966" w:rsidRDefault="00B40966">
            <w:pPr>
              <w:spacing w:before="120"/>
            </w:pPr>
            <w:r>
              <w:t>. .</w:t>
            </w:r>
          </w:p>
        </w:tc>
        <w:tc>
          <w:tcPr>
            <w:tcW w:w="976" w:type="dxa"/>
          </w:tcPr>
          <w:p w:rsidR="00B40966" w:rsidRDefault="00B40966">
            <w:pPr>
              <w:spacing w:before="120"/>
            </w:pPr>
            <w:r>
              <w:t>35</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120—132</w:t>
            </w:r>
          </w:p>
        </w:tc>
        <w:tc>
          <w:tcPr>
            <w:tcW w:w="1440" w:type="dxa"/>
          </w:tcPr>
          <w:p w:rsidR="00B40966" w:rsidRDefault="00B40966">
            <w:pPr>
              <w:spacing w:before="120"/>
            </w:pPr>
            <w:r>
              <w:t>53</w:t>
            </w:r>
            <w:r>
              <w:rPr>
                <w:position w:val="6"/>
                <w:sz w:val="18"/>
              </w:rPr>
              <w:t>1</w:t>
            </w:r>
            <w:r>
              <w:t>/</w:t>
            </w:r>
            <w:r>
              <w:rPr>
                <w:sz w:val="18"/>
              </w:rPr>
              <w:t>2</w:t>
            </w:r>
            <w:r>
              <w:t>—59</w:t>
            </w:r>
          </w:p>
        </w:tc>
        <w:tc>
          <w:tcPr>
            <w:tcW w:w="860" w:type="dxa"/>
          </w:tcPr>
          <w:p w:rsidR="00B40966" w:rsidRDefault="00B40966">
            <w:pPr>
              <w:spacing w:before="120"/>
            </w:pPr>
            <w:r>
              <w:t>. .</w:t>
            </w:r>
          </w:p>
        </w:tc>
        <w:tc>
          <w:tcPr>
            <w:tcW w:w="976" w:type="dxa"/>
          </w:tcPr>
          <w:p w:rsidR="00B40966" w:rsidRDefault="00B40966">
            <w:pPr>
              <w:spacing w:before="120"/>
            </w:pPr>
            <w:r>
              <w:t>30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132—144</w:t>
            </w:r>
          </w:p>
        </w:tc>
        <w:tc>
          <w:tcPr>
            <w:tcW w:w="1440" w:type="dxa"/>
          </w:tcPr>
          <w:p w:rsidR="00B40966" w:rsidRDefault="00B40966">
            <w:pPr>
              <w:spacing w:before="120"/>
            </w:pPr>
            <w:r>
              <w:t>59—64</w:t>
            </w:r>
            <w:r>
              <w:rPr>
                <w:position w:val="6"/>
                <w:sz w:val="18"/>
              </w:rPr>
              <w:t>1</w:t>
            </w:r>
            <w:r>
              <w:t>/</w:t>
            </w:r>
            <w:r>
              <w:rPr>
                <w:sz w:val="18"/>
              </w:rPr>
              <w:t>2</w:t>
            </w:r>
          </w:p>
        </w:tc>
        <w:tc>
          <w:tcPr>
            <w:tcW w:w="860" w:type="dxa"/>
          </w:tcPr>
          <w:p w:rsidR="00B40966" w:rsidRDefault="00B40966">
            <w:pPr>
              <w:spacing w:before="120"/>
            </w:pPr>
            <w:r>
              <w:t>. .</w:t>
            </w:r>
          </w:p>
        </w:tc>
        <w:tc>
          <w:tcPr>
            <w:tcW w:w="976" w:type="dxa"/>
          </w:tcPr>
          <w:p w:rsidR="00B40966" w:rsidRDefault="00B40966">
            <w:pPr>
              <w:spacing w:before="120"/>
            </w:pPr>
            <w:r>
              <w:t>25</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144—156</w:t>
            </w:r>
          </w:p>
        </w:tc>
        <w:tc>
          <w:tcPr>
            <w:tcW w:w="1440" w:type="dxa"/>
          </w:tcPr>
          <w:p w:rsidR="00B40966" w:rsidRDefault="00B40966">
            <w:pPr>
              <w:spacing w:before="120"/>
            </w:pPr>
            <w:r>
              <w:t>64</w:t>
            </w:r>
            <w:r>
              <w:rPr>
                <w:position w:val="6"/>
                <w:sz w:val="18"/>
              </w:rPr>
              <w:t>1</w:t>
            </w:r>
            <w:r>
              <w:t>/</w:t>
            </w:r>
            <w:r>
              <w:rPr>
                <w:sz w:val="18"/>
              </w:rPr>
              <w:t>2</w:t>
            </w:r>
            <w:r>
              <w:t>—70</w:t>
            </w:r>
          </w:p>
        </w:tc>
        <w:tc>
          <w:tcPr>
            <w:tcW w:w="860" w:type="dxa"/>
          </w:tcPr>
          <w:p w:rsidR="00B40966" w:rsidRDefault="00B40966">
            <w:pPr>
              <w:spacing w:before="120"/>
            </w:pPr>
            <w:r>
              <w:t>. .</w:t>
            </w:r>
          </w:p>
        </w:tc>
        <w:tc>
          <w:tcPr>
            <w:tcW w:w="976" w:type="dxa"/>
          </w:tcPr>
          <w:p w:rsidR="00B40966" w:rsidRDefault="00B40966">
            <w:pPr>
              <w:spacing w:before="120"/>
            </w:pPr>
            <w:r>
              <w:t>20</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156—168</w:t>
            </w:r>
          </w:p>
        </w:tc>
        <w:tc>
          <w:tcPr>
            <w:tcW w:w="1440" w:type="dxa"/>
          </w:tcPr>
          <w:p w:rsidR="00B40966" w:rsidRDefault="00B40966">
            <w:pPr>
              <w:spacing w:before="120"/>
            </w:pPr>
            <w:r>
              <w:t>70—75</w:t>
            </w:r>
          </w:p>
        </w:tc>
        <w:tc>
          <w:tcPr>
            <w:tcW w:w="860" w:type="dxa"/>
          </w:tcPr>
          <w:p w:rsidR="00B40966" w:rsidRDefault="00B40966">
            <w:pPr>
              <w:spacing w:before="120"/>
            </w:pPr>
            <w:r>
              <w:t>. .</w:t>
            </w:r>
          </w:p>
        </w:tc>
        <w:tc>
          <w:tcPr>
            <w:tcW w:w="976" w:type="dxa"/>
          </w:tcPr>
          <w:p w:rsidR="00B40966" w:rsidRDefault="00B40966">
            <w:pPr>
              <w:spacing w:before="120"/>
            </w:pPr>
            <w:r>
              <w:t>16</w:t>
            </w:r>
          </w:p>
        </w:tc>
        <w:tc>
          <w:tcPr>
            <w:tcW w:w="3162" w:type="dxa"/>
          </w:tcPr>
          <w:p w:rsidR="00B40966" w:rsidRDefault="00B40966">
            <w:pPr>
              <w:spacing w:before="120"/>
            </w:pPr>
          </w:p>
        </w:tc>
      </w:tr>
      <w:tr w:rsidR="00B40966">
        <w:trPr>
          <w:cantSplit/>
        </w:trPr>
        <w:tc>
          <w:tcPr>
            <w:tcW w:w="1200" w:type="dxa"/>
          </w:tcPr>
          <w:p w:rsidR="00B40966" w:rsidRDefault="00B40966">
            <w:pPr>
              <w:spacing w:before="120"/>
            </w:pPr>
            <w:r>
              <w:t>168—180</w:t>
            </w:r>
          </w:p>
        </w:tc>
        <w:tc>
          <w:tcPr>
            <w:tcW w:w="1440" w:type="dxa"/>
          </w:tcPr>
          <w:p w:rsidR="00B40966" w:rsidRDefault="00B40966">
            <w:pPr>
              <w:spacing w:before="120"/>
            </w:pPr>
            <w:r>
              <w:t>75—80</w:t>
            </w:r>
            <w:r>
              <w:rPr>
                <w:position w:val="6"/>
                <w:sz w:val="18"/>
              </w:rPr>
              <w:t>1</w:t>
            </w:r>
            <w:r>
              <w:t>/</w:t>
            </w:r>
            <w:r>
              <w:rPr>
                <w:sz w:val="18"/>
              </w:rPr>
              <w:t>2</w:t>
            </w:r>
          </w:p>
        </w:tc>
        <w:tc>
          <w:tcPr>
            <w:tcW w:w="860" w:type="dxa"/>
          </w:tcPr>
          <w:p w:rsidR="00B40966" w:rsidRDefault="00B40966">
            <w:pPr>
              <w:spacing w:before="120"/>
            </w:pPr>
            <w:r>
              <w:t>. .</w:t>
            </w:r>
          </w:p>
        </w:tc>
        <w:tc>
          <w:tcPr>
            <w:tcW w:w="976" w:type="dxa"/>
          </w:tcPr>
          <w:p w:rsidR="00B40966" w:rsidRDefault="00B40966">
            <w:pPr>
              <w:spacing w:before="120"/>
            </w:pPr>
            <w:r>
              <w:t>14</w:t>
            </w:r>
          </w:p>
        </w:tc>
        <w:tc>
          <w:tcPr>
            <w:tcW w:w="3162" w:type="dxa"/>
          </w:tcPr>
          <w:p w:rsidR="00B40966" w:rsidRDefault="00B40966">
            <w:pPr>
              <w:spacing w:before="120"/>
            </w:pPr>
          </w:p>
        </w:tc>
      </w:tr>
    </w:tbl>
    <w:p w:rsidR="00B40966" w:rsidRDefault="00B40966">
      <w:pPr>
        <w:spacing w:before="60"/>
        <w:ind w:left="399" w:hanging="399"/>
        <w:rPr>
          <w:sz w:val="20"/>
        </w:rPr>
      </w:pPr>
      <w:r>
        <w:rPr>
          <w:sz w:val="20"/>
        </w:rPr>
        <w:t>*</w:t>
      </w:r>
      <w:r>
        <w:rPr>
          <w:sz w:val="20"/>
        </w:rPr>
        <w:tab/>
      </w:r>
      <w:r>
        <w:rPr>
          <w:rStyle w:val="charItals"/>
          <w:b/>
          <w:sz w:val="20"/>
        </w:rPr>
        <w:t>Safe diving period</w:t>
      </w:r>
      <w:r>
        <w:rPr>
          <w:sz w:val="20"/>
        </w:rPr>
        <w:t xml:space="preserve"> means the time spent within any period of 24 hours from the beginning of the first descent to the beginning of the last ascent.</w:t>
      </w:r>
    </w:p>
    <w:p w:rsidR="00B40966" w:rsidRDefault="00B40966"/>
    <w:p w:rsidR="00B40966" w:rsidRDefault="00B40966">
      <w:pPr>
        <w:pStyle w:val="Amain"/>
      </w:pPr>
      <w:r>
        <w:tab/>
        <w:t>(21)</w:t>
      </w:r>
      <w:r>
        <w:tab/>
        <w:t>If, in the case of emergency, it is necessary for a diver to remain under water at a depth of 66 feet or over for a period of time exceeding the limits set out in table 99.1, the decompression of the diver shall be regulated in the way set out in schedule 7, table 7.1.</w:t>
      </w:r>
    </w:p>
    <w:p w:rsidR="00B40966" w:rsidRDefault="00B40966">
      <w:pPr>
        <w:pStyle w:val="Amain"/>
      </w:pPr>
      <w:r>
        <w:tab/>
        <w:t>(22)</w:t>
      </w:r>
      <w:r>
        <w:tab/>
        <w:t>When a diver is brought to the surface with stoppages in accordance with schedule 7, table 7.1, the diver shall not dive or be employed to dive again within 12 hours except in case of grave emergency.</w:t>
      </w:r>
    </w:p>
    <w:p w:rsidR="00B40966" w:rsidRDefault="00B40966">
      <w:pPr>
        <w:pStyle w:val="Amain"/>
      </w:pPr>
      <w:r>
        <w:tab/>
        <w:t>(23)</w:t>
      </w:r>
      <w:r>
        <w:tab/>
        <w:t>Should it be necessary for a diver to descend a 2nd time to a depth of 66 feet or over with an interval of less than 4 hours between the 2 descents, the following method of calculating the stoppages required shall be observed:</w:t>
      </w:r>
    </w:p>
    <w:p w:rsidR="00B40966" w:rsidRDefault="00B40966">
      <w:pPr>
        <w:pStyle w:val="Apara"/>
      </w:pPr>
      <w:r>
        <w:tab/>
        <w:t>(a)</w:t>
      </w:r>
      <w:r>
        <w:tab/>
        <w:t>read from schedule 7, table 7.2 the stoppages for the 2nd dive and from schedule 7, table 7.1, the stoppages required for a dive of duration equal to that of the 2 dives combined; and</w:t>
      </w:r>
    </w:p>
    <w:p w:rsidR="00B40966" w:rsidRDefault="00B40966">
      <w:pPr>
        <w:pStyle w:val="Apara"/>
      </w:pPr>
      <w:r>
        <w:tab/>
        <w:t>(b)</w:t>
      </w:r>
      <w:r>
        <w:tab/>
        <w:t>divide the number of stoppages by 2 for those at the greater depth check the diver for the periods shown for the 2nd dive, and for the remainder check the diver for the periods shown for the combined dive, and should there be an odd number of stoppages the greater number shall be used for the dive as combined.</w:t>
      </w:r>
    </w:p>
    <w:p w:rsidR="00B40966" w:rsidRDefault="00B40966">
      <w:pPr>
        <w:pStyle w:val="Amain"/>
      </w:pPr>
      <w:r>
        <w:tab/>
        <w:t>(24)</w:t>
      </w:r>
      <w:r>
        <w:tab/>
        <w:t>The tables shall be interpreted to give the diver the maximum time in the minimum depth of water.</w:t>
      </w:r>
    </w:p>
    <w:p w:rsidR="00B40966" w:rsidRDefault="00B40966">
      <w:pPr>
        <w:pStyle w:val="Amain"/>
      </w:pPr>
      <w:r>
        <w:tab/>
        <w:t>(25)</w:t>
      </w:r>
      <w:r>
        <w:tab/>
        <w:t>Stoppages at 20 feet and 10 feet are the most beneficial to the diver.</w:t>
      </w:r>
    </w:p>
    <w:p w:rsidR="00B40966" w:rsidRDefault="00B40966">
      <w:pPr>
        <w:pStyle w:val="Assectheading"/>
        <w:rPr>
          <w:i w:val="0"/>
        </w:rPr>
      </w:pPr>
      <w:r>
        <w:rPr>
          <w:rStyle w:val="charItals"/>
          <w:i/>
        </w:rPr>
        <w:t>Decompression</w:t>
      </w:r>
    </w:p>
    <w:p w:rsidR="00B40966" w:rsidRDefault="00B40966">
      <w:pPr>
        <w:pStyle w:val="Amain"/>
      </w:pPr>
      <w:r>
        <w:tab/>
        <w:t>(26)</w:t>
      </w:r>
      <w:r>
        <w:tab/>
        <w:t>When the prescribed limits of time under water have not been exceeded, the stoppages in ascending shall be as shown in schedule 7, table 7.2.</w:t>
      </w:r>
    </w:p>
    <w:p w:rsidR="00B40966" w:rsidRDefault="00B40966">
      <w:pPr>
        <w:pStyle w:val="Amain"/>
      </w:pPr>
      <w:r>
        <w:tab/>
        <w:t>(27)</w:t>
      </w:r>
      <w:r>
        <w:tab/>
        <w:t>The stoppage points shall be determined by the attendant who shall be guided by the depth gauge readings after making due allowance for gauge error.</w:t>
      </w:r>
    </w:p>
    <w:p w:rsidR="00B40966" w:rsidRDefault="00B40966">
      <w:pPr>
        <w:pStyle w:val="Amain"/>
      </w:pPr>
      <w:r>
        <w:tab/>
        <w:t>(28)</w:t>
      </w:r>
      <w:r>
        <w:tab/>
        <w:t>The diver shall not be brought up from the bottom to the first stopping place at a rate faster than 1 foot in 1 second, and his or her ascent shall be at once checked if this rate is exceeded.</w:t>
      </w:r>
    </w:p>
    <w:p w:rsidR="00B40966" w:rsidRDefault="00B40966">
      <w:pPr>
        <w:pStyle w:val="Amain"/>
      </w:pPr>
      <w:r>
        <w:tab/>
        <w:t>(29)</w:t>
      </w:r>
      <w:r>
        <w:tab/>
        <w:t>While the diver is ascending, the diver must undertake as much gymnastic exercise as possible, especially using those muscles that were in use on the bottom.</w:t>
      </w:r>
    </w:p>
    <w:p w:rsidR="00B40966" w:rsidRDefault="00B40966">
      <w:pPr>
        <w:pStyle w:val="Assectheading"/>
        <w:rPr>
          <w:i w:val="0"/>
        </w:rPr>
      </w:pPr>
      <w:r>
        <w:rPr>
          <w:rStyle w:val="charItals"/>
          <w:i/>
        </w:rPr>
        <w:t>Air supply</w:t>
      </w:r>
    </w:p>
    <w:p w:rsidR="00B40966" w:rsidRDefault="00B40966">
      <w:pPr>
        <w:pStyle w:val="Amain"/>
      </w:pPr>
      <w:r>
        <w:tab/>
        <w:t>(30)</w:t>
      </w:r>
      <w:r>
        <w:tab/>
        <w:t>The minimum quantity of air supplied to divers at various depths shall be as set out in table 99.2, except that during the descent the pump shall be operated at the maximum revolutions or the air supply shall be considerably increased:</w:t>
      </w:r>
    </w:p>
    <w:p w:rsidR="00B40966" w:rsidRDefault="00B40966">
      <w:pPr>
        <w:pStyle w:val="TableHd"/>
      </w:pPr>
      <w:r>
        <w:t>Table 99.2</w:t>
      </w:r>
      <w:r>
        <w:tab/>
        <w:t>Quantity of air required by a diver at various depths</w:t>
      </w:r>
    </w:p>
    <w:tbl>
      <w:tblPr>
        <w:tblW w:w="0" w:type="auto"/>
        <w:tblInd w:w="80" w:type="dxa"/>
        <w:tblLayout w:type="fixed"/>
        <w:tblCellMar>
          <w:left w:w="80" w:type="dxa"/>
          <w:right w:w="80" w:type="dxa"/>
        </w:tblCellMar>
        <w:tblLook w:val="0000" w:firstRow="0" w:lastRow="0" w:firstColumn="0" w:lastColumn="0" w:noHBand="0" w:noVBand="0"/>
      </w:tblPr>
      <w:tblGrid>
        <w:gridCol w:w="1160"/>
        <w:gridCol w:w="940"/>
        <w:gridCol w:w="20"/>
        <w:gridCol w:w="2212"/>
        <w:gridCol w:w="1539"/>
        <w:gridCol w:w="1710"/>
      </w:tblGrid>
      <w:tr w:rsidR="00B40966">
        <w:trPr>
          <w:cantSplit/>
        </w:trPr>
        <w:tc>
          <w:tcPr>
            <w:tcW w:w="2100" w:type="dxa"/>
            <w:gridSpan w:val="2"/>
          </w:tcPr>
          <w:p w:rsidR="00B40966" w:rsidRDefault="00B40966">
            <w:pPr>
              <w:pStyle w:val="TableColHd"/>
            </w:pPr>
            <w:r>
              <w:t>depth</w:t>
            </w:r>
          </w:p>
        </w:tc>
        <w:tc>
          <w:tcPr>
            <w:tcW w:w="2232" w:type="dxa"/>
            <w:gridSpan w:val="2"/>
          </w:tcPr>
          <w:p w:rsidR="00B40966" w:rsidRDefault="00B40966">
            <w:pPr>
              <w:pStyle w:val="TableColHd"/>
            </w:pPr>
            <w:r>
              <w:t>quantity of air at atmospheric pressure required per minute</w:t>
            </w:r>
          </w:p>
        </w:tc>
        <w:tc>
          <w:tcPr>
            <w:tcW w:w="1539" w:type="dxa"/>
          </w:tcPr>
          <w:p w:rsidR="00B40966" w:rsidRDefault="00B40966">
            <w:pPr>
              <w:pStyle w:val="TableColHd"/>
            </w:pPr>
            <w:r>
              <w:t>*number of cylinders needed</w:t>
            </w:r>
          </w:p>
        </w:tc>
        <w:tc>
          <w:tcPr>
            <w:tcW w:w="1710" w:type="dxa"/>
          </w:tcPr>
          <w:p w:rsidR="00B40966" w:rsidRDefault="00B40966">
            <w:pPr>
              <w:pStyle w:val="TableColHd"/>
            </w:pPr>
            <w:r>
              <w:t>*revolutions of hand pump per Minute</w:t>
            </w:r>
          </w:p>
        </w:tc>
      </w:tr>
      <w:tr w:rsidR="00B40966">
        <w:trPr>
          <w:cantSplit/>
        </w:trPr>
        <w:tc>
          <w:tcPr>
            <w:tcW w:w="1160" w:type="dxa"/>
            <w:tcBorders>
              <w:bottom w:val="single" w:sz="4" w:space="0" w:color="auto"/>
            </w:tcBorders>
          </w:tcPr>
          <w:p w:rsidR="00B40966" w:rsidRDefault="00B40966">
            <w:pPr>
              <w:pStyle w:val="TableColHd"/>
            </w:pPr>
            <w:r>
              <w:t>Fathoms</w:t>
            </w:r>
          </w:p>
        </w:tc>
        <w:tc>
          <w:tcPr>
            <w:tcW w:w="960" w:type="dxa"/>
            <w:gridSpan w:val="2"/>
            <w:tcBorders>
              <w:bottom w:val="single" w:sz="4" w:space="0" w:color="auto"/>
            </w:tcBorders>
          </w:tcPr>
          <w:p w:rsidR="00B40966" w:rsidRDefault="00B40966">
            <w:pPr>
              <w:pStyle w:val="TableColHd"/>
            </w:pPr>
            <w:r>
              <w:t>ft</w:t>
            </w:r>
          </w:p>
        </w:tc>
        <w:tc>
          <w:tcPr>
            <w:tcW w:w="2212" w:type="dxa"/>
            <w:tcBorders>
              <w:bottom w:val="single" w:sz="4" w:space="0" w:color="auto"/>
            </w:tcBorders>
          </w:tcPr>
          <w:p w:rsidR="00B40966" w:rsidRDefault="00B40966">
            <w:pPr>
              <w:pStyle w:val="TableColHd"/>
            </w:pPr>
            <w:r>
              <w:t>cu. ft</w:t>
            </w:r>
          </w:p>
        </w:tc>
        <w:tc>
          <w:tcPr>
            <w:tcW w:w="1539" w:type="dxa"/>
            <w:tcBorders>
              <w:bottom w:val="single" w:sz="4" w:space="0" w:color="auto"/>
            </w:tcBorders>
          </w:tcPr>
          <w:p w:rsidR="00B40966" w:rsidRDefault="00B40966">
            <w:pPr>
              <w:pStyle w:val="TableColHd"/>
            </w:pPr>
          </w:p>
        </w:tc>
        <w:tc>
          <w:tcPr>
            <w:tcW w:w="1710" w:type="dxa"/>
            <w:tcBorders>
              <w:bottom w:val="single" w:sz="4" w:space="0" w:color="auto"/>
            </w:tcBorders>
          </w:tcPr>
          <w:p w:rsidR="00B40966" w:rsidRDefault="00B40966">
            <w:pPr>
              <w:pStyle w:val="TableColHd"/>
            </w:pPr>
          </w:p>
        </w:tc>
      </w:tr>
      <w:tr w:rsidR="00B40966">
        <w:trPr>
          <w:cantSplit/>
        </w:trPr>
        <w:tc>
          <w:tcPr>
            <w:tcW w:w="1160" w:type="dxa"/>
            <w:tcBorders>
              <w:top w:val="single" w:sz="4" w:space="0" w:color="auto"/>
            </w:tcBorders>
          </w:tcPr>
          <w:p w:rsidR="00B40966" w:rsidRDefault="00B40966">
            <w:pPr>
              <w:pStyle w:val="TableText"/>
            </w:pPr>
            <w:r>
              <w:t>0</w:t>
            </w:r>
          </w:p>
        </w:tc>
        <w:tc>
          <w:tcPr>
            <w:tcW w:w="960" w:type="dxa"/>
            <w:gridSpan w:val="2"/>
            <w:tcBorders>
              <w:top w:val="single" w:sz="4" w:space="0" w:color="auto"/>
            </w:tcBorders>
          </w:tcPr>
          <w:p w:rsidR="00B40966" w:rsidRDefault="00B40966">
            <w:pPr>
              <w:pStyle w:val="TableText"/>
            </w:pPr>
            <w:r>
              <w:t>0</w:t>
            </w:r>
          </w:p>
        </w:tc>
        <w:tc>
          <w:tcPr>
            <w:tcW w:w="2212" w:type="dxa"/>
            <w:tcBorders>
              <w:top w:val="single" w:sz="4" w:space="0" w:color="auto"/>
            </w:tcBorders>
          </w:tcPr>
          <w:p w:rsidR="00B40966" w:rsidRDefault="00B40966">
            <w:pPr>
              <w:pStyle w:val="TableText"/>
            </w:pPr>
            <w:r>
              <w:t>1.5</w:t>
            </w:r>
          </w:p>
        </w:tc>
        <w:tc>
          <w:tcPr>
            <w:tcW w:w="1539" w:type="dxa"/>
            <w:tcBorders>
              <w:top w:val="single" w:sz="4" w:space="0" w:color="auto"/>
            </w:tcBorders>
          </w:tcPr>
          <w:p w:rsidR="00B40966" w:rsidRDefault="00B40966">
            <w:pPr>
              <w:pStyle w:val="TableText"/>
            </w:pPr>
            <w:r>
              <w:t>1</w:t>
            </w:r>
          </w:p>
        </w:tc>
        <w:tc>
          <w:tcPr>
            <w:tcW w:w="1710" w:type="dxa"/>
            <w:tcBorders>
              <w:top w:val="single" w:sz="4" w:space="0" w:color="auto"/>
            </w:tcBorders>
          </w:tcPr>
          <w:p w:rsidR="00B40966" w:rsidRDefault="00B40966">
            <w:pPr>
              <w:pStyle w:val="TableText"/>
            </w:pPr>
            <w:r>
              <w:t>15</w:t>
            </w:r>
          </w:p>
        </w:tc>
      </w:tr>
      <w:tr w:rsidR="00B40966">
        <w:trPr>
          <w:cantSplit/>
        </w:trPr>
        <w:tc>
          <w:tcPr>
            <w:tcW w:w="1160" w:type="dxa"/>
          </w:tcPr>
          <w:p w:rsidR="00B40966" w:rsidRDefault="00B40966">
            <w:pPr>
              <w:pStyle w:val="TableText"/>
            </w:pPr>
            <w:r>
              <w:t>2</w:t>
            </w:r>
            <w:r>
              <w:rPr>
                <w:position w:val="6"/>
                <w:sz w:val="18"/>
              </w:rPr>
              <w:t>3</w:t>
            </w:r>
            <w:r>
              <w:t>/</w:t>
            </w:r>
            <w:r>
              <w:rPr>
                <w:sz w:val="18"/>
              </w:rPr>
              <w:t>4</w:t>
            </w:r>
          </w:p>
        </w:tc>
        <w:tc>
          <w:tcPr>
            <w:tcW w:w="960" w:type="dxa"/>
            <w:gridSpan w:val="2"/>
          </w:tcPr>
          <w:p w:rsidR="00B40966" w:rsidRDefault="00B40966">
            <w:pPr>
              <w:pStyle w:val="TableText"/>
            </w:pPr>
            <w:r>
              <w:t>16</w:t>
            </w:r>
          </w:p>
        </w:tc>
        <w:tc>
          <w:tcPr>
            <w:tcW w:w="2212" w:type="dxa"/>
          </w:tcPr>
          <w:p w:rsidR="00B40966" w:rsidRDefault="00B40966">
            <w:pPr>
              <w:pStyle w:val="TableText"/>
            </w:pPr>
            <w:r>
              <w:t>2.2</w:t>
            </w:r>
          </w:p>
        </w:tc>
        <w:tc>
          <w:tcPr>
            <w:tcW w:w="1539" w:type="dxa"/>
          </w:tcPr>
          <w:p w:rsidR="00B40966" w:rsidRDefault="00B40966">
            <w:pPr>
              <w:pStyle w:val="TableText"/>
            </w:pPr>
            <w:r>
              <w:t>1</w:t>
            </w:r>
          </w:p>
        </w:tc>
        <w:tc>
          <w:tcPr>
            <w:tcW w:w="1710" w:type="dxa"/>
          </w:tcPr>
          <w:p w:rsidR="00B40966" w:rsidRDefault="00B40966">
            <w:pPr>
              <w:pStyle w:val="TableText"/>
            </w:pPr>
            <w:r>
              <w:t>22</w:t>
            </w:r>
          </w:p>
        </w:tc>
      </w:tr>
      <w:tr w:rsidR="00B40966">
        <w:trPr>
          <w:cantSplit/>
        </w:trPr>
        <w:tc>
          <w:tcPr>
            <w:tcW w:w="1160" w:type="dxa"/>
          </w:tcPr>
          <w:p w:rsidR="00B40966" w:rsidRDefault="00B40966">
            <w:pPr>
              <w:pStyle w:val="TableText"/>
            </w:pPr>
            <w:r>
              <w:t>5</w:t>
            </w:r>
            <w:r>
              <w:rPr>
                <w:position w:val="6"/>
                <w:sz w:val="18"/>
              </w:rPr>
              <w:t>1</w:t>
            </w:r>
            <w:r>
              <w:t>/</w:t>
            </w:r>
            <w:r>
              <w:rPr>
                <w:sz w:val="18"/>
              </w:rPr>
              <w:t>2</w:t>
            </w:r>
          </w:p>
        </w:tc>
        <w:tc>
          <w:tcPr>
            <w:tcW w:w="960" w:type="dxa"/>
            <w:gridSpan w:val="2"/>
          </w:tcPr>
          <w:p w:rsidR="00B40966" w:rsidRDefault="00B40966">
            <w:pPr>
              <w:pStyle w:val="TableText"/>
            </w:pPr>
            <w:r>
              <w:t>33</w:t>
            </w:r>
          </w:p>
        </w:tc>
        <w:tc>
          <w:tcPr>
            <w:tcW w:w="2212" w:type="dxa"/>
          </w:tcPr>
          <w:p w:rsidR="00B40966" w:rsidRDefault="00B40966">
            <w:pPr>
              <w:pStyle w:val="TableText"/>
            </w:pPr>
            <w:r>
              <w:t>3.0</w:t>
            </w:r>
          </w:p>
        </w:tc>
        <w:tc>
          <w:tcPr>
            <w:tcW w:w="1539" w:type="dxa"/>
          </w:tcPr>
          <w:p w:rsidR="00B40966" w:rsidRDefault="00B40966">
            <w:pPr>
              <w:pStyle w:val="TableText"/>
            </w:pPr>
            <w:r>
              <w:t>1</w:t>
            </w:r>
          </w:p>
        </w:tc>
        <w:tc>
          <w:tcPr>
            <w:tcW w:w="1710" w:type="dxa"/>
          </w:tcPr>
          <w:p w:rsidR="00B40966" w:rsidRDefault="00B40966">
            <w:pPr>
              <w:pStyle w:val="TableText"/>
            </w:pPr>
            <w:r>
              <w:t>30</w:t>
            </w:r>
          </w:p>
        </w:tc>
      </w:tr>
      <w:tr w:rsidR="00B40966">
        <w:trPr>
          <w:cantSplit/>
        </w:trPr>
        <w:tc>
          <w:tcPr>
            <w:tcW w:w="1160" w:type="dxa"/>
          </w:tcPr>
          <w:p w:rsidR="00B40966" w:rsidRDefault="00B40966">
            <w:pPr>
              <w:pStyle w:val="TableText"/>
            </w:pPr>
            <w:r>
              <w:t>11</w:t>
            </w:r>
          </w:p>
        </w:tc>
        <w:tc>
          <w:tcPr>
            <w:tcW w:w="960" w:type="dxa"/>
            <w:gridSpan w:val="2"/>
          </w:tcPr>
          <w:p w:rsidR="00B40966" w:rsidRDefault="00B40966">
            <w:pPr>
              <w:pStyle w:val="TableText"/>
            </w:pPr>
            <w:r>
              <w:t>66</w:t>
            </w:r>
          </w:p>
        </w:tc>
        <w:tc>
          <w:tcPr>
            <w:tcW w:w="2212" w:type="dxa"/>
          </w:tcPr>
          <w:p w:rsidR="00B40966" w:rsidRDefault="00B40966">
            <w:pPr>
              <w:pStyle w:val="TableText"/>
            </w:pPr>
            <w:r>
              <w:t>4.5</w:t>
            </w:r>
          </w:p>
        </w:tc>
        <w:tc>
          <w:tcPr>
            <w:tcW w:w="1539" w:type="dxa"/>
          </w:tcPr>
          <w:p w:rsidR="00B40966" w:rsidRDefault="00B40966">
            <w:pPr>
              <w:pStyle w:val="TableText"/>
            </w:pPr>
            <w:r>
              <w:t>2</w:t>
            </w:r>
          </w:p>
        </w:tc>
        <w:tc>
          <w:tcPr>
            <w:tcW w:w="1710" w:type="dxa"/>
          </w:tcPr>
          <w:p w:rsidR="00B40966" w:rsidRDefault="00B40966">
            <w:pPr>
              <w:pStyle w:val="TableText"/>
            </w:pPr>
            <w:r>
              <w:t>22</w:t>
            </w:r>
          </w:p>
        </w:tc>
      </w:tr>
      <w:tr w:rsidR="00B40966">
        <w:trPr>
          <w:cantSplit/>
        </w:trPr>
        <w:tc>
          <w:tcPr>
            <w:tcW w:w="1160" w:type="dxa"/>
          </w:tcPr>
          <w:p w:rsidR="00B40966" w:rsidRDefault="00B40966">
            <w:pPr>
              <w:pStyle w:val="TableText"/>
            </w:pPr>
            <w:r>
              <w:t>16</w:t>
            </w:r>
            <w:r>
              <w:rPr>
                <w:position w:val="6"/>
                <w:sz w:val="18"/>
              </w:rPr>
              <w:t>1</w:t>
            </w:r>
            <w:r>
              <w:t>/</w:t>
            </w:r>
            <w:r>
              <w:rPr>
                <w:sz w:val="18"/>
              </w:rPr>
              <w:t>2</w:t>
            </w:r>
          </w:p>
        </w:tc>
        <w:tc>
          <w:tcPr>
            <w:tcW w:w="960" w:type="dxa"/>
            <w:gridSpan w:val="2"/>
          </w:tcPr>
          <w:p w:rsidR="00B40966" w:rsidRDefault="00B40966">
            <w:pPr>
              <w:pStyle w:val="TableText"/>
            </w:pPr>
            <w:r>
              <w:t>99</w:t>
            </w:r>
          </w:p>
        </w:tc>
        <w:tc>
          <w:tcPr>
            <w:tcW w:w="2212" w:type="dxa"/>
          </w:tcPr>
          <w:p w:rsidR="00B40966" w:rsidRDefault="00B40966">
            <w:pPr>
              <w:pStyle w:val="TableText"/>
            </w:pPr>
            <w:r>
              <w:t>6.0</w:t>
            </w:r>
          </w:p>
        </w:tc>
        <w:tc>
          <w:tcPr>
            <w:tcW w:w="1539" w:type="dxa"/>
          </w:tcPr>
          <w:p w:rsidR="00B40966" w:rsidRDefault="00B40966">
            <w:pPr>
              <w:pStyle w:val="TableText"/>
            </w:pPr>
            <w:r>
              <w:t>2</w:t>
            </w:r>
          </w:p>
        </w:tc>
        <w:tc>
          <w:tcPr>
            <w:tcW w:w="1710" w:type="dxa"/>
          </w:tcPr>
          <w:p w:rsidR="00B40966" w:rsidRDefault="00B40966">
            <w:pPr>
              <w:pStyle w:val="TableText"/>
            </w:pPr>
            <w:r>
              <w:t>30</w:t>
            </w:r>
          </w:p>
        </w:tc>
      </w:tr>
      <w:tr w:rsidR="00B40966">
        <w:trPr>
          <w:cantSplit/>
        </w:trPr>
        <w:tc>
          <w:tcPr>
            <w:tcW w:w="1160" w:type="dxa"/>
          </w:tcPr>
          <w:p w:rsidR="00B40966" w:rsidRDefault="00B40966">
            <w:pPr>
              <w:pStyle w:val="TableText"/>
            </w:pPr>
            <w:r>
              <w:t>22</w:t>
            </w:r>
          </w:p>
        </w:tc>
        <w:tc>
          <w:tcPr>
            <w:tcW w:w="960" w:type="dxa"/>
            <w:gridSpan w:val="2"/>
          </w:tcPr>
          <w:p w:rsidR="00B40966" w:rsidRDefault="00B40966">
            <w:pPr>
              <w:pStyle w:val="TableText"/>
            </w:pPr>
            <w:r>
              <w:t>132</w:t>
            </w:r>
          </w:p>
        </w:tc>
        <w:tc>
          <w:tcPr>
            <w:tcW w:w="2212" w:type="dxa"/>
          </w:tcPr>
          <w:p w:rsidR="00B40966" w:rsidRDefault="00B40966">
            <w:pPr>
              <w:pStyle w:val="TableText"/>
            </w:pPr>
            <w:r>
              <w:t>7.5</w:t>
            </w:r>
          </w:p>
        </w:tc>
        <w:tc>
          <w:tcPr>
            <w:tcW w:w="1539" w:type="dxa"/>
          </w:tcPr>
          <w:p w:rsidR="00B40966" w:rsidRDefault="00B40966">
            <w:pPr>
              <w:pStyle w:val="TableText"/>
            </w:pPr>
            <w:r>
              <w:t>4</w:t>
            </w:r>
          </w:p>
        </w:tc>
        <w:tc>
          <w:tcPr>
            <w:tcW w:w="1710" w:type="dxa"/>
          </w:tcPr>
          <w:p w:rsidR="00B40966" w:rsidRDefault="00B40966">
            <w:pPr>
              <w:pStyle w:val="TableText"/>
            </w:pPr>
            <w:r>
              <w:t>21</w:t>
            </w:r>
          </w:p>
        </w:tc>
      </w:tr>
      <w:tr w:rsidR="00B40966">
        <w:trPr>
          <w:cantSplit/>
        </w:trPr>
        <w:tc>
          <w:tcPr>
            <w:tcW w:w="1160" w:type="dxa"/>
          </w:tcPr>
          <w:p w:rsidR="00B40966" w:rsidRDefault="00B40966">
            <w:pPr>
              <w:pStyle w:val="TableText"/>
            </w:pPr>
            <w:r>
              <w:t>27</w:t>
            </w:r>
            <w:r>
              <w:rPr>
                <w:position w:val="6"/>
                <w:sz w:val="18"/>
              </w:rPr>
              <w:t>1</w:t>
            </w:r>
            <w:r>
              <w:t>/</w:t>
            </w:r>
            <w:r>
              <w:rPr>
                <w:sz w:val="18"/>
              </w:rPr>
              <w:t>2</w:t>
            </w:r>
          </w:p>
        </w:tc>
        <w:tc>
          <w:tcPr>
            <w:tcW w:w="960" w:type="dxa"/>
            <w:gridSpan w:val="2"/>
          </w:tcPr>
          <w:p w:rsidR="00B40966" w:rsidRDefault="00B40966">
            <w:pPr>
              <w:pStyle w:val="TableText"/>
            </w:pPr>
            <w:r>
              <w:t>165</w:t>
            </w:r>
          </w:p>
        </w:tc>
        <w:tc>
          <w:tcPr>
            <w:tcW w:w="2212" w:type="dxa"/>
          </w:tcPr>
          <w:p w:rsidR="00B40966" w:rsidRDefault="00B40966">
            <w:pPr>
              <w:pStyle w:val="TableText"/>
            </w:pPr>
            <w:r>
              <w:t>9.0</w:t>
            </w:r>
          </w:p>
        </w:tc>
        <w:tc>
          <w:tcPr>
            <w:tcW w:w="1539" w:type="dxa"/>
          </w:tcPr>
          <w:p w:rsidR="00B40966" w:rsidRDefault="00B40966">
            <w:pPr>
              <w:pStyle w:val="TableText"/>
            </w:pPr>
            <w:r>
              <w:t>4</w:t>
            </w:r>
          </w:p>
        </w:tc>
        <w:tc>
          <w:tcPr>
            <w:tcW w:w="1710" w:type="dxa"/>
          </w:tcPr>
          <w:p w:rsidR="00B40966" w:rsidRDefault="00B40966">
            <w:pPr>
              <w:pStyle w:val="TableText"/>
            </w:pPr>
            <w:r>
              <w:t>27</w:t>
            </w:r>
          </w:p>
        </w:tc>
      </w:tr>
      <w:tr w:rsidR="00B40966">
        <w:trPr>
          <w:cantSplit/>
        </w:trPr>
        <w:tc>
          <w:tcPr>
            <w:tcW w:w="1160" w:type="dxa"/>
          </w:tcPr>
          <w:p w:rsidR="00B40966" w:rsidRDefault="00B40966">
            <w:pPr>
              <w:pStyle w:val="TableText"/>
            </w:pPr>
            <w:r>
              <w:t>33</w:t>
            </w:r>
          </w:p>
        </w:tc>
        <w:tc>
          <w:tcPr>
            <w:tcW w:w="960" w:type="dxa"/>
            <w:gridSpan w:val="2"/>
          </w:tcPr>
          <w:p w:rsidR="00B40966" w:rsidRDefault="00B40966">
            <w:pPr>
              <w:pStyle w:val="TableText"/>
            </w:pPr>
            <w:r>
              <w:t>198†</w:t>
            </w:r>
          </w:p>
        </w:tc>
        <w:tc>
          <w:tcPr>
            <w:tcW w:w="2212" w:type="dxa"/>
          </w:tcPr>
          <w:p w:rsidR="00B40966" w:rsidRDefault="00B40966">
            <w:pPr>
              <w:pStyle w:val="TableText"/>
            </w:pPr>
            <w:r>
              <w:t>10.5</w:t>
            </w:r>
          </w:p>
        </w:tc>
        <w:tc>
          <w:tcPr>
            <w:tcW w:w="1539" w:type="dxa"/>
          </w:tcPr>
          <w:p w:rsidR="00B40966" w:rsidRDefault="00B40966">
            <w:pPr>
              <w:pStyle w:val="TableText"/>
            </w:pPr>
            <w:r>
              <w:t>†</w:t>
            </w:r>
          </w:p>
        </w:tc>
        <w:tc>
          <w:tcPr>
            <w:tcW w:w="1710" w:type="dxa"/>
          </w:tcPr>
          <w:p w:rsidR="00B40966" w:rsidRDefault="00B40966">
            <w:pPr>
              <w:pStyle w:val="TableText"/>
            </w:pPr>
            <w:r>
              <w:t>†</w:t>
            </w:r>
          </w:p>
        </w:tc>
      </w:tr>
    </w:tbl>
    <w:p w:rsidR="00B40966" w:rsidRDefault="00B40966">
      <w:pPr>
        <w:spacing w:before="60"/>
        <w:ind w:left="456" w:hanging="399"/>
        <w:rPr>
          <w:sz w:val="20"/>
        </w:rPr>
      </w:pPr>
      <w:r>
        <w:rPr>
          <w:sz w:val="20"/>
        </w:rPr>
        <w:t>*</w:t>
      </w:r>
      <w:r>
        <w:rPr>
          <w:sz w:val="20"/>
        </w:rPr>
        <w:tab/>
        <w:t>These figures are based on a double-acting pump with cylinder diameter 4 inches, stroke 7</w:t>
      </w:r>
      <w:r>
        <w:rPr>
          <w:position w:val="4"/>
          <w:sz w:val="16"/>
        </w:rPr>
        <w:t>1</w:t>
      </w:r>
      <w:r>
        <w:rPr>
          <w:sz w:val="20"/>
        </w:rPr>
        <w:t>/</w:t>
      </w:r>
      <w:r>
        <w:rPr>
          <w:sz w:val="16"/>
        </w:rPr>
        <w:t>2</w:t>
      </w:r>
      <w:r>
        <w:rPr>
          <w:sz w:val="20"/>
        </w:rPr>
        <w:t xml:space="preserve"> inches, working at 80%, efficiency.</w:t>
      </w:r>
    </w:p>
    <w:p w:rsidR="00B40966" w:rsidRDefault="00B40966">
      <w:pPr>
        <w:spacing w:before="60"/>
        <w:ind w:left="456" w:hanging="399"/>
        <w:rPr>
          <w:sz w:val="20"/>
        </w:rPr>
      </w:pPr>
      <w:r>
        <w:rPr>
          <w:sz w:val="20"/>
        </w:rPr>
        <w:t>†</w:t>
      </w:r>
      <w:r>
        <w:rPr>
          <w:sz w:val="20"/>
        </w:rPr>
        <w:tab/>
        <w:t>Handworked pumps are unsuitable at a depth of 180 feet and over.</w:t>
      </w:r>
    </w:p>
    <w:p w:rsidR="00B40966" w:rsidRDefault="00B40966"/>
    <w:p w:rsidR="00B40966" w:rsidRDefault="00B40966">
      <w:pPr>
        <w:pStyle w:val="Amain"/>
      </w:pPr>
      <w:r>
        <w:tab/>
        <w:t>(31)</w:t>
      </w:r>
      <w:r>
        <w:tab/>
        <w:t>Not more than 1 diver shall be supplied from each air line.</w:t>
      </w:r>
    </w:p>
    <w:p w:rsidR="00B40966" w:rsidRDefault="00B40966">
      <w:pPr>
        <w:pStyle w:val="Assectheading"/>
        <w:rPr>
          <w:i w:val="0"/>
          <w:color w:val="000000"/>
        </w:rPr>
      </w:pPr>
      <w:r>
        <w:rPr>
          <w:rStyle w:val="charItals"/>
          <w:i/>
        </w:rPr>
        <w:t>Air Pipe</w:t>
      </w:r>
    </w:p>
    <w:p w:rsidR="00B40966" w:rsidRDefault="00B40966">
      <w:pPr>
        <w:pStyle w:val="Amain"/>
        <w:rPr>
          <w:color w:val="000000"/>
        </w:rPr>
      </w:pPr>
      <w:r>
        <w:rPr>
          <w:color w:val="000000"/>
        </w:rPr>
        <w:tab/>
        <w:t>(32)</w:t>
      </w:r>
      <w:r>
        <w:rPr>
          <w:color w:val="000000"/>
        </w:rPr>
        <w:tab/>
        <w:t>The air pipe shall be constructed of alternate layers of rubber and canvas and shall be reinforced with steel wire.</w:t>
      </w:r>
    </w:p>
    <w:p w:rsidR="00B40966" w:rsidRDefault="00B40966">
      <w:pPr>
        <w:pStyle w:val="Amain"/>
        <w:rPr>
          <w:color w:val="000000"/>
        </w:rPr>
      </w:pPr>
      <w:r>
        <w:rPr>
          <w:color w:val="000000"/>
        </w:rPr>
        <w:tab/>
        <w:t>(33)</w:t>
      </w:r>
      <w:r>
        <w:rPr>
          <w:color w:val="000000"/>
        </w:rPr>
        <w:tab/>
        <w:t>The piping shall have been tested by the manufacturer and shall withstand a test pressure of 200 pounds per square inch without showing any appreciable increase in diameter.</w:t>
      </w:r>
    </w:p>
    <w:p w:rsidR="00B40966" w:rsidRDefault="00B40966">
      <w:pPr>
        <w:pStyle w:val="Amain"/>
        <w:rPr>
          <w:color w:val="000000"/>
        </w:rPr>
      </w:pPr>
      <w:r>
        <w:rPr>
          <w:color w:val="000000"/>
        </w:rPr>
        <w:tab/>
        <w:t>(34)</w:t>
      </w:r>
      <w:r>
        <w:rPr>
          <w:color w:val="000000"/>
        </w:rPr>
        <w:tab/>
        <w:t>The manufacturer shall provide a certificate of test for each length of pipe manufactured.</w:t>
      </w:r>
    </w:p>
    <w:p w:rsidR="00B40966" w:rsidRDefault="00B40966">
      <w:pPr>
        <w:pStyle w:val="Amain"/>
      </w:pPr>
      <w:r>
        <w:rPr>
          <w:color w:val="000000"/>
        </w:rPr>
        <w:tab/>
        <w:t>(35)</w:t>
      </w:r>
      <w:r>
        <w:rPr>
          <w:color w:val="000000"/>
        </w:rPr>
        <w:tab/>
        <w:t>A length of about 50 feet of floating air hose may be attached to the diver’s helmet to keep weight off the diver.</w:t>
      </w:r>
    </w:p>
    <w:p w:rsidR="00B40966" w:rsidRDefault="00B40966">
      <w:pPr>
        <w:pStyle w:val="Amain"/>
      </w:pPr>
      <w:r>
        <w:rPr>
          <w:color w:val="000000"/>
        </w:rPr>
        <w:tab/>
        <w:t>(36)</w:t>
      </w:r>
      <w:r>
        <w:rPr>
          <w:color w:val="000000"/>
        </w:rPr>
        <w:tab/>
        <w:t>No person shall dive or be employed to dive under water unless—</w:t>
      </w:r>
    </w:p>
    <w:p w:rsidR="00B40966" w:rsidRDefault="00B40966">
      <w:pPr>
        <w:pStyle w:val="Apara"/>
      </w:pPr>
      <w:r>
        <w:tab/>
        <w:t>(a)</w:t>
      </w:r>
      <w:r>
        <w:tab/>
        <w:t>a sufficient number of suitable and competent persons are also employed in attendance on the diver, so as to ensure his or her safety; and</w:t>
      </w:r>
    </w:p>
    <w:p w:rsidR="00B40966" w:rsidRDefault="00B40966">
      <w:pPr>
        <w:pStyle w:val="Apara"/>
      </w:pPr>
      <w:r>
        <w:tab/>
        <w:t>(b)</w:t>
      </w:r>
      <w:r>
        <w:tab/>
        <w:t>there is provided and used suitable and sufficient diving equipment consisting of helmets, corselets, waterproof dresses to completely enclose a diver’s body, and warm clothing; and</w:t>
      </w:r>
    </w:p>
    <w:p w:rsidR="00B40966" w:rsidRDefault="00B40966">
      <w:pPr>
        <w:pStyle w:val="Apara"/>
      </w:pPr>
      <w:r>
        <w:tab/>
        <w:t>(c)</w:t>
      </w:r>
      <w:r>
        <w:tab/>
        <w:t>such equipment to include at least 1 diving helmet and dress with its necessary equipment and warm clothing in excess of the number of divers under water at any one time; and</w:t>
      </w:r>
    </w:p>
    <w:p w:rsidR="00B40966" w:rsidRDefault="00B40966">
      <w:pPr>
        <w:pStyle w:val="Apara"/>
      </w:pPr>
      <w:r>
        <w:tab/>
        <w:t>(d)</w:t>
      </w:r>
      <w:r>
        <w:tab/>
        <w:t>sufficient and suitable diving plant and equipment, including air pumps, pressure gauges and means of access to and from the water are provided and properly maintained.</w:t>
      </w:r>
    </w:p>
    <w:p w:rsidR="00B40966" w:rsidRDefault="00B40966">
      <w:pPr>
        <w:pStyle w:val="Assectheading"/>
        <w:rPr>
          <w:i w:val="0"/>
        </w:rPr>
      </w:pPr>
      <w:r>
        <w:rPr>
          <w:rStyle w:val="charItals"/>
          <w:i/>
        </w:rPr>
        <w:t>Care and testing of equipment—hand pumps</w:t>
      </w:r>
    </w:p>
    <w:p w:rsidR="00B40966" w:rsidRDefault="00B40966">
      <w:pPr>
        <w:pStyle w:val="Amain"/>
      </w:pPr>
      <w:r>
        <w:tab/>
        <w:t>(37)</w:t>
      </w:r>
      <w:r>
        <w:tab/>
        <w:t>Pumps shall be maintained in an efficient condition and shall be capable of delivering the necessary quantity of air against pressure for at least 2 divers.</w:t>
      </w:r>
    </w:p>
    <w:p w:rsidR="00B40966" w:rsidRDefault="00B40966">
      <w:pPr>
        <w:pStyle w:val="Amain"/>
      </w:pPr>
      <w:r>
        <w:tab/>
        <w:t>(38)</w:t>
      </w:r>
      <w:r>
        <w:tab/>
        <w:t>Particular care shall be given to the condition of the leather piston cups and piston rod glands to prevent leakage.</w:t>
      </w:r>
    </w:p>
    <w:p w:rsidR="00B40966" w:rsidRDefault="00B40966">
      <w:pPr>
        <w:pStyle w:val="Amain"/>
      </w:pPr>
      <w:r>
        <w:tab/>
        <w:t>(39)</w:t>
      </w:r>
      <w:r>
        <w:tab/>
        <w:t>Pump delivery shall be measured at least every 3 months and at shorter intervals if the pump has not been performing satisfactorily.</w:t>
      </w:r>
    </w:p>
    <w:p w:rsidR="00B40966" w:rsidRDefault="00B40966">
      <w:pPr>
        <w:pStyle w:val="Amain"/>
      </w:pPr>
      <w:r>
        <w:tab/>
        <w:t>(40)</w:t>
      </w:r>
      <w:r>
        <w:tab/>
        <w:t>The pump cylinder walls and pistons shall be lubricated only with olive oil or neatsfoot oil.</w:t>
      </w:r>
    </w:p>
    <w:p w:rsidR="00B40966" w:rsidRDefault="00B40966">
      <w:pPr>
        <w:pStyle w:val="Amain"/>
      </w:pPr>
      <w:r>
        <w:tab/>
        <w:t>(41)</w:t>
      </w:r>
      <w:r>
        <w:tab/>
        <w:t>Standby pumps where provided and when not in use shall be turned for a period of 5</w:t>
      </w:r>
      <w:r>
        <w:rPr>
          <w:b/>
        </w:rPr>
        <w:t xml:space="preserve"> </w:t>
      </w:r>
      <w:r>
        <w:t>minutes at least once in every week.</w:t>
      </w:r>
    </w:p>
    <w:p w:rsidR="00B40966" w:rsidRDefault="00B40966">
      <w:pPr>
        <w:pStyle w:val="Assectheading"/>
        <w:rPr>
          <w:i w:val="0"/>
        </w:rPr>
      </w:pPr>
      <w:r>
        <w:rPr>
          <w:rStyle w:val="charItals"/>
          <w:i/>
        </w:rPr>
        <w:t>Care and testing of equipment—gauges</w:t>
      </w:r>
    </w:p>
    <w:p w:rsidR="00B40966" w:rsidRDefault="00B40966">
      <w:pPr>
        <w:pStyle w:val="Amain"/>
      </w:pPr>
      <w:r>
        <w:tab/>
        <w:t>(42)</w:t>
      </w:r>
      <w:r>
        <w:tab/>
        <w:t>Gauges shall be calibrated by a method approved by the chief inspector at least every 3 months or at shorter intervals if error is suspected.</w:t>
      </w:r>
    </w:p>
    <w:p w:rsidR="00B40966" w:rsidRDefault="00B40966">
      <w:pPr>
        <w:pStyle w:val="Amain"/>
      </w:pPr>
      <w:r>
        <w:tab/>
        <w:t>(43)</w:t>
      </w:r>
      <w:r>
        <w:tab/>
        <w:t>The gauge error, as determined by test, shall be tabulated and a copy of the tabulation shall be displayed inside the pump lid.</w:t>
      </w:r>
    </w:p>
    <w:p w:rsidR="00B40966" w:rsidRDefault="00B40966">
      <w:pPr>
        <w:pStyle w:val="Assectheading"/>
        <w:rPr>
          <w:i w:val="0"/>
        </w:rPr>
      </w:pPr>
      <w:r>
        <w:rPr>
          <w:rStyle w:val="charItals"/>
          <w:i/>
        </w:rPr>
        <w:t>Care and testing of equipment—inlet valves</w:t>
      </w:r>
    </w:p>
    <w:p w:rsidR="00B40966" w:rsidRDefault="00B40966">
      <w:pPr>
        <w:pStyle w:val="Amain"/>
      </w:pPr>
      <w:r>
        <w:tab/>
        <w:t>(44)</w:t>
      </w:r>
      <w:r>
        <w:tab/>
        <w:t>Inlet valves of helmets in use shall be tested at least once in every 3 months at a pressure of not less than 15 pounds per square inch.</w:t>
      </w:r>
    </w:p>
    <w:p w:rsidR="00B40966" w:rsidRDefault="00B40966">
      <w:pPr>
        <w:pStyle w:val="Amain"/>
      </w:pPr>
      <w:r>
        <w:tab/>
        <w:t>(45)</w:t>
      </w:r>
      <w:r>
        <w:tab/>
        <w:t>The springs shall be examined on every occasion before use and at least once in every day while the helmets are in use.</w:t>
      </w:r>
    </w:p>
    <w:p w:rsidR="00B40966" w:rsidRDefault="00B40966">
      <w:pPr>
        <w:pStyle w:val="Assectheading"/>
        <w:rPr>
          <w:i w:val="0"/>
        </w:rPr>
      </w:pPr>
      <w:r>
        <w:rPr>
          <w:rStyle w:val="charItals"/>
          <w:i/>
        </w:rPr>
        <w:t>Care and testing of equipment—air pipes</w:t>
      </w:r>
    </w:p>
    <w:p w:rsidR="00B40966" w:rsidRDefault="00B40966">
      <w:pPr>
        <w:pStyle w:val="Amain"/>
      </w:pPr>
      <w:r>
        <w:tab/>
        <w:t>(46)</w:t>
      </w:r>
      <w:r>
        <w:tab/>
        <w:t>Air pipes shall be tested at least once a month and immediately before each descent to a pressure equivalent to 25% greater than that at the greatest depth at which a diver is likely to work.</w:t>
      </w:r>
    </w:p>
    <w:p w:rsidR="00B40966" w:rsidRDefault="00B40966">
      <w:pPr>
        <w:pStyle w:val="Amain"/>
      </w:pPr>
      <w:r>
        <w:tab/>
        <w:t>(47)</w:t>
      </w:r>
      <w:r>
        <w:tab/>
        <w:t>The air pipe shall be lashed to ring bolts on the pump chest to relieve the connection of the air pipe to the pump nozzle of any undue load from the weight of the air pipe.</w:t>
      </w:r>
    </w:p>
    <w:p w:rsidR="00B40966" w:rsidRDefault="00B40966">
      <w:pPr>
        <w:pStyle w:val="Amain"/>
      </w:pPr>
      <w:r>
        <w:tab/>
        <w:t>(48)</w:t>
      </w:r>
      <w:r>
        <w:tab/>
        <w:t>The connection shall be inspected at frequent intervals.</w:t>
      </w:r>
    </w:p>
    <w:p w:rsidR="00B40966" w:rsidRDefault="00B40966">
      <w:pPr>
        <w:pStyle w:val="Amain"/>
      </w:pPr>
      <w:r>
        <w:tab/>
        <w:t>(49)</w:t>
      </w:r>
      <w:r>
        <w:tab/>
        <w:t>All air pipe connections shall be effectively lashed to prevent inadvertent disconnection.</w:t>
      </w:r>
    </w:p>
    <w:p w:rsidR="00B40966" w:rsidRDefault="00B40966">
      <w:pPr>
        <w:pStyle w:val="Assectheading"/>
        <w:rPr>
          <w:rStyle w:val="charItals"/>
        </w:rPr>
      </w:pPr>
      <w:r>
        <w:rPr>
          <w:rStyle w:val="charItals"/>
          <w:i/>
        </w:rPr>
        <w:t>Care and testing of equipment—ropes and lines</w:t>
      </w:r>
    </w:p>
    <w:p w:rsidR="00B40966" w:rsidRDefault="00B40966">
      <w:pPr>
        <w:pStyle w:val="Amain"/>
      </w:pPr>
      <w:r>
        <w:tab/>
        <w:t>(50)</w:t>
      </w:r>
      <w:r>
        <w:tab/>
        <w:t>Breast ropes, shot ropes and distance lines shall be of tarred hemp or other approved material.</w:t>
      </w:r>
    </w:p>
    <w:p w:rsidR="00B40966" w:rsidRDefault="00B40966">
      <w:pPr>
        <w:pStyle w:val="Amain"/>
      </w:pPr>
      <w:r>
        <w:tab/>
        <w:t>(51)</w:t>
      </w:r>
      <w:r>
        <w:tab/>
        <w:t>Ropes shall be carefully handled and shall not be sharply bent.</w:t>
      </w:r>
    </w:p>
    <w:p w:rsidR="00B40966" w:rsidRDefault="00B40966">
      <w:pPr>
        <w:pStyle w:val="Assectheading"/>
        <w:rPr>
          <w:rStyle w:val="charItals"/>
        </w:rPr>
      </w:pPr>
      <w:r>
        <w:rPr>
          <w:rStyle w:val="charItals"/>
          <w:i/>
        </w:rPr>
        <w:t>Care and testing of equipment—dress and equipment</w:t>
      </w:r>
    </w:p>
    <w:p w:rsidR="00B40966" w:rsidRDefault="00B40966">
      <w:pPr>
        <w:pStyle w:val="Amain"/>
      </w:pPr>
      <w:r>
        <w:tab/>
        <w:t>(52)</w:t>
      </w:r>
      <w:r>
        <w:tab/>
        <w:t>All diving dress and equipment on the works shall be kept when not in use in a substantially constructed room or locker, and such room or locker shall not be used for the storage of any other gear, tools, or equipment used on the works.</w:t>
      </w:r>
    </w:p>
    <w:p w:rsidR="00B40966" w:rsidRDefault="00B40966">
      <w:pPr>
        <w:pStyle w:val="Assectheading"/>
        <w:rPr>
          <w:color w:val="000000"/>
        </w:rPr>
      </w:pPr>
      <w:r>
        <w:rPr>
          <w:rStyle w:val="charItals"/>
          <w:i/>
        </w:rPr>
        <w:t>Care and testing of equipment—general</w:t>
      </w:r>
    </w:p>
    <w:p w:rsidR="00B40966" w:rsidRDefault="00B40966">
      <w:pPr>
        <w:pStyle w:val="Amain"/>
      </w:pPr>
      <w:r>
        <w:tab/>
        <w:t>(53)</w:t>
      </w:r>
      <w:r>
        <w:tab/>
        <w:t>Air pipes, valves, cocks, corselets, helmets, diving dresses, gauges, ropes, lanyards, and all other apparatus shall be maintained in an efficient condition, cleaned with fresh water after use, drained and dried before being stored in the room or locker provided for the purpose.</w:t>
      </w:r>
    </w:p>
    <w:p w:rsidR="00B40966" w:rsidRDefault="00B40966">
      <w:pPr>
        <w:pStyle w:val="Amain"/>
      </w:pPr>
      <w:r>
        <w:tab/>
        <w:t>(54)</w:t>
      </w:r>
      <w:r>
        <w:tab/>
        <w:t>Particular care shall be taken to ensure that air pipes and diving dresses are kept free from condensed moisture and from contact with grease, oil or tar.</w:t>
      </w:r>
    </w:p>
    <w:p w:rsidR="00B40966" w:rsidRDefault="00B40966">
      <w:pPr>
        <w:pStyle w:val="Amain"/>
      </w:pPr>
      <w:r>
        <w:tab/>
        <w:t>(55)</w:t>
      </w:r>
      <w:r>
        <w:tab/>
        <w:t>Material for dress repairs shall be provided and made available on the site of the works.</w:t>
      </w:r>
    </w:p>
    <w:p w:rsidR="00B40966" w:rsidRDefault="00B40966">
      <w:pPr>
        <w:pStyle w:val="Assectheading"/>
        <w:rPr>
          <w:color w:val="000000"/>
        </w:rPr>
      </w:pPr>
      <w:r>
        <w:rPr>
          <w:rStyle w:val="charItals"/>
          <w:i/>
        </w:rPr>
        <w:t>Warm clothing</w:t>
      </w:r>
    </w:p>
    <w:p w:rsidR="00B40966" w:rsidRDefault="00B40966">
      <w:pPr>
        <w:pStyle w:val="Amain"/>
        <w:rPr>
          <w:color w:val="000000"/>
        </w:rPr>
      </w:pPr>
      <w:r>
        <w:rPr>
          <w:color w:val="000000"/>
        </w:rPr>
        <w:tab/>
        <w:t>(56)</w:t>
      </w:r>
      <w:r>
        <w:rPr>
          <w:color w:val="000000"/>
        </w:rPr>
        <w:tab/>
        <w:t>Separate sets of warm clothing, woollens or flannels, shall be provided for each diver.</w:t>
      </w:r>
    </w:p>
    <w:p w:rsidR="00B40966" w:rsidRDefault="00B40966">
      <w:pPr>
        <w:pStyle w:val="Amain"/>
        <w:rPr>
          <w:color w:val="000000"/>
        </w:rPr>
      </w:pPr>
      <w:r>
        <w:rPr>
          <w:color w:val="000000"/>
        </w:rPr>
        <w:tab/>
        <w:t>(57)</w:t>
      </w:r>
      <w:r>
        <w:rPr>
          <w:color w:val="000000"/>
        </w:rPr>
        <w:tab/>
        <w:t>A diver shall not be required to wear clothing previously worn by another diver unless the clothing has been first thoroughly washed and disinfected.</w:t>
      </w:r>
    </w:p>
    <w:p w:rsidR="00B40966" w:rsidRDefault="00B40966">
      <w:pPr>
        <w:pStyle w:val="Assectheading"/>
        <w:rPr>
          <w:color w:val="000000"/>
        </w:rPr>
      </w:pPr>
      <w:r>
        <w:rPr>
          <w:rStyle w:val="charItals"/>
          <w:i/>
        </w:rPr>
        <w:t>Diving dress previously worn</w:t>
      </w:r>
    </w:p>
    <w:p w:rsidR="00B40966" w:rsidRDefault="00B40966">
      <w:pPr>
        <w:pStyle w:val="Amain"/>
        <w:rPr>
          <w:color w:val="000000"/>
        </w:rPr>
      </w:pPr>
      <w:r>
        <w:rPr>
          <w:color w:val="000000"/>
        </w:rPr>
        <w:tab/>
        <w:t>(58)</w:t>
      </w:r>
      <w:r>
        <w:rPr>
          <w:color w:val="000000"/>
        </w:rPr>
        <w:tab/>
        <w:t>A diver shall not be required to wear a diving dress previously worn by another person unless the inner surfaces of the dress have been first thoroughly washed with hot water and soap and dried in the sun.</w:t>
      </w:r>
    </w:p>
    <w:p w:rsidR="00B40966" w:rsidRDefault="00B40966">
      <w:pPr>
        <w:pStyle w:val="Assectheading"/>
        <w:rPr>
          <w:color w:val="000000"/>
        </w:rPr>
      </w:pPr>
      <w:r>
        <w:rPr>
          <w:rStyle w:val="charItals"/>
          <w:i/>
        </w:rPr>
        <w:t>Distance line</w:t>
      </w:r>
    </w:p>
    <w:p w:rsidR="00B40966" w:rsidRDefault="00B40966">
      <w:pPr>
        <w:pStyle w:val="Amain"/>
        <w:rPr>
          <w:color w:val="000000"/>
        </w:rPr>
      </w:pPr>
      <w:r>
        <w:rPr>
          <w:color w:val="000000"/>
        </w:rPr>
        <w:tab/>
        <w:t>(59)</w:t>
      </w:r>
      <w:r>
        <w:rPr>
          <w:color w:val="000000"/>
        </w:rPr>
        <w:tab/>
        <w:t>A diver working on muddy or dangerous ground shall use a distance line firmly attached to the shot rope about 3 feet above the sinker.</w:t>
      </w:r>
    </w:p>
    <w:p w:rsidR="00B40966" w:rsidRDefault="00B40966">
      <w:pPr>
        <w:pStyle w:val="Assectheading"/>
        <w:rPr>
          <w:color w:val="000000"/>
        </w:rPr>
      </w:pPr>
      <w:r>
        <w:rPr>
          <w:rStyle w:val="charItals"/>
          <w:i/>
        </w:rPr>
        <w:t>Power driven compressor units—high pressure air supply</w:t>
      </w:r>
    </w:p>
    <w:p w:rsidR="00B40966" w:rsidRDefault="00B40966">
      <w:pPr>
        <w:pStyle w:val="Amain"/>
      </w:pPr>
      <w:r>
        <w:tab/>
        <w:t>(60)</w:t>
      </w:r>
      <w:r>
        <w:tab/>
        <w:t>A supply of air at high pressure may be drawn for the use of divers from either the works compressor or a compressor supplying divers equipment only.</w:t>
      </w:r>
    </w:p>
    <w:p w:rsidR="00B40966" w:rsidRDefault="00B40966">
      <w:pPr>
        <w:pStyle w:val="Assectheading"/>
        <w:rPr>
          <w:color w:val="000000"/>
        </w:rPr>
      </w:pPr>
      <w:r>
        <w:rPr>
          <w:rStyle w:val="charItals"/>
          <w:i/>
        </w:rPr>
        <w:t>Power driven compressor units—compressor</w:t>
      </w:r>
    </w:p>
    <w:p w:rsidR="00B40966" w:rsidRDefault="00B40966">
      <w:pPr>
        <w:pStyle w:val="Amain"/>
      </w:pPr>
      <w:r>
        <w:tab/>
        <w:t>(61)</w:t>
      </w:r>
      <w:r>
        <w:tab/>
        <w:t>The compressor shall be capable of delivering air at the required pressure and at a rate sufficient to meet the requirements of all divers, machines, tools and other compressed air equipment supplied from it.</w:t>
      </w:r>
    </w:p>
    <w:p w:rsidR="00B40966" w:rsidRDefault="00B40966">
      <w:pPr>
        <w:pStyle w:val="Amain"/>
      </w:pPr>
      <w:r>
        <w:tab/>
        <w:t>(62)</w:t>
      </w:r>
      <w:r>
        <w:tab/>
        <w:t>The compressor shall be of such construction that overheating does not take place, and the lubricant used shall be odourless and shall produce a minimum amount of noxious fumes if overheating should inadvertently take place.</w:t>
      </w:r>
    </w:p>
    <w:p w:rsidR="00B40966" w:rsidRDefault="00B40966">
      <w:pPr>
        <w:pStyle w:val="Amain"/>
      </w:pPr>
      <w:r>
        <w:tab/>
        <w:t>(63)</w:t>
      </w:r>
      <w:r>
        <w:tab/>
        <w:t>Provision shall be made at the compressor to prevent undue pressure building up if the delivery pipe from the compressor becomes blocked in any way.</w:t>
      </w:r>
    </w:p>
    <w:p w:rsidR="00B40966" w:rsidRDefault="00B40966">
      <w:pPr>
        <w:pStyle w:val="Amain"/>
      </w:pPr>
      <w:r>
        <w:tab/>
        <w:t>(64)</w:t>
      </w:r>
      <w:r>
        <w:tab/>
        <w:t>This provision shall take the form of a safety valve on the air chest of the compressor or on the delivery pipe as it leaves the compressor.</w:t>
      </w:r>
    </w:p>
    <w:p w:rsidR="00B40966" w:rsidRDefault="00B40966">
      <w:pPr>
        <w:pStyle w:val="Amain"/>
      </w:pPr>
      <w:r>
        <w:tab/>
        <w:t>(65)</w:t>
      </w:r>
      <w:r>
        <w:tab/>
        <w:t>If the air is supplied by a compressor of such construction, size, or arrangement that, in the event of a breakdown of the power unit, it cannot be instantly worked by hand, the following equipment connected in the order set down in this section shall be used in conjunction with the compressor.</w:t>
      </w:r>
    </w:p>
    <w:p w:rsidR="00B40966" w:rsidRDefault="00B40966">
      <w:pPr>
        <w:pStyle w:val="Amain"/>
      </w:pPr>
      <w:r>
        <w:tab/>
        <w:t>(66)</w:t>
      </w:r>
      <w:r>
        <w:tab/>
        <w:t>First, a main air receiver of sufficient capacity shall be connected to supply the maximum number of divers with sufficient air to bring them to the surface in reasonable time in the event of a breakdown of the compressor power unit.</w:t>
      </w:r>
    </w:p>
    <w:p w:rsidR="00B40966" w:rsidRDefault="00B40966">
      <w:pPr>
        <w:pStyle w:val="Amain"/>
      </w:pPr>
      <w:r>
        <w:tab/>
        <w:t>(67)</w:t>
      </w:r>
      <w:r>
        <w:tab/>
        <w:t>The pressure maintained in this receiver shall be much higher than that corresponding to the depths of water where the divers are working.</w:t>
      </w:r>
    </w:p>
    <w:p w:rsidR="00B40966" w:rsidRDefault="00B40966">
      <w:pPr>
        <w:pStyle w:val="Amain"/>
      </w:pPr>
      <w:r>
        <w:tab/>
        <w:t>(68)</w:t>
      </w:r>
      <w:r>
        <w:tab/>
        <w:t>Every such air receiver shall be designed and constructed in accordance with the Standards Australia, Boiler Code.</w:t>
      </w:r>
    </w:p>
    <w:p w:rsidR="00B40966" w:rsidRDefault="00B40966">
      <w:pPr>
        <w:pStyle w:val="Amain"/>
      </w:pPr>
      <w:r>
        <w:tab/>
        <w:t>(69)</w:t>
      </w:r>
      <w:r>
        <w:tab/>
        <w:t>Second, an efficient non-return inlet valve shall be connected on the receiver to prevent back flow of air for failure of the delivery pipe or its fittings.</w:t>
      </w:r>
    </w:p>
    <w:p w:rsidR="00B40966" w:rsidRDefault="00B40966">
      <w:pPr>
        <w:pStyle w:val="Amain"/>
      </w:pPr>
      <w:r>
        <w:tab/>
        <w:t>(70)</w:t>
      </w:r>
      <w:r>
        <w:tab/>
        <w:t>Third, a subsidiary air receiver fitted with a spring loaded type safety valve shall be connected.</w:t>
      </w:r>
    </w:p>
    <w:p w:rsidR="00B40966" w:rsidRDefault="00B40966">
      <w:pPr>
        <w:pStyle w:val="Amain"/>
      </w:pPr>
      <w:r>
        <w:tab/>
        <w:t>(71)</w:t>
      </w:r>
      <w:r>
        <w:tab/>
        <w:t>Forth, an approved type of pressure-reducing valve fitted in the pipe line between the main air receiver and the subsidiary air receiver shall be connected.</w:t>
      </w:r>
    </w:p>
    <w:p w:rsidR="00B40966" w:rsidRDefault="00B40966">
      <w:pPr>
        <w:pStyle w:val="Amain"/>
      </w:pPr>
      <w:r>
        <w:tab/>
        <w:t>(72)</w:t>
      </w:r>
      <w:r>
        <w:tab/>
        <w:t>Fifth, an air filter of approved type shall be connected in the pipe line between the subsidiary air receiver and the air control panel.</w:t>
      </w:r>
    </w:p>
    <w:p w:rsidR="00B40966" w:rsidRDefault="00B40966">
      <w:pPr>
        <w:pStyle w:val="Amain"/>
        <w:keepLines/>
      </w:pPr>
      <w:r>
        <w:tab/>
        <w:t>(73)</w:t>
      </w:r>
      <w:r>
        <w:tab/>
        <w:t>Sixth, an air control panel of robust construction equipped with an air-distributing arrangement of throttle valves, depth gauges and subsidiary receiver pressure gauge, controlling the air supply to the divers shall be connected.</w:t>
      </w:r>
    </w:p>
    <w:p w:rsidR="00B40966" w:rsidRDefault="00B40966">
      <w:pPr>
        <w:pStyle w:val="Amain"/>
      </w:pPr>
      <w:r>
        <w:tab/>
        <w:t>(74)</w:t>
      </w:r>
      <w:r>
        <w:tab/>
        <w:t>The throttle valves shall be of the slow acting needle valve type, fitted with graduated dial and pointer and only 1 diver shall be supplied from each such valve.</w:t>
      </w:r>
    </w:p>
    <w:p w:rsidR="00B40966" w:rsidRDefault="00B40966">
      <w:pPr>
        <w:pStyle w:val="Amain"/>
      </w:pPr>
      <w:r>
        <w:tab/>
        <w:t>(75)</w:t>
      </w:r>
      <w:r>
        <w:tab/>
        <w:t>The air control panel shall be connected to the air filters by suitable flexible hose and each such hose shall be so supported that undue strain is not imposed on the air filter or air control panel connectors.</w:t>
      </w:r>
    </w:p>
    <w:p w:rsidR="00B40966" w:rsidRDefault="00B40966">
      <w:pPr>
        <w:pStyle w:val="Amain"/>
      </w:pPr>
      <w:r>
        <w:tab/>
        <w:t>(76)</w:t>
      </w:r>
      <w:r>
        <w:tab/>
        <w:t>Seventh, emergency air connections and stop valves on the diver’s side of each throttle valve on the air control panel shall be connected.</w:t>
      </w:r>
    </w:p>
    <w:p w:rsidR="00B40966" w:rsidRDefault="00B40966">
      <w:pPr>
        <w:pStyle w:val="Amain"/>
      </w:pPr>
      <w:r>
        <w:tab/>
        <w:t>(77)</w:t>
      </w:r>
      <w:r>
        <w:tab/>
        <w:t>Eighth, a manual pump or other reliable source of air supply shall be connected and shall remain connected throughout diving operations.</w:t>
      </w:r>
    </w:p>
    <w:p w:rsidR="00B40966" w:rsidRDefault="00B40966">
      <w:pPr>
        <w:pStyle w:val="Amain"/>
      </w:pPr>
      <w:r>
        <w:tab/>
        <w:t>(78)</w:t>
      </w:r>
      <w:r>
        <w:tab/>
        <w:t>The fittings and equipment mentioned in subsections (66) to (77) shall be constructed, used and maintained in accordance with the Standards Australia Code for Work in Compressed Air, Part II—Diving, as at 1 July 1950.</w:t>
      </w:r>
    </w:p>
    <w:p w:rsidR="00B40966" w:rsidRDefault="00B40966">
      <w:pPr>
        <w:pStyle w:val="Amain"/>
      </w:pPr>
      <w:r>
        <w:tab/>
        <w:t>(79)</w:t>
      </w:r>
      <w:r>
        <w:tab/>
        <w:t>The control of the air supply shall be in charge of a competent attendant whose duties shall be restricted to the operation of the control panel and attendance on not more than 1 diver.</w:t>
      </w:r>
    </w:p>
    <w:p w:rsidR="00B40966" w:rsidRDefault="00B40966">
      <w:pPr>
        <w:pStyle w:val="Amain"/>
      </w:pPr>
      <w:r>
        <w:tab/>
        <w:t>(80)</w:t>
      </w:r>
      <w:r>
        <w:tab/>
        <w:t>When several divers are operating from the 1 air control panel, each diver shall have a separate attendant.</w:t>
      </w:r>
    </w:p>
    <w:p w:rsidR="00B40966" w:rsidRDefault="00B40966">
      <w:pPr>
        <w:pStyle w:val="Assectheading"/>
      </w:pPr>
      <w:r>
        <w:rPr>
          <w:rStyle w:val="charItals"/>
          <w:i/>
        </w:rPr>
        <w:t>Ladders</w:t>
      </w:r>
    </w:p>
    <w:p w:rsidR="00B40966" w:rsidRDefault="00B40966">
      <w:pPr>
        <w:pStyle w:val="Amain"/>
        <w:rPr>
          <w:color w:val="000000"/>
        </w:rPr>
      </w:pPr>
      <w:r>
        <w:rPr>
          <w:color w:val="000000"/>
        </w:rPr>
        <w:tab/>
        <w:t>(81)</w:t>
      </w:r>
      <w:r>
        <w:rPr>
          <w:color w:val="000000"/>
        </w:rPr>
        <w:tab/>
        <w:t>Ladders for divers shall be capable of supporting a safe working load of 4 hundredweights on any one rung.</w:t>
      </w:r>
    </w:p>
    <w:p w:rsidR="00B40966" w:rsidRDefault="00B40966">
      <w:pPr>
        <w:pStyle w:val="Assectheading"/>
      </w:pPr>
      <w:r>
        <w:rPr>
          <w:rStyle w:val="charItals"/>
          <w:i/>
        </w:rPr>
        <w:t>Signalling system</w:t>
      </w:r>
    </w:p>
    <w:p w:rsidR="00B40966" w:rsidRDefault="00B40966">
      <w:pPr>
        <w:pStyle w:val="Amain"/>
      </w:pPr>
      <w:r>
        <w:rPr>
          <w:color w:val="000000"/>
        </w:rPr>
        <w:tab/>
        <w:t>(82)</w:t>
      </w:r>
      <w:r>
        <w:rPr>
          <w:color w:val="000000"/>
        </w:rPr>
        <w:tab/>
        <w:t>No person shall dive or be employed to dive under water unless—</w:t>
      </w:r>
    </w:p>
    <w:p w:rsidR="00B40966" w:rsidRDefault="00B40966">
      <w:pPr>
        <w:pStyle w:val="Apara"/>
      </w:pPr>
      <w:r>
        <w:tab/>
        <w:t>(a)</w:t>
      </w:r>
      <w:r>
        <w:tab/>
        <w:t>arrangements are made for a suitable signalling system between the diver and persons on the surface; and</w:t>
      </w:r>
    </w:p>
    <w:p w:rsidR="00B40966" w:rsidRDefault="00B40966">
      <w:pPr>
        <w:pStyle w:val="Apara"/>
      </w:pPr>
      <w:r>
        <w:tab/>
        <w:t>(b)</w:t>
      </w:r>
      <w:r>
        <w:tab/>
        <w:t>the diver and all persons in attendance on the diver are conversant with the signalling system.</w:t>
      </w:r>
    </w:p>
    <w:p w:rsidR="00B40966" w:rsidRDefault="00B40966">
      <w:pPr>
        <w:pStyle w:val="Assectheading"/>
      </w:pPr>
      <w:r>
        <w:rPr>
          <w:rStyle w:val="charItals"/>
          <w:i/>
        </w:rPr>
        <w:t>Meals</w:t>
      </w:r>
    </w:p>
    <w:p w:rsidR="00B40966" w:rsidRDefault="00B40966">
      <w:pPr>
        <w:pStyle w:val="Amain"/>
      </w:pPr>
      <w:r>
        <w:rPr>
          <w:color w:val="000000"/>
        </w:rPr>
        <w:tab/>
        <w:t>(83)</w:t>
      </w:r>
      <w:r>
        <w:rPr>
          <w:color w:val="000000"/>
        </w:rPr>
        <w:tab/>
        <w:t xml:space="preserve">A diver who is to work under water at a depth of over 30 feet shall not have a meal within </w:t>
      </w:r>
      <w:r>
        <w:rPr>
          <w:color w:val="000000"/>
          <w:position w:val="6"/>
          <w:sz w:val="18"/>
        </w:rPr>
        <w:t>1</w:t>
      </w:r>
      <w:r>
        <w:rPr>
          <w:color w:val="000000"/>
        </w:rPr>
        <w:t>/</w:t>
      </w:r>
      <w:r>
        <w:rPr>
          <w:color w:val="000000"/>
          <w:sz w:val="18"/>
        </w:rPr>
        <w:t>2</w:t>
      </w:r>
      <w:r>
        <w:rPr>
          <w:color w:val="000000"/>
        </w:rPr>
        <w:t xml:space="preserve"> an hour of beginning to dive and the last meal before diving should only be a light one.</w:t>
      </w:r>
    </w:p>
    <w:p w:rsidR="00B40966" w:rsidRDefault="00B40966">
      <w:pPr>
        <w:pStyle w:val="Assectheading"/>
        <w:rPr>
          <w:i w:val="0"/>
        </w:rPr>
      </w:pPr>
      <w:r>
        <w:rPr>
          <w:rStyle w:val="charItals"/>
          <w:i/>
        </w:rPr>
        <w:t>Dressing and sending down diver</w:t>
      </w:r>
    </w:p>
    <w:p w:rsidR="00B40966" w:rsidRDefault="00B40966">
      <w:pPr>
        <w:pStyle w:val="Amain"/>
      </w:pPr>
      <w:r>
        <w:tab/>
        <w:t>(84)</w:t>
      </w:r>
      <w:r>
        <w:tab/>
        <w:t>The diver shall be dressed by the following routine method:</w:t>
      </w:r>
    </w:p>
    <w:p w:rsidR="00B40966" w:rsidRDefault="00B40966">
      <w:pPr>
        <w:pStyle w:val="Apara"/>
      </w:pPr>
      <w:r>
        <w:tab/>
        <w:t>(a)</w:t>
      </w:r>
      <w:r>
        <w:tab/>
        <w:t>air pipe and breast rope connected to helmet;</w:t>
      </w:r>
    </w:p>
    <w:p w:rsidR="00B40966" w:rsidRDefault="00B40966">
      <w:pPr>
        <w:pStyle w:val="Apara"/>
      </w:pPr>
      <w:r>
        <w:tab/>
        <w:t>(b)</w:t>
      </w:r>
      <w:r>
        <w:tab/>
        <w:t>telephone tested (if used);</w:t>
      </w:r>
    </w:p>
    <w:p w:rsidR="00B40966" w:rsidRDefault="00B40966">
      <w:pPr>
        <w:pStyle w:val="Apara"/>
      </w:pPr>
      <w:r>
        <w:tab/>
        <w:t>(c)</w:t>
      </w:r>
      <w:r>
        <w:tab/>
        <w:t>diver dressed in woollens;</w:t>
      </w:r>
    </w:p>
    <w:p w:rsidR="00B40966" w:rsidRDefault="00B40966">
      <w:pPr>
        <w:pStyle w:val="Apara"/>
      </w:pPr>
      <w:r>
        <w:tab/>
        <w:t>(d)</w:t>
      </w:r>
      <w:r>
        <w:tab/>
        <w:t>diving dress and shoulder pads put on;</w:t>
      </w:r>
    </w:p>
    <w:p w:rsidR="00B40966" w:rsidRDefault="00B40966">
      <w:pPr>
        <w:pStyle w:val="Apara"/>
      </w:pPr>
      <w:r>
        <w:tab/>
        <w:t>(e)</w:t>
      </w:r>
      <w:r>
        <w:tab/>
        <w:t>corselet placed on diver, care being taken to clear the inner collar of creases and with number marked on the corselet corresponding with the helmet number;</w:t>
      </w:r>
    </w:p>
    <w:p w:rsidR="00B40966" w:rsidRDefault="00B40966">
      <w:pPr>
        <w:pStyle w:val="Apara"/>
      </w:pPr>
      <w:r>
        <w:tab/>
        <w:t>(f)</w:t>
      </w:r>
      <w:r>
        <w:tab/>
        <w:t>jock strap, if used;</w:t>
      </w:r>
    </w:p>
    <w:p w:rsidR="00B40966" w:rsidRDefault="00B40966">
      <w:pPr>
        <w:pStyle w:val="Apara"/>
      </w:pPr>
      <w:r>
        <w:tab/>
        <w:t>(g)</w:t>
      </w:r>
      <w:r>
        <w:tab/>
        <w:t>boots, with buckles outward, drawn on, and lanyards if used, to be well secured above the boots around the suit;</w:t>
      </w:r>
    </w:p>
    <w:p w:rsidR="00B40966" w:rsidRDefault="00B40966">
      <w:pPr>
        <w:pStyle w:val="Apara"/>
      </w:pPr>
      <w:r>
        <w:tab/>
        <w:t>(h)</w:t>
      </w:r>
      <w:r>
        <w:tab/>
        <w:t>helmet, without front glass, to be secured in position;</w:t>
      </w:r>
    </w:p>
    <w:p w:rsidR="00B40966" w:rsidRDefault="00B40966">
      <w:pPr>
        <w:pStyle w:val="Apara"/>
      </w:pPr>
      <w:r>
        <w:tab/>
        <w:t>(i)</w:t>
      </w:r>
      <w:r>
        <w:tab/>
        <w:t>air pipe and breast rope to be secured respectively to the left and right side of the body;</w:t>
      </w:r>
    </w:p>
    <w:p w:rsidR="00B40966" w:rsidRDefault="00B40966">
      <w:pPr>
        <w:pStyle w:val="Apara"/>
      </w:pPr>
      <w:r>
        <w:tab/>
        <w:t>(j)</w:t>
      </w:r>
      <w:r>
        <w:tab/>
        <w:t>belt, with knife (if used) attached and hanging at left side, to be secured in position;</w:t>
      </w:r>
    </w:p>
    <w:p w:rsidR="00B40966" w:rsidRDefault="00B40966">
      <w:pPr>
        <w:pStyle w:val="Apara"/>
      </w:pPr>
      <w:r>
        <w:tab/>
        <w:t>(k)</w:t>
      </w:r>
      <w:r>
        <w:tab/>
        <w:t>pump to be turned to enable diver to check air pipe connections;</w:t>
      </w:r>
    </w:p>
    <w:p w:rsidR="00B40966" w:rsidRDefault="00B40966">
      <w:pPr>
        <w:pStyle w:val="Apara"/>
      </w:pPr>
      <w:r>
        <w:tab/>
        <w:t>(l)</w:t>
      </w:r>
      <w:r>
        <w:tab/>
        <w:t>diver to be placed on ladder and breast rope hitched to the ladder;</w:t>
      </w:r>
    </w:p>
    <w:p w:rsidR="00B40966" w:rsidRDefault="00B40966">
      <w:pPr>
        <w:pStyle w:val="Apara"/>
      </w:pPr>
      <w:r>
        <w:tab/>
        <w:t>(m)</w:t>
      </w:r>
      <w:r>
        <w:tab/>
        <w:t>weights to be placed in position, back one first;</w:t>
      </w:r>
    </w:p>
    <w:p w:rsidR="00B40966" w:rsidRDefault="00B40966">
      <w:pPr>
        <w:pStyle w:val="Apara"/>
      </w:pPr>
      <w:r>
        <w:tab/>
        <w:t>(n)</w:t>
      </w:r>
      <w:r>
        <w:tab/>
        <w:t>helmet front glass to be screwed in position, but before doing so care is to be taken that the diver clearly understands all instructions relating to the work the diver is to undertake.</w:t>
      </w:r>
    </w:p>
    <w:p w:rsidR="00B40966" w:rsidRDefault="00B40966">
      <w:pPr>
        <w:pStyle w:val="Amain"/>
      </w:pPr>
      <w:r>
        <w:tab/>
        <w:t>(85)</w:t>
      </w:r>
      <w:r>
        <w:tab/>
        <w:t>When the source of air supply is a power-driven compressor, the following precautions, additional to those mentioned in subsection (84), shall be taken:</w:t>
      </w:r>
    </w:p>
    <w:p w:rsidR="00B40966" w:rsidRDefault="00B40966">
      <w:pPr>
        <w:pStyle w:val="Apara"/>
      </w:pPr>
      <w:r>
        <w:tab/>
        <w:t>(a)</w:t>
      </w:r>
      <w:r>
        <w:tab/>
        <w:t>before the helmet is secured in position, the attendant shall test the air lines and valves through their full range;</w:t>
      </w:r>
    </w:p>
    <w:p w:rsidR="00B40966" w:rsidRDefault="00B40966">
      <w:pPr>
        <w:pStyle w:val="Apara"/>
      </w:pPr>
      <w:r>
        <w:tab/>
        <w:t>(b)</w:t>
      </w:r>
      <w:r>
        <w:tab/>
        <w:t>if the diver suspects the presence of fumes or other impurities in the air supply—the diver shall report the matter to the contractor or his or her representative.</w:t>
      </w:r>
    </w:p>
    <w:p w:rsidR="00B40966" w:rsidRDefault="00B40966">
      <w:pPr>
        <w:pStyle w:val="Assectheading"/>
        <w:rPr>
          <w:i w:val="0"/>
        </w:rPr>
      </w:pPr>
      <w:r>
        <w:rPr>
          <w:rStyle w:val="charItals"/>
          <w:i/>
        </w:rPr>
        <w:t>Undressing Diver</w:t>
      </w:r>
    </w:p>
    <w:p w:rsidR="00B40966" w:rsidRDefault="00B40966">
      <w:pPr>
        <w:pStyle w:val="Amain"/>
      </w:pPr>
      <w:r>
        <w:tab/>
        <w:t>(86)</w:t>
      </w:r>
      <w:r>
        <w:tab/>
        <w:t>A suitable room, shed, screen or cover shall be provided for the use of a diver when undressing.</w:t>
      </w:r>
    </w:p>
    <w:p w:rsidR="00B40966" w:rsidRDefault="00B40966">
      <w:pPr>
        <w:pStyle w:val="Amain"/>
      </w:pPr>
      <w:r>
        <w:tab/>
        <w:t>(87)</w:t>
      </w:r>
      <w:r>
        <w:tab/>
        <w:t>Procedure, the reverse of that required by subsections (84) and (85), shall be adopted in undressing a diver.</w:t>
      </w:r>
    </w:p>
    <w:p w:rsidR="00B40966" w:rsidRDefault="00B40966">
      <w:pPr>
        <w:pStyle w:val="Amain"/>
      </w:pPr>
      <w:r>
        <w:tab/>
        <w:t>(88)</w:t>
      </w:r>
      <w:r>
        <w:tab/>
        <w:t>Each diver should do further light exercise after undressing.</w:t>
      </w:r>
    </w:p>
    <w:p w:rsidR="00B40966" w:rsidRDefault="00B40966">
      <w:pPr>
        <w:pStyle w:val="Assectheading"/>
        <w:rPr>
          <w:i w:val="0"/>
        </w:rPr>
      </w:pPr>
      <w:r>
        <w:rPr>
          <w:rStyle w:val="charItals"/>
          <w:i/>
        </w:rPr>
        <w:t>Attendants</w:t>
      </w:r>
    </w:p>
    <w:p w:rsidR="00B40966" w:rsidRDefault="00B40966">
      <w:pPr>
        <w:pStyle w:val="Amain"/>
      </w:pPr>
      <w:r>
        <w:tab/>
        <w:t>(89)</w:t>
      </w:r>
      <w:r>
        <w:tab/>
        <w:t>Each diver, while under water, shall have an attendant to hold the breast rope and air pipe.</w:t>
      </w:r>
    </w:p>
    <w:p w:rsidR="00B40966" w:rsidRDefault="00B40966">
      <w:pPr>
        <w:pStyle w:val="Amain"/>
      </w:pPr>
      <w:r>
        <w:tab/>
        <w:t>(90)</w:t>
      </w:r>
      <w:r>
        <w:tab/>
        <w:t>A sufficient number of other workers, if warranted, shall be stationed to see that the breast rope and air pipe pay out clear and also to coil down the rope and pipe when required.</w:t>
      </w:r>
    </w:p>
    <w:p w:rsidR="00B40966" w:rsidRDefault="00B40966">
      <w:pPr>
        <w:pStyle w:val="Amain"/>
      </w:pPr>
      <w:r>
        <w:tab/>
        <w:t>(91)</w:t>
      </w:r>
      <w:r>
        <w:tab/>
        <w:t>When a diver is working at depths greater than 100 feet, an additional worker shall be available, if warranted, to watch the air pipe.</w:t>
      </w:r>
    </w:p>
    <w:p w:rsidR="00B40966" w:rsidRDefault="00B40966">
      <w:pPr>
        <w:pStyle w:val="Amain"/>
      </w:pPr>
      <w:r>
        <w:tab/>
        <w:t>(92)</w:t>
      </w:r>
      <w:r>
        <w:tab/>
        <w:t>Every breast rope and air pipe shall be held clear of the gunwale and shall be kept moderately taut but care shall be taken not to have them so taut as to inconvenience the diver.</w:t>
      </w:r>
    </w:p>
    <w:p w:rsidR="00B40966" w:rsidRDefault="00B40966">
      <w:pPr>
        <w:pStyle w:val="Amain"/>
      </w:pPr>
      <w:r>
        <w:tab/>
        <w:t>(93)</w:t>
      </w:r>
      <w:r>
        <w:tab/>
        <w:t>The attendant shall maintain such control of the breast rope as to prevent the diver accidentally falling from staging or from rocks.</w:t>
      </w:r>
    </w:p>
    <w:p w:rsidR="00B40966" w:rsidRDefault="00B40966">
      <w:pPr>
        <w:pStyle w:val="Amain"/>
      </w:pPr>
      <w:r>
        <w:tab/>
        <w:t>(94)</w:t>
      </w:r>
      <w:r>
        <w:tab/>
        <w:t>Each attendant shall give his or her whole attention to his or her charge from the time the diver steps onto the ladder until the diver returns to the surface.</w:t>
      </w:r>
    </w:p>
    <w:p w:rsidR="00B40966" w:rsidRDefault="00B40966">
      <w:pPr>
        <w:pStyle w:val="Amain"/>
      </w:pPr>
      <w:r>
        <w:tab/>
        <w:t>(95)</w:t>
      </w:r>
      <w:r>
        <w:tab/>
        <w:t>The diver shall keep a close watch on the depth gauge to note changes in depth.</w:t>
      </w:r>
    </w:p>
    <w:p w:rsidR="00B40966" w:rsidRDefault="00B40966">
      <w:pPr>
        <w:pStyle w:val="Assectheading"/>
        <w:rPr>
          <w:i w:val="0"/>
          <w:color w:val="000000"/>
        </w:rPr>
      </w:pPr>
      <w:r>
        <w:rPr>
          <w:rStyle w:val="charItals"/>
          <w:i/>
        </w:rPr>
        <w:t>Records</w:t>
      </w:r>
    </w:p>
    <w:p w:rsidR="00B40966" w:rsidRDefault="00B40966">
      <w:pPr>
        <w:pStyle w:val="Amain"/>
        <w:rPr>
          <w:color w:val="000000"/>
        </w:rPr>
      </w:pPr>
      <w:r>
        <w:rPr>
          <w:color w:val="000000"/>
        </w:rPr>
        <w:tab/>
        <w:t>(96)</w:t>
      </w:r>
      <w:r>
        <w:rPr>
          <w:color w:val="000000"/>
        </w:rPr>
        <w:tab/>
        <w:t>The times of a diver’s descent and ascent shall be taken by an accurate timepiece and recorded, as also shall be all changes of depth and gauge readings when a diver is working at depths greater than 16 fathoms.</w:t>
      </w:r>
    </w:p>
    <w:p w:rsidR="00B40966" w:rsidRDefault="00B40966">
      <w:pPr>
        <w:pStyle w:val="Amain"/>
      </w:pPr>
      <w:r>
        <w:rPr>
          <w:color w:val="000000"/>
        </w:rPr>
        <w:tab/>
        <w:t>(97)</w:t>
      </w:r>
      <w:r>
        <w:rPr>
          <w:color w:val="000000"/>
        </w:rPr>
        <w:tab/>
        <w:t>All records shall be carefully preserved and made available to an inspector as and when required by the inspector.</w:t>
      </w:r>
    </w:p>
    <w:p w:rsidR="00B40966" w:rsidRDefault="00B40966">
      <w:pPr>
        <w:pStyle w:val="Assectheading"/>
        <w:rPr>
          <w:i w:val="0"/>
        </w:rPr>
      </w:pPr>
      <w:r>
        <w:rPr>
          <w:rStyle w:val="charItals"/>
          <w:i/>
        </w:rPr>
        <w:t>General Precautions</w:t>
      </w:r>
    </w:p>
    <w:p w:rsidR="00B40966" w:rsidRDefault="00B40966">
      <w:pPr>
        <w:pStyle w:val="Amain"/>
      </w:pPr>
      <w:r>
        <w:tab/>
        <w:t>(98)</w:t>
      </w:r>
      <w:r>
        <w:tab/>
        <w:t>The symptoms and treatment of compressed air illness as set out in the schedule 9 shall be kept exhibited in a conspicuous position on the works.</w:t>
      </w:r>
    </w:p>
    <w:p w:rsidR="00B40966" w:rsidRDefault="00B40966">
      <w:pPr>
        <w:pStyle w:val="Amain"/>
      </w:pPr>
      <w:r>
        <w:tab/>
        <w:t>(99)</w:t>
      </w:r>
      <w:r>
        <w:tab/>
        <w:t>A diver who has been blown up shall be sent down again to the original depth, but care shall be exercised that the diver has a firm hold of the shot rope or that the attendants have taken in the slack of the breast rope and air pipe, before the valve is opened to allow the diver to descend.</w:t>
      </w:r>
    </w:p>
    <w:p w:rsidR="00B40966" w:rsidRDefault="00B40966">
      <w:pPr>
        <w:pStyle w:val="Amain"/>
      </w:pPr>
      <w:r>
        <w:tab/>
        <w:t>(100)</w:t>
      </w:r>
      <w:r>
        <w:tab/>
        <w:t>Special care shall be taken to prevent a diver, who is working under a large flat surface, being blown up.</w:t>
      </w:r>
    </w:p>
    <w:p w:rsidR="00B40966" w:rsidRDefault="00B40966">
      <w:pPr>
        <w:pStyle w:val="Amain"/>
      </w:pPr>
      <w:r>
        <w:tab/>
        <w:t>(101)</w:t>
      </w:r>
      <w:r>
        <w:tab/>
        <w:t>If the diver is inadvertently blown up, provision shall be made for the diver to be cleared without risk of injury.</w:t>
      </w:r>
    </w:p>
    <w:p w:rsidR="00B40966" w:rsidRDefault="00B40966">
      <w:pPr>
        <w:pStyle w:val="Amain"/>
      </w:pPr>
      <w:r>
        <w:tab/>
        <w:t>(102)</w:t>
      </w:r>
      <w:r>
        <w:tab/>
        <w:t>When an additional pump is to be connected by means of a four-way connection, the additional pump shall be operated against the shut cock until the gauge shows the same pressure as the other pump delivering air for the diver, before the cock may be opened.</w:t>
      </w:r>
    </w:p>
    <w:p w:rsidR="00B40966" w:rsidRDefault="00B40966">
      <w:pPr>
        <w:pStyle w:val="Amain"/>
      </w:pPr>
      <w:r>
        <w:tab/>
        <w:t>(103)</w:t>
      </w:r>
      <w:r>
        <w:tab/>
        <w:t>When a pump is to be disconnected with the diver down, the cock on that pump connection shall first be shut.</w:t>
      </w:r>
    </w:p>
    <w:p w:rsidR="00B40966" w:rsidRDefault="00B40966">
      <w:pPr>
        <w:pStyle w:val="Amain"/>
      </w:pPr>
      <w:r>
        <w:tab/>
        <w:t>(104)</w:t>
      </w:r>
      <w:r>
        <w:tab/>
        <w:t>The air pipes serving 2 divers shall on no account be joined up to the same junction.</w:t>
      </w:r>
    </w:p>
    <w:p w:rsidR="00B40966" w:rsidRDefault="00B40966">
      <w:pPr>
        <w:pStyle w:val="Amain"/>
      </w:pPr>
      <w:r>
        <w:tab/>
        <w:t>(105)</w:t>
      </w:r>
      <w:r>
        <w:tab/>
        <w:t>If 1 hand pump is used to serve 2 divers, each diver’s air supply shall be independently controlled by a suitable air-distributing valve.</w:t>
      </w:r>
    </w:p>
    <w:p w:rsidR="00B40966" w:rsidRDefault="00B40966">
      <w:pPr>
        <w:pStyle w:val="Amain"/>
      </w:pPr>
      <w:r>
        <w:rPr>
          <w:color w:val="000000"/>
        </w:rPr>
        <w:tab/>
        <w:t>(106)</w:t>
      </w:r>
      <w:r>
        <w:rPr>
          <w:color w:val="000000"/>
        </w:rPr>
        <w:tab/>
        <w:t>This section shall apply to any diving operation that is a compressed air work within the meaning of the Act.</w:t>
      </w:r>
    </w:p>
    <w:p w:rsidR="00B40966" w:rsidRDefault="00B40966">
      <w:pPr>
        <w:pStyle w:val="AH3Div"/>
      </w:pPr>
      <w:bookmarkStart w:id="187" w:name="_Toc87258043"/>
      <w:r>
        <w:rPr>
          <w:rStyle w:val="CharDivNo"/>
        </w:rPr>
        <w:t>Division 8.2</w:t>
      </w:r>
      <w:r>
        <w:rPr>
          <w:rStyle w:val="CharDivNo"/>
        </w:rPr>
        <w:tab/>
      </w:r>
      <w:r>
        <w:rPr>
          <w:rStyle w:val="CharDivText"/>
        </w:rPr>
        <w:t>Tunnelling</w:t>
      </w:r>
      <w:bookmarkEnd w:id="187"/>
    </w:p>
    <w:p w:rsidR="00B40966" w:rsidRDefault="00B40966">
      <w:pPr>
        <w:pStyle w:val="AH5Sec"/>
      </w:pPr>
      <w:bookmarkStart w:id="188" w:name="_Toc87258044"/>
      <w:r>
        <w:rPr>
          <w:rStyle w:val="CharSectNo"/>
        </w:rPr>
        <w:t>100</w:t>
      </w:r>
      <w:bookmarkEnd w:id="188"/>
      <w:r>
        <w:tab/>
        <w:t xml:space="preserve">  </w:t>
      </w:r>
    </w:p>
    <w:p w:rsidR="00B40966" w:rsidRDefault="00B40966">
      <w:pPr>
        <w:pStyle w:val="Amain"/>
      </w:pPr>
      <w:r>
        <w:tab/>
        <w:t>(1)</w:t>
      </w:r>
      <w:r>
        <w:tab/>
        <w:t>This section shall apply to any tunnelling operation that is a compressed air work within the meaning of the Act.</w:t>
      </w:r>
    </w:p>
    <w:p w:rsidR="00B40966" w:rsidRDefault="00B40966">
      <w:pPr>
        <w:pStyle w:val="Assectheading"/>
        <w:rPr>
          <w:i w:val="0"/>
          <w:color w:val="000000"/>
        </w:rPr>
      </w:pPr>
      <w:r>
        <w:rPr>
          <w:rStyle w:val="charItals"/>
          <w:i/>
        </w:rPr>
        <w:t>Age limits</w:t>
      </w:r>
    </w:p>
    <w:p w:rsidR="00B40966" w:rsidRDefault="00B40966">
      <w:pPr>
        <w:pStyle w:val="Amain"/>
      </w:pPr>
      <w:r>
        <w:rPr>
          <w:color w:val="000000"/>
        </w:rPr>
        <w:tab/>
        <w:t>(2)</w:t>
      </w:r>
      <w:r>
        <w:rPr>
          <w:color w:val="000000"/>
        </w:rPr>
        <w:tab/>
        <w:t>No person shall work or be employed in tunnelling—</w:t>
      </w:r>
    </w:p>
    <w:p w:rsidR="00B40966" w:rsidRDefault="00B40966">
      <w:pPr>
        <w:pStyle w:val="Apara"/>
      </w:pPr>
      <w:r>
        <w:tab/>
        <w:t>(a)</w:t>
      </w:r>
      <w:r>
        <w:tab/>
        <w:t>at pressures up to 30 pounds per square inch if the person is over 50 years old; or</w:t>
      </w:r>
    </w:p>
    <w:p w:rsidR="00B40966" w:rsidRDefault="00B40966">
      <w:pPr>
        <w:pStyle w:val="Apara"/>
      </w:pPr>
      <w:r>
        <w:tab/>
        <w:t>(b)</w:t>
      </w:r>
      <w:r>
        <w:tab/>
        <w:t>at pressures over 30 pounds per square inch if the person is over 45 years old.</w:t>
      </w:r>
    </w:p>
    <w:p w:rsidR="00B40966" w:rsidRDefault="00B40966">
      <w:pPr>
        <w:pStyle w:val="Amain"/>
      </w:pPr>
      <w:r>
        <w:tab/>
        <w:t>(3)</w:t>
      </w:r>
      <w:r>
        <w:tab/>
        <w:t>No person under 20 years old shall work or be employed in tunnelling work in compressed air.</w:t>
      </w:r>
    </w:p>
    <w:p w:rsidR="00B40966" w:rsidRDefault="00B40966">
      <w:pPr>
        <w:pStyle w:val="Amain"/>
      </w:pPr>
      <w:r>
        <w:tab/>
        <w:t>(4)</w:t>
      </w:r>
      <w:r>
        <w:tab/>
        <w:t>However, in exceptional circumstances the medical officer may set aside the age limits in individual cases.</w:t>
      </w:r>
    </w:p>
    <w:p w:rsidR="00B40966" w:rsidRDefault="00B40966">
      <w:pPr>
        <w:pStyle w:val="Assectheading"/>
        <w:rPr>
          <w:i w:val="0"/>
        </w:rPr>
      </w:pPr>
      <w:r>
        <w:rPr>
          <w:rStyle w:val="charItals"/>
          <w:i/>
        </w:rPr>
        <w:t>Appointment of medical officers</w:t>
      </w:r>
    </w:p>
    <w:p w:rsidR="00B40966" w:rsidRDefault="00B40966">
      <w:pPr>
        <w:pStyle w:val="Amain"/>
      </w:pPr>
      <w:r>
        <w:tab/>
        <w:t>(5)</w:t>
      </w:r>
      <w:r>
        <w:tab/>
        <w:t>A legally qualified doctor shall be appointed to carry out the duties that are prescribed by this section as being the duties of a medical officer.</w:t>
      </w:r>
    </w:p>
    <w:p w:rsidR="00B40966" w:rsidRDefault="00B40966">
      <w:pPr>
        <w:pStyle w:val="Amain"/>
      </w:pPr>
      <w:r>
        <w:tab/>
        <w:t>(6)</w:t>
      </w:r>
      <w:r>
        <w:tab/>
        <w:t>The chief inspector shall be notified in writing of the name and address of the medical officer immediately after he or she is appointed.</w:t>
      </w:r>
    </w:p>
    <w:p w:rsidR="00B40966" w:rsidRDefault="00B40966">
      <w:pPr>
        <w:pStyle w:val="Assectheading"/>
        <w:rPr>
          <w:i w:val="0"/>
        </w:rPr>
      </w:pPr>
      <w:r>
        <w:rPr>
          <w:rStyle w:val="charItals"/>
          <w:i/>
        </w:rPr>
        <w:t>Appointment of medical officers—medical orderly</w:t>
      </w:r>
    </w:p>
    <w:p w:rsidR="00B40966" w:rsidRDefault="00B40966">
      <w:pPr>
        <w:pStyle w:val="Amain"/>
        <w:rPr>
          <w:color w:val="000000"/>
        </w:rPr>
      </w:pPr>
      <w:r>
        <w:rPr>
          <w:color w:val="000000"/>
        </w:rPr>
        <w:tab/>
        <w:t>(7)</w:t>
      </w:r>
      <w:r>
        <w:rPr>
          <w:color w:val="000000"/>
        </w:rPr>
        <w:tab/>
        <w:t>When the working pressure exceeds 25 pounds per square inch an experienced medical orderly shall be constantly in attendance for the purpose of recompressing any person who shows symptoms of compressed air illness, and for the purpose of attending to minor injuries.</w:t>
      </w:r>
    </w:p>
    <w:p w:rsidR="00B40966" w:rsidRDefault="00B40966">
      <w:pPr>
        <w:pStyle w:val="Amain"/>
        <w:rPr>
          <w:color w:val="000000"/>
        </w:rPr>
      </w:pPr>
      <w:r>
        <w:rPr>
          <w:color w:val="000000"/>
        </w:rPr>
        <w:tab/>
        <w:t>(8)</w:t>
      </w:r>
      <w:r>
        <w:rPr>
          <w:color w:val="000000"/>
        </w:rPr>
        <w:tab/>
        <w:t>The medical orderly shall be a person approved by the medical officer and, preferably, shall be the holder of a St. John Ambulance certificate or equivalent qualification.</w:t>
      </w:r>
    </w:p>
    <w:p w:rsidR="00B40966" w:rsidRDefault="00B40966">
      <w:pPr>
        <w:pStyle w:val="Amain"/>
        <w:rPr>
          <w:color w:val="000000"/>
        </w:rPr>
      </w:pPr>
      <w:r>
        <w:rPr>
          <w:color w:val="000000"/>
        </w:rPr>
        <w:tab/>
        <w:t>(9)</w:t>
      </w:r>
      <w:r>
        <w:rPr>
          <w:color w:val="000000"/>
        </w:rPr>
        <w:tab/>
        <w:t>The medical orderly may work on other duties provided these are such that he or she will be readily available for medical orderly duties when required.</w:t>
      </w:r>
    </w:p>
    <w:p w:rsidR="00B40966" w:rsidRDefault="00B40966">
      <w:pPr>
        <w:pStyle w:val="Amain"/>
      </w:pPr>
      <w:r>
        <w:tab/>
        <w:t>(10)</w:t>
      </w:r>
      <w:r>
        <w:tab/>
        <w:t>No person shall work or be employed to work in compressed air unless on or after the date the person has been examined by an appointed medical officer, and has been certified by the officer as being fit to work in compressed air.</w:t>
      </w:r>
    </w:p>
    <w:p w:rsidR="00B40966" w:rsidRDefault="00B40966">
      <w:pPr>
        <w:pStyle w:val="Amain"/>
      </w:pPr>
      <w:r>
        <w:tab/>
        <w:t>(11)</w:t>
      </w:r>
      <w:r>
        <w:tab/>
        <w:t>The examination shall include an X-ray examination of the chest.</w:t>
      </w:r>
    </w:p>
    <w:p w:rsidR="00B40966" w:rsidRDefault="00B40966">
      <w:pPr>
        <w:pStyle w:val="Amain"/>
      </w:pPr>
      <w:r>
        <w:tab/>
        <w:t>(12)</w:t>
      </w:r>
      <w:r>
        <w:tab/>
        <w:t>The medical officer’s report shall be kept and produced to an inspector on demand.</w:t>
      </w:r>
    </w:p>
    <w:p w:rsidR="00B40966" w:rsidRDefault="00B40966">
      <w:pPr>
        <w:pStyle w:val="Assectheading"/>
        <w:rPr>
          <w:i w:val="0"/>
        </w:rPr>
      </w:pPr>
      <w:r>
        <w:rPr>
          <w:rStyle w:val="charItals"/>
          <w:i/>
        </w:rPr>
        <w:t>Supervision of health during work</w:t>
      </w:r>
    </w:p>
    <w:p w:rsidR="00B40966" w:rsidRDefault="00B40966">
      <w:pPr>
        <w:pStyle w:val="Amain"/>
      </w:pPr>
      <w:r>
        <w:tab/>
        <w:t>(13)</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disease that may come on the person during or after work may have the most serious consequences to his or her health and the person shall be instructed that immediately on noticing any such indisposition the person must report it to the medical officer, or to a medical orderly, or failing either, to the contractor or a responsible representative of the contractor.</w:t>
      </w:r>
    </w:p>
    <w:p w:rsidR="00B40966" w:rsidRDefault="00B40966">
      <w:pPr>
        <w:pStyle w:val="Amain"/>
      </w:pPr>
      <w:r>
        <w:tab/>
        <w:t>(14)</w:t>
      </w:r>
      <w:r>
        <w:tab/>
        <w:t>The symptoms and treatment of compressed air illness as mentioned in schedule 9 shall be exhibited in a conspicuous position in the workers’s change room.</w:t>
      </w:r>
    </w:p>
    <w:p w:rsidR="00B40966" w:rsidRDefault="00B40966">
      <w:pPr>
        <w:pStyle w:val="Amain"/>
      </w:pPr>
      <w:r>
        <w:tab/>
        <w:t>(15)</w:t>
      </w:r>
      <w:r>
        <w:tab/>
        <w:t>A contractor shall not allow any person—</w:t>
      </w:r>
    </w:p>
    <w:p w:rsidR="00B40966" w:rsidRDefault="00B40966">
      <w:pPr>
        <w:pStyle w:val="Apara"/>
      </w:pPr>
      <w:r>
        <w:tab/>
        <w:t>(a)</w:t>
      </w:r>
      <w:r>
        <w:tab/>
        <w:t>known to be suffering from bends, cold in the head, sore throat, or any other illness or disease, or</w:t>
      </w:r>
    </w:p>
    <w:p w:rsidR="00B40966" w:rsidRDefault="00B40966">
      <w:pPr>
        <w:pStyle w:val="Apara"/>
      </w:pPr>
      <w:r>
        <w:tab/>
        <w:t>(b)</w:t>
      </w:r>
      <w:r>
        <w:tab/>
        <w:t>under the influence of intoxicating liquor;</w:t>
      </w:r>
    </w:p>
    <w:p w:rsidR="00B40966" w:rsidRDefault="00B40966">
      <w:pPr>
        <w:pStyle w:val="Amainreturn"/>
      </w:pPr>
      <w:r>
        <w:t>to enter any compressed air chamber.</w:t>
      </w:r>
    </w:p>
    <w:p w:rsidR="00B40966" w:rsidRDefault="00B40966">
      <w:pPr>
        <w:pStyle w:val="Amain"/>
        <w:keepNext/>
      </w:pPr>
      <w:r>
        <w:tab/>
        <w:t>(16)</w:t>
      </w:r>
      <w:r>
        <w:tab/>
        <w:t>Persons employed continuously in compressed air shall be medically re-examined regularly at the following intervals:</w:t>
      </w:r>
    </w:p>
    <w:p w:rsidR="00B40966" w:rsidRDefault="00B40966">
      <w:pPr>
        <w:pStyle w:val="Apara"/>
      </w:pPr>
      <w:r>
        <w:tab/>
        <w:t>(a)</w:t>
      </w:r>
      <w:r>
        <w:tab/>
        <w:t>at pressures not exceeding 25 pounds per square inch—every 6 months;</w:t>
      </w:r>
    </w:p>
    <w:p w:rsidR="00B40966" w:rsidRDefault="00B40966">
      <w:pPr>
        <w:pStyle w:val="Apara"/>
      </w:pPr>
      <w:r>
        <w:tab/>
        <w:t>(b)</w:t>
      </w:r>
      <w:r>
        <w:tab/>
        <w:t>at pressures exceeding 25 pounds per square inch but not exceeding 35 pounds per square inch—every 3 months;</w:t>
      </w:r>
    </w:p>
    <w:p w:rsidR="00B40966" w:rsidRDefault="00B40966">
      <w:pPr>
        <w:pStyle w:val="Apara"/>
      </w:pPr>
      <w:r>
        <w:tab/>
        <w:t>(c)</w:t>
      </w:r>
      <w:r>
        <w:tab/>
        <w:t>at pressures exceeding 35 pounds per square inch but not exceeding 45 pounds per square inch—every 6 weeks;</w:t>
      </w:r>
    </w:p>
    <w:p w:rsidR="00B40966" w:rsidRDefault="00B40966">
      <w:pPr>
        <w:pStyle w:val="Apara"/>
      </w:pPr>
      <w:r>
        <w:tab/>
        <w:t>(d)</w:t>
      </w:r>
      <w:r>
        <w:tab/>
        <w:t>at pressures exceeding 45 pounds per square inch—every 4 weeks.</w:t>
      </w:r>
    </w:p>
    <w:p w:rsidR="00B40966" w:rsidRDefault="00B40966">
      <w:pPr>
        <w:pStyle w:val="Amain"/>
      </w:pPr>
      <w:r>
        <w:tab/>
        <w:t>(17)</w:t>
      </w:r>
      <w:r>
        <w:tab/>
        <w:t>Unless so re-examined and found fit as mentioned in this section no person shall work, or be employed to work in compressed air.</w:t>
      </w:r>
    </w:p>
    <w:p w:rsidR="00B40966" w:rsidRDefault="00B40966">
      <w:pPr>
        <w:pStyle w:val="Amain"/>
      </w:pPr>
      <w:r>
        <w:tab/>
        <w:t>(18)</w:t>
      </w:r>
      <w:r>
        <w:tab/>
        <w:t>Any employee who has been absent from work for more than 7 days owing to illness of any kind, or who has been absent from work due to any other cause, except for recreation, for a period of more than 3 weeks shall not work or be employed to work in compressed air without first producing a certificate of fitness from the medical officer.</w:t>
      </w:r>
    </w:p>
    <w:p w:rsidR="00B40966" w:rsidRDefault="00B40966">
      <w:pPr>
        <w:pStyle w:val="Amain"/>
      </w:pPr>
      <w:r>
        <w:tab/>
        <w:t>(19)</w:t>
      </w:r>
      <w:r>
        <w:tab/>
        <w:t>No person shall work or be employed to work in compressed air after 12 months, or any lesser period that the medical officer may determine, has elapsed.</w:t>
      </w:r>
    </w:p>
    <w:p w:rsidR="00B40966" w:rsidRDefault="00B40966">
      <w:pPr>
        <w:pStyle w:val="Amain"/>
      </w:pPr>
      <w:r>
        <w:tab/>
        <w:t>(20)</w:t>
      </w:r>
      <w:r>
        <w:tab/>
        <w:t>Every person not accustomed to work in compressed air shall be tested to the working pressure obtaining at his or her place of work by being subjected to the pressure in the medical or airlock.</w:t>
      </w:r>
    </w:p>
    <w:p w:rsidR="00B40966" w:rsidRDefault="00B40966">
      <w:pPr>
        <w:pStyle w:val="Amain"/>
      </w:pPr>
      <w:r>
        <w:tab/>
        <w:t>(21)</w:t>
      </w:r>
      <w:r>
        <w:tab/>
        <w:t>If the employee shows serious symptoms after test, or after the first 2 full working periods, the employee shall not work in compressed air.</w:t>
      </w:r>
    </w:p>
    <w:p w:rsidR="00B40966" w:rsidRDefault="00B40966">
      <w:pPr>
        <w:pStyle w:val="Assectheading"/>
        <w:rPr>
          <w:i w:val="0"/>
        </w:rPr>
      </w:pPr>
      <w:r>
        <w:rPr>
          <w:rStyle w:val="charItals"/>
          <w:i/>
        </w:rPr>
        <w:t>Compressed air workers’ badge</w:t>
      </w:r>
    </w:p>
    <w:p w:rsidR="00B40966" w:rsidRDefault="00B40966">
      <w:pPr>
        <w:pStyle w:val="Amain"/>
      </w:pPr>
      <w:r>
        <w:tab/>
        <w:t>(22)</w:t>
      </w:r>
      <w:r>
        <w:tab/>
        <w:t>It shall be the duty of a contractor employing persons to work in compressed air to supply to every such person a compressed air workers’ badge.</w:t>
      </w:r>
    </w:p>
    <w:p w:rsidR="00B40966" w:rsidRDefault="00B40966">
      <w:pPr>
        <w:pStyle w:val="Amain"/>
      </w:pPr>
      <w:r>
        <w:tab/>
        <w:t>(23)</w:t>
      </w:r>
      <w:r>
        <w:tab/>
        <w:t>It shall be the duty of every person employed or working in compressed air to, at all times, wear a compressed air workers’ badge.</w:t>
      </w:r>
    </w:p>
    <w:p w:rsidR="00B40966" w:rsidRDefault="00B40966">
      <w:pPr>
        <w:pStyle w:val="Amain"/>
      </w:pPr>
      <w:r>
        <w:tab/>
        <w:t>(24)</w:t>
      </w:r>
      <w:r>
        <w:tab/>
        <w:t>Every compressed air workers’ badge shall be manufactured and used in the way mentioned in section 99 (17) to (19).</w:t>
      </w:r>
    </w:p>
    <w:p w:rsidR="00B40966" w:rsidRDefault="00B40966">
      <w:pPr>
        <w:pStyle w:val="Assectheading"/>
        <w:rPr>
          <w:i w:val="0"/>
        </w:rPr>
      </w:pPr>
      <w:r>
        <w:rPr>
          <w:rStyle w:val="charItals"/>
          <w:i/>
        </w:rPr>
        <w:t>Safe working periods</w:t>
      </w:r>
      <w:r>
        <w:rPr>
          <w:i w:val="0"/>
          <w:color w:val="000000"/>
        </w:rPr>
        <w:t>—</w:t>
      </w:r>
      <w:r>
        <w:rPr>
          <w:rStyle w:val="charItals"/>
          <w:i/>
        </w:rPr>
        <w:t>general</w:t>
      </w:r>
    </w:p>
    <w:p w:rsidR="00B40966" w:rsidRDefault="00B40966">
      <w:pPr>
        <w:pStyle w:val="Amain"/>
        <w:keepLines/>
      </w:pPr>
      <w:r>
        <w:tab/>
        <w:t>(25)</w:t>
      </w:r>
      <w:r>
        <w:tab/>
        <w:t>Except in case of emergency, no person shall work or be employed to work in compressed air for longer in any period of 24 hours than the period corresponding to the pressure in which the work is carried out as set out in table 100:</w:t>
      </w:r>
    </w:p>
    <w:p w:rsidR="00B40966" w:rsidRDefault="00B40966">
      <w:pPr>
        <w:pStyle w:val="TableHd"/>
        <w:ind w:hanging="60"/>
      </w:pPr>
      <w:r>
        <w:t>Table 100</w:t>
      </w:r>
    </w:p>
    <w:tbl>
      <w:tblPr>
        <w:tblW w:w="0" w:type="auto"/>
        <w:tblInd w:w="1220" w:type="dxa"/>
        <w:tblLayout w:type="fixed"/>
        <w:tblCellMar>
          <w:left w:w="80" w:type="dxa"/>
          <w:right w:w="80" w:type="dxa"/>
        </w:tblCellMar>
        <w:tblLook w:val="0000" w:firstRow="0" w:lastRow="0" w:firstColumn="0" w:lastColumn="0" w:noHBand="0" w:noVBand="0"/>
      </w:tblPr>
      <w:tblGrid>
        <w:gridCol w:w="1680"/>
        <w:gridCol w:w="1560"/>
        <w:gridCol w:w="1640"/>
        <w:gridCol w:w="1620"/>
      </w:tblGrid>
      <w:tr w:rsidR="00B40966">
        <w:trPr>
          <w:cantSplit/>
          <w:tblHeader/>
        </w:trPr>
        <w:tc>
          <w:tcPr>
            <w:tcW w:w="1680" w:type="dxa"/>
            <w:tcBorders>
              <w:bottom w:val="single" w:sz="6" w:space="0" w:color="auto"/>
            </w:tcBorders>
          </w:tcPr>
          <w:p w:rsidR="00B40966" w:rsidRDefault="00B40966">
            <w:pPr>
              <w:pStyle w:val="TableColHd"/>
            </w:pPr>
            <w:r>
              <w:t>gauge pressure</w:t>
            </w:r>
          </w:p>
          <w:p w:rsidR="00B40966" w:rsidRDefault="00B40966">
            <w:pPr>
              <w:pStyle w:val="TableColHd"/>
            </w:pPr>
            <w:r>
              <w:t>lb/in</w:t>
            </w:r>
            <w:r>
              <w:rPr>
                <w:vertAlign w:val="superscript"/>
              </w:rPr>
              <w:t>2</w:t>
            </w:r>
          </w:p>
        </w:tc>
        <w:tc>
          <w:tcPr>
            <w:tcW w:w="1560" w:type="dxa"/>
            <w:tcBorders>
              <w:bottom w:val="single" w:sz="6" w:space="0" w:color="auto"/>
            </w:tcBorders>
          </w:tcPr>
          <w:p w:rsidR="00B40966" w:rsidRDefault="00B40966">
            <w:pPr>
              <w:pStyle w:val="TableColHd"/>
            </w:pPr>
            <w:r>
              <w:t>working period</w:t>
            </w:r>
          </w:p>
        </w:tc>
        <w:tc>
          <w:tcPr>
            <w:tcW w:w="1640" w:type="dxa"/>
            <w:tcBorders>
              <w:bottom w:val="single" w:sz="6" w:space="0" w:color="auto"/>
            </w:tcBorders>
          </w:tcPr>
          <w:p w:rsidR="00B40966" w:rsidRDefault="00B40966">
            <w:pPr>
              <w:pStyle w:val="TableColHd"/>
            </w:pPr>
            <w:r>
              <w:t>gauge pressure</w:t>
            </w:r>
          </w:p>
          <w:p w:rsidR="00B40966" w:rsidRDefault="00B40966">
            <w:pPr>
              <w:pStyle w:val="TableColHd"/>
            </w:pPr>
            <w:r>
              <w:t>lb/in</w:t>
            </w:r>
            <w:r>
              <w:rPr>
                <w:vertAlign w:val="superscript"/>
              </w:rPr>
              <w:t>2</w:t>
            </w:r>
          </w:p>
        </w:tc>
        <w:tc>
          <w:tcPr>
            <w:tcW w:w="1620" w:type="dxa"/>
            <w:tcBorders>
              <w:bottom w:val="single" w:sz="6" w:space="0" w:color="auto"/>
            </w:tcBorders>
          </w:tcPr>
          <w:p w:rsidR="00B40966" w:rsidRDefault="00B40966">
            <w:pPr>
              <w:pStyle w:val="TableColHd"/>
            </w:pPr>
            <w:r>
              <w:t>working period</w:t>
            </w:r>
          </w:p>
        </w:tc>
      </w:tr>
      <w:tr w:rsidR="00B40966">
        <w:trPr>
          <w:cantSplit/>
        </w:trPr>
        <w:tc>
          <w:tcPr>
            <w:tcW w:w="1680" w:type="dxa"/>
            <w:tcBorders>
              <w:top w:val="single" w:sz="6" w:space="0" w:color="auto"/>
            </w:tcBorders>
          </w:tcPr>
          <w:p w:rsidR="00B40966" w:rsidRDefault="00B40966">
            <w:pPr>
              <w:pStyle w:val="TableText"/>
            </w:pPr>
            <w:r>
              <w:t>0-15</w:t>
            </w:r>
          </w:p>
        </w:tc>
        <w:tc>
          <w:tcPr>
            <w:tcW w:w="1560" w:type="dxa"/>
            <w:tcBorders>
              <w:top w:val="single" w:sz="6" w:space="0" w:color="auto"/>
            </w:tcBorders>
          </w:tcPr>
          <w:p w:rsidR="00B40966" w:rsidRDefault="00B40966">
            <w:pPr>
              <w:pStyle w:val="TableText"/>
            </w:pPr>
            <w:r>
              <w:t>8 hours</w:t>
            </w:r>
          </w:p>
        </w:tc>
        <w:tc>
          <w:tcPr>
            <w:tcW w:w="1640" w:type="dxa"/>
            <w:tcBorders>
              <w:top w:val="single" w:sz="6" w:space="0" w:color="auto"/>
            </w:tcBorders>
          </w:tcPr>
          <w:p w:rsidR="00B40966" w:rsidRDefault="00B40966">
            <w:pPr>
              <w:pStyle w:val="TableText"/>
            </w:pPr>
            <w:r>
              <w:t>40-50</w:t>
            </w:r>
          </w:p>
        </w:tc>
        <w:tc>
          <w:tcPr>
            <w:tcW w:w="1620" w:type="dxa"/>
            <w:tcBorders>
              <w:top w:val="single" w:sz="6" w:space="0" w:color="auto"/>
            </w:tcBorders>
          </w:tcPr>
          <w:p w:rsidR="00B40966" w:rsidRDefault="00B40966">
            <w:pPr>
              <w:pStyle w:val="TableText"/>
            </w:pPr>
            <w:r>
              <w:t>3 hours</w:t>
            </w:r>
          </w:p>
        </w:tc>
      </w:tr>
      <w:tr w:rsidR="00B40966">
        <w:trPr>
          <w:cantSplit/>
        </w:trPr>
        <w:tc>
          <w:tcPr>
            <w:tcW w:w="1680" w:type="dxa"/>
          </w:tcPr>
          <w:p w:rsidR="00B40966" w:rsidRDefault="00B40966">
            <w:pPr>
              <w:pStyle w:val="TableText"/>
            </w:pPr>
            <w:r>
              <w:t>15-25</w:t>
            </w:r>
          </w:p>
        </w:tc>
        <w:tc>
          <w:tcPr>
            <w:tcW w:w="1560" w:type="dxa"/>
          </w:tcPr>
          <w:p w:rsidR="00B40966" w:rsidRDefault="00B40966">
            <w:pPr>
              <w:pStyle w:val="TableText"/>
            </w:pPr>
            <w:r>
              <w:t>6 hours</w:t>
            </w:r>
          </w:p>
        </w:tc>
        <w:tc>
          <w:tcPr>
            <w:tcW w:w="1640" w:type="dxa"/>
          </w:tcPr>
          <w:p w:rsidR="00B40966" w:rsidRDefault="00B40966">
            <w:pPr>
              <w:pStyle w:val="TableText"/>
            </w:pPr>
            <w:r>
              <w:t>50-55</w:t>
            </w:r>
          </w:p>
        </w:tc>
        <w:tc>
          <w:tcPr>
            <w:tcW w:w="1620" w:type="dxa"/>
          </w:tcPr>
          <w:p w:rsidR="00B40966" w:rsidRDefault="00B40966">
            <w:pPr>
              <w:pStyle w:val="TableText"/>
            </w:pPr>
            <w:r>
              <w:t>2 hours</w:t>
            </w:r>
          </w:p>
        </w:tc>
      </w:tr>
      <w:tr w:rsidR="00B40966">
        <w:trPr>
          <w:cantSplit/>
        </w:trPr>
        <w:tc>
          <w:tcPr>
            <w:tcW w:w="1680" w:type="dxa"/>
          </w:tcPr>
          <w:p w:rsidR="00B40966" w:rsidRDefault="00B40966">
            <w:pPr>
              <w:pStyle w:val="TableText"/>
            </w:pPr>
            <w:r>
              <w:t>25-40</w:t>
            </w:r>
          </w:p>
        </w:tc>
        <w:tc>
          <w:tcPr>
            <w:tcW w:w="1560" w:type="dxa"/>
          </w:tcPr>
          <w:p w:rsidR="00B40966" w:rsidRDefault="00B40966">
            <w:pPr>
              <w:pStyle w:val="TableText"/>
            </w:pPr>
            <w:r>
              <w:t>4 hours</w:t>
            </w:r>
          </w:p>
        </w:tc>
        <w:tc>
          <w:tcPr>
            <w:tcW w:w="1640" w:type="dxa"/>
          </w:tcPr>
          <w:p w:rsidR="00B40966" w:rsidRDefault="00B40966">
            <w:pPr>
              <w:pStyle w:val="TableText"/>
            </w:pPr>
            <w:r>
              <w:t>55-60</w:t>
            </w:r>
          </w:p>
        </w:tc>
        <w:tc>
          <w:tcPr>
            <w:tcW w:w="1620" w:type="dxa"/>
          </w:tcPr>
          <w:p w:rsidR="00B40966" w:rsidRDefault="00B40966">
            <w:pPr>
              <w:pStyle w:val="TableText"/>
            </w:pPr>
            <w:r>
              <w:t>1</w:t>
            </w:r>
            <w:r>
              <w:rPr>
                <w:position w:val="6"/>
                <w:sz w:val="18"/>
              </w:rPr>
              <w:t>1</w:t>
            </w:r>
            <w:r>
              <w:t>/</w:t>
            </w:r>
            <w:r>
              <w:rPr>
                <w:sz w:val="18"/>
              </w:rPr>
              <w:t xml:space="preserve">2 </w:t>
            </w:r>
            <w:r>
              <w:t>hours</w:t>
            </w:r>
          </w:p>
        </w:tc>
      </w:tr>
    </w:tbl>
    <w:p w:rsidR="00B40966" w:rsidRDefault="00B40966"/>
    <w:p w:rsidR="00B40966" w:rsidRDefault="00B40966">
      <w:pPr>
        <w:pStyle w:val="Amain"/>
      </w:pPr>
      <w:r>
        <w:tab/>
        <w:t>(26)</w:t>
      </w:r>
      <w:r>
        <w:tab/>
        <w:t>Provided that—</w:t>
      </w:r>
    </w:p>
    <w:p w:rsidR="00B40966" w:rsidRDefault="00B40966">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B40966" w:rsidRDefault="00B40966">
      <w:pPr>
        <w:pStyle w:val="Apara"/>
      </w:pPr>
      <w:r>
        <w:tab/>
        <w:t>(b)</w:t>
      </w:r>
      <w:r>
        <w:tab/>
        <w:t>the 8 hour working period includes times required for compression and decompression, but the other working periods shown in the table do not include times for those purposes nor time occupied in changing shifts.</w:t>
      </w:r>
    </w:p>
    <w:p w:rsidR="00B40966" w:rsidRDefault="00B40966">
      <w:pPr>
        <w:pStyle w:val="Assectheading"/>
        <w:rPr>
          <w:i w:val="0"/>
        </w:rPr>
      </w:pPr>
      <w:r>
        <w:rPr>
          <w:rStyle w:val="charItals"/>
          <w:i/>
        </w:rPr>
        <w:t>Safe working periods</w:t>
      </w:r>
      <w:r>
        <w:rPr>
          <w:i w:val="0"/>
          <w:color w:val="000000"/>
        </w:rPr>
        <w:t>—</w:t>
      </w:r>
      <w:r>
        <w:rPr>
          <w:rStyle w:val="charItals"/>
          <w:i/>
        </w:rPr>
        <w:t>observation period</w:t>
      </w:r>
    </w:p>
    <w:p w:rsidR="00B40966" w:rsidRDefault="00B40966">
      <w:pPr>
        <w:pStyle w:val="Amain"/>
      </w:pPr>
      <w:r>
        <w:tab/>
        <w:t>(27)</w:t>
      </w:r>
      <w:r>
        <w:tab/>
        <w:t>After decompression from pressures between 25 and 40 pounds per square inch, all persons shall be detained for observation for 45 minutes before leaving the site of the work.</w:t>
      </w:r>
    </w:p>
    <w:p w:rsidR="00B40966" w:rsidRDefault="00B40966">
      <w:pPr>
        <w:pStyle w:val="Amain"/>
      </w:pPr>
      <w:r>
        <w:tab/>
        <w:t>(28)</w:t>
      </w:r>
      <w:r>
        <w:tab/>
        <w:t>This period of detention shall be increased to 1 hour after decompression from pressures between 40 and 60 pounds per square inch.</w:t>
      </w:r>
    </w:p>
    <w:p w:rsidR="00B40966" w:rsidRDefault="00B40966">
      <w:pPr>
        <w:pStyle w:val="Assectheading"/>
        <w:rPr>
          <w:i w:val="0"/>
          <w:color w:val="000000"/>
        </w:rPr>
      </w:pPr>
      <w:r>
        <w:rPr>
          <w:rStyle w:val="charItals"/>
          <w:i/>
        </w:rPr>
        <w:t>Compression</w:t>
      </w:r>
    </w:p>
    <w:p w:rsidR="00B40966" w:rsidRDefault="00B40966">
      <w:pPr>
        <w:pStyle w:val="Amain"/>
        <w:rPr>
          <w:color w:val="000000"/>
        </w:rPr>
      </w:pPr>
      <w:r>
        <w:rPr>
          <w:color w:val="000000"/>
        </w:rPr>
        <w:tab/>
        <w:t>(29)</w:t>
      </w:r>
      <w:r>
        <w:rPr>
          <w:color w:val="000000"/>
        </w:rPr>
        <w:tab/>
        <w:t>During compression, the pressure shall be increased gradually and uniformly to ensure that no person is distressed.</w:t>
      </w:r>
    </w:p>
    <w:p w:rsidR="00B40966" w:rsidRDefault="00B40966">
      <w:pPr>
        <w:pStyle w:val="Amain"/>
      </w:pPr>
      <w:r>
        <w:rPr>
          <w:color w:val="000000"/>
        </w:rPr>
        <w:tab/>
        <w:t>(30)</w:t>
      </w:r>
      <w:r>
        <w:rPr>
          <w:color w:val="000000"/>
        </w:rPr>
        <w:tab/>
        <w:t>The rate of compression shall not exceed 5 pounds per square inch per minute.</w:t>
      </w:r>
    </w:p>
    <w:p w:rsidR="00B40966" w:rsidRDefault="00B40966">
      <w:pPr>
        <w:pStyle w:val="Assectheading"/>
        <w:rPr>
          <w:i w:val="0"/>
          <w:color w:val="000000"/>
        </w:rPr>
      </w:pPr>
      <w:r>
        <w:rPr>
          <w:rStyle w:val="charItals"/>
          <w:i/>
        </w:rPr>
        <w:t>Decompression</w:t>
      </w:r>
    </w:p>
    <w:p w:rsidR="00B40966" w:rsidRDefault="00B40966">
      <w:pPr>
        <w:pStyle w:val="Amain"/>
      </w:pPr>
      <w:r>
        <w:rPr>
          <w:color w:val="000000"/>
        </w:rPr>
        <w:tab/>
        <w:t>(31)</w:t>
      </w:r>
      <w:r>
        <w:rPr>
          <w:color w:val="000000"/>
        </w:rPr>
        <w:tab/>
        <w:t>Decompression shall be carried out in accordance with the provisions of schedule 7, table 7.3.</w:t>
      </w:r>
    </w:p>
    <w:p w:rsidR="00B40966" w:rsidRDefault="00B40966">
      <w:pPr>
        <w:pStyle w:val="Amain"/>
      </w:pPr>
      <w:r>
        <w:tab/>
        <w:t>(32)</w:t>
      </w:r>
      <w:r>
        <w:tab/>
        <w:t>However, at pressures lower than 18 pounds per square inch, decompression shall be conducted at a rate that will not inconvenience any person, but shall not be completed in less than 5 minutes.</w:t>
      </w:r>
    </w:p>
    <w:p w:rsidR="00B40966" w:rsidRDefault="00B40966">
      <w:pPr>
        <w:pStyle w:val="Amain"/>
      </w:pPr>
      <w:r>
        <w:tab/>
        <w:t>(33)</w:t>
      </w:r>
      <w:r>
        <w:tab/>
        <w:t>A copy of schedule 7, table 7.3 shall be posted in the man-lock.</w:t>
      </w:r>
    </w:p>
    <w:p w:rsidR="00B40966" w:rsidRDefault="00B40966">
      <w:pPr>
        <w:pStyle w:val="Assectheading"/>
        <w:rPr>
          <w:i w:val="0"/>
          <w:color w:val="000000"/>
        </w:rPr>
      </w:pPr>
      <w:r>
        <w:rPr>
          <w:rStyle w:val="charItals"/>
          <w:i/>
        </w:rPr>
        <w:t>Airlock attendants</w:t>
      </w:r>
    </w:p>
    <w:p w:rsidR="00B40966" w:rsidRDefault="00B40966">
      <w:pPr>
        <w:pStyle w:val="Amain"/>
      </w:pPr>
      <w:r>
        <w:rPr>
          <w:color w:val="000000"/>
        </w:rPr>
        <w:tab/>
        <w:t>(34)</w:t>
      </w:r>
      <w:r>
        <w:rPr>
          <w:color w:val="000000"/>
        </w:rPr>
        <w:tab/>
        <w:t>Every airlock shall be serviced only by a reliable, and specially trained and selected person.</w:t>
      </w:r>
    </w:p>
    <w:p w:rsidR="00B40966" w:rsidRDefault="00B40966">
      <w:pPr>
        <w:pStyle w:val="Amain"/>
      </w:pPr>
      <w:r>
        <w:tab/>
        <w:t>(35)</w:t>
      </w:r>
      <w:r>
        <w:tab/>
        <w:t>The airlock attendant, if without previous experience of either working in or controlling airlocks, shall be specially trained.</w:t>
      </w:r>
    </w:p>
    <w:p w:rsidR="00B40966" w:rsidRDefault="00B40966">
      <w:pPr>
        <w:pStyle w:val="Amain"/>
      </w:pPr>
      <w:r>
        <w:tab/>
        <w:t>(36)</w:t>
      </w:r>
      <w:r>
        <w:tab/>
        <w:t>The airlock attendant shall at no time operate more than 1 man</w:t>
      </w:r>
      <w:r>
        <w:noBreakHyphen/>
        <w:t>lock.</w:t>
      </w:r>
    </w:p>
    <w:p w:rsidR="00B40966" w:rsidRDefault="00B40966">
      <w:pPr>
        <w:pStyle w:val="Amain"/>
      </w:pPr>
      <w:r>
        <w:tab/>
        <w:t>(37)</w:t>
      </w:r>
      <w:r>
        <w:tab/>
        <w:t>The airlock attendant shall remain outside the lock near the entrance, and shall not be employed for more than 8 hours in any 24 hours.</w:t>
      </w:r>
    </w:p>
    <w:p w:rsidR="00B40966" w:rsidRDefault="00B40966">
      <w:pPr>
        <w:pStyle w:val="Amain"/>
      </w:pPr>
      <w:r>
        <w:tab/>
        <w:t>(38)</w:t>
      </w:r>
      <w:r>
        <w:tab/>
        <w:t>Written instructions about the gauge pressure in the working chamber and compression and decompression times shall be given to each airlock attendant.</w:t>
      </w:r>
    </w:p>
    <w:p w:rsidR="00B40966" w:rsidRDefault="00B40966">
      <w:pPr>
        <w:pStyle w:val="Amain"/>
      </w:pPr>
      <w:r>
        <w:tab/>
        <w:t>(39)</w:t>
      </w:r>
      <w:r>
        <w:tab/>
        <w:t>A copy of the instructions shall be suitably exhibited in a conspicuous position near the man-lock.</w:t>
      </w:r>
    </w:p>
    <w:p w:rsidR="00B40966" w:rsidRDefault="00B40966">
      <w:pPr>
        <w:pStyle w:val="Assectheading"/>
        <w:rPr>
          <w:i w:val="0"/>
          <w:color w:val="000000"/>
        </w:rPr>
      </w:pPr>
      <w:r>
        <w:rPr>
          <w:rStyle w:val="charItals"/>
          <w:i/>
        </w:rPr>
        <w:t>Airlock records</w:t>
      </w:r>
    </w:p>
    <w:p w:rsidR="00B40966" w:rsidRDefault="00B40966">
      <w:pPr>
        <w:pStyle w:val="Amain"/>
        <w:keepNext/>
        <w:rPr>
          <w:color w:val="000000"/>
        </w:rPr>
      </w:pPr>
      <w:r>
        <w:rPr>
          <w:color w:val="000000"/>
        </w:rPr>
        <w:tab/>
        <w:t>(40)</w:t>
      </w:r>
      <w:r>
        <w:rPr>
          <w:color w:val="000000"/>
        </w:rPr>
        <w:tab/>
        <w:t>A record of workers employed in compressed air shall be kept.</w:t>
      </w:r>
    </w:p>
    <w:p w:rsidR="00B40966" w:rsidRDefault="00B40966">
      <w:pPr>
        <w:pStyle w:val="Amain"/>
      </w:pPr>
      <w:r>
        <w:rPr>
          <w:color w:val="000000"/>
        </w:rPr>
        <w:tab/>
        <w:t>(41)</w:t>
      </w:r>
      <w:r>
        <w:rPr>
          <w:color w:val="000000"/>
        </w:rPr>
        <w:tab/>
        <w:t>This record shall show for each employee the period of stay in the working chamber, the gauge pressure and the time taken for decompression.</w:t>
      </w:r>
    </w:p>
    <w:p w:rsidR="00B40966" w:rsidRDefault="00B40966">
      <w:pPr>
        <w:pStyle w:val="Amain"/>
      </w:pPr>
      <w:r>
        <w:tab/>
        <w:t>(42)</w:t>
      </w:r>
      <w:r>
        <w:tab/>
        <w:t>When the working pressure exceeds 20 pounds per square inch, automatic recording instruments shall be installed to record the pressure in the working chamber and in the man-locks, and these records shall be carefully kept.</w:t>
      </w:r>
    </w:p>
    <w:p w:rsidR="00B40966" w:rsidRDefault="00B40966">
      <w:pPr>
        <w:pStyle w:val="Amain"/>
      </w:pPr>
      <w:r>
        <w:tab/>
        <w:t>(43)</w:t>
      </w:r>
      <w:r>
        <w:tab/>
        <w:t>All the records shall be made available to an inspector on demand at all reasonable times.</w:t>
      </w:r>
    </w:p>
    <w:p w:rsidR="00B40966" w:rsidRDefault="00B40966">
      <w:pPr>
        <w:pStyle w:val="Assectheading"/>
        <w:rPr>
          <w:i w:val="0"/>
        </w:rPr>
      </w:pPr>
      <w:r>
        <w:rPr>
          <w:rStyle w:val="charItals"/>
          <w:i/>
        </w:rPr>
        <w:t>Man-lock</w:t>
      </w:r>
      <w:r>
        <w:rPr>
          <w:i w:val="0"/>
          <w:color w:val="000000"/>
        </w:rPr>
        <w:t>—</w:t>
      </w:r>
      <w:r>
        <w:rPr>
          <w:rStyle w:val="charItals"/>
          <w:i/>
        </w:rPr>
        <w:t>size</w:t>
      </w:r>
    </w:p>
    <w:p w:rsidR="00B40966" w:rsidRDefault="00B40966">
      <w:pPr>
        <w:pStyle w:val="Amain"/>
      </w:pPr>
      <w:r>
        <w:tab/>
        <w:t>(44)</w:t>
      </w:r>
      <w:r>
        <w:tab/>
        <w:t>Each bulkhead shall be provided with 1 operating man-lock and 1 emergency man-lock, each of sufficient size to hold at any one time the entire force of workers engaged in any 2 successive shifts, with a minimum of 3 square feet of floor space per worker.</w:t>
      </w:r>
    </w:p>
    <w:p w:rsidR="00B40966" w:rsidRDefault="00B40966">
      <w:pPr>
        <w:pStyle w:val="Assectheading"/>
        <w:rPr>
          <w:i w:val="0"/>
        </w:rPr>
      </w:pPr>
      <w:r>
        <w:rPr>
          <w:rStyle w:val="charItals"/>
          <w:i/>
        </w:rPr>
        <w:t>Man-lock</w:t>
      </w:r>
      <w:r>
        <w:rPr>
          <w:i w:val="0"/>
          <w:color w:val="000000"/>
        </w:rPr>
        <w:t>—</w:t>
      </w:r>
      <w:r>
        <w:rPr>
          <w:rStyle w:val="charItals"/>
          <w:i/>
        </w:rPr>
        <w:t>access</w:t>
      </w:r>
    </w:p>
    <w:p w:rsidR="00B40966" w:rsidRDefault="00B40966">
      <w:pPr>
        <w:pStyle w:val="Amain"/>
      </w:pPr>
      <w:r>
        <w:tab/>
        <w:t>(45)</w:t>
      </w:r>
      <w:r>
        <w:tab/>
        <w:t>The door between the man-lock and the working chamber shall remain open except during compression and decompression and during the procedure of passing material through the lock.</w:t>
      </w:r>
    </w:p>
    <w:p w:rsidR="00B40966" w:rsidRDefault="00B40966">
      <w:pPr>
        <w:pStyle w:val="Amain"/>
      </w:pPr>
      <w:r>
        <w:tab/>
        <w:t>(46)</w:t>
      </w:r>
      <w:r>
        <w:tab/>
        <w:t>In tunnels of large diameter the emergency man-lock shall be near the roof and within the protection of the safety curtain, with proper access to it from both inside and outside.</w:t>
      </w:r>
    </w:p>
    <w:p w:rsidR="00B40966" w:rsidRDefault="00B40966">
      <w:pPr>
        <w:pStyle w:val="Amain"/>
      </w:pPr>
      <w:r>
        <w:tab/>
        <w:t>(47)</w:t>
      </w:r>
      <w:r>
        <w:tab/>
        <w:t>In tunnels of small diameter if it is not practicable to provide an emergency man-lock near the roof, the emergency chamber with safety door shall be at the end of the operating man-lock nearer the working face, and shall be of the same size as the operating man</w:t>
      </w:r>
      <w:r>
        <w:noBreakHyphen/>
        <w:t>lock.</w:t>
      </w:r>
    </w:p>
    <w:p w:rsidR="00B40966" w:rsidRDefault="00B40966">
      <w:pPr>
        <w:pStyle w:val="Amain"/>
      </w:pPr>
      <w:r>
        <w:tab/>
        <w:t>(48)</w:t>
      </w:r>
      <w:r>
        <w:tab/>
        <w:t>The safety door shall never be closed while there is any person in the working chamber.</w:t>
      </w:r>
    </w:p>
    <w:p w:rsidR="00B40966" w:rsidRDefault="00B40966">
      <w:pPr>
        <w:pStyle w:val="Amain"/>
      </w:pPr>
      <w:r>
        <w:tab/>
        <w:t>(49)</w:t>
      </w:r>
      <w:r>
        <w:tab/>
        <w:t>Except in an emergency, the workers shall be prohibited from emerging through the material locks, or, when the material lock and the man-lock are one and the same, the material lock valves shall not be used when workers are in the lock.</w:t>
      </w:r>
    </w:p>
    <w:p w:rsidR="00B40966" w:rsidRDefault="00B40966">
      <w:pPr>
        <w:pStyle w:val="Assectheading"/>
        <w:rPr>
          <w:i w:val="0"/>
        </w:rPr>
      </w:pPr>
      <w:r>
        <w:rPr>
          <w:rStyle w:val="charItals"/>
          <w:i/>
        </w:rPr>
        <w:t>Man-lock</w:t>
      </w:r>
      <w:r>
        <w:rPr>
          <w:i w:val="0"/>
          <w:color w:val="000000"/>
        </w:rPr>
        <w:t>—</w:t>
      </w:r>
      <w:r>
        <w:rPr>
          <w:rStyle w:val="charItals"/>
          <w:i/>
        </w:rPr>
        <w:t>fittings</w:t>
      </w:r>
    </w:p>
    <w:p w:rsidR="00B40966" w:rsidRDefault="00B40966">
      <w:pPr>
        <w:pStyle w:val="Amain"/>
      </w:pPr>
      <w:r>
        <w:tab/>
        <w:t>(50)</w:t>
      </w:r>
      <w:r>
        <w:tab/>
        <w:t>Every lock in which persons are compressed or are decompressed shall be fitted with a suitable instrument panel on which shall be mounted the necessary pressure gauges in duplicate, an accurate timepiece and a copy of schedule 7, table 7.3.</w:t>
      </w:r>
    </w:p>
    <w:p w:rsidR="00B40966" w:rsidRDefault="00B40966">
      <w:pPr>
        <w:pStyle w:val="Amain"/>
      </w:pPr>
      <w:r>
        <w:tab/>
        <w:t>(51)</w:t>
      </w:r>
      <w:r>
        <w:tab/>
        <w:t>The instrument panel shall be adequately illuminated.</w:t>
      </w:r>
    </w:p>
    <w:p w:rsidR="00B40966" w:rsidRDefault="00B40966">
      <w:pPr>
        <w:pStyle w:val="Amain"/>
      </w:pPr>
      <w:r>
        <w:tab/>
        <w:t>(52)</w:t>
      </w:r>
      <w:r>
        <w:tab/>
        <w:t>The man-lock shall have valves both inside and outside the lock.</w:t>
      </w:r>
    </w:p>
    <w:p w:rsidR="00B40966" w:rsidRDefault="00B40966">
      <w:pPr>
        <w:pStyle w:val="Amain"/>
      </w:pPr>
      <w:r>
        <w:tab/>
        <w:t>(53)</w:t>
      </w:r>
      <w:r>
        <w:tab/>
        <w:t>The valves to which the airlock attendant has not access shall be covered with a case, the door of which is locked and has a glass panel that may be broken in case of emergency so as to permit the valves to be operated.</w:t>
      </w:r>
    </w:p>
    <w:p w:rsidR="00B40966" w:rsidRDefault="00B40966">
      <w:pPr>
        <w:pStyle w:val="Amain"/>
      </w:pPr>
      <w:r>
        <w:tab/>
        <w:t>(54)</w:t>
      </w:r>
      <w:r>
        <w:tab/>
        <w:t>Except in case of emergency, valves shall only be operated by the airlock attendant.</w:t>
      </w:r>
    </w:p>
    <w:p w:rsidR="00B40966" w:rsidRDefault="00B40966">
      <w:pPr>
        <w:pStyle w:val="Assectheading"/>
        <w:rPr>
          <w:i w:val="0"/>
        </w:rPr>
      </w:pPr>
      <w:r>
        <w:rPr>
          <w:rStyle w:val="charItals"/>
          <w:i/>
        </w:rPr>
        <w:t>Medical lock</w:t>
      </w:r>
    </w:p>
    <w:p w:rsidR="00B40966" w:rsidRDefault="00B40966">
      <w:pPr>
        <w:pStyle w:val="Amain"/>
        <w:rPr>
          <w:color w:val="000000"/>
        </w:rPr>
      </w:pPr>
      <w:r>
        <w:rPr>
          <w:color w:val="000000"/>
        </w:rPr>
        <w:tab/>
        <w:t>(55)</w:t>
      </w:r>
      <w:r>
        <w:rPr>
          <w:color w:val="000000"/>
        </w:rPr>
        <w:tab/>
        <w:t>A medical lock at least 5 feet in diameter shall be provided when work is being carried out at a pressure of 25 pounds per square inch or over.</w:t>
      </w:r>
    </w:p>
    <w:p w:rsidR="00B40966" w:rsidRDefault="00B40966">
      <w:pPr>
        <w:pStyle w:val="Amain"/>
      </w:pPr>
      <w:r>
        <w:rPr>
          <w:color w:val="000000"/>
        </w:rPr>
        <w:tab/>
        <w:t>(56)</w:t>
      </w:r>
      <w:r>
        <w:rPr>
          <w:color w:val="000000"/>
        </w:rPr>
        <w:tab/>
        <w:t>Should any case of compressed air illness occur when the working pressure is less than 25 pounds per square inch, it may be dealt with in the man-lock.</w:t>
      </w:r>
    </w:p>
    <w:p w:rsidR="00B40966" w:rsidRDefault="00B40966">
      <w:pPr>
        <w:pStyle w:val="Amain"/>
      </w:pPr>
      <w:r>
        <w:tab/>
        <w:t>(57)</w:t>
      </w:r>
      <w:r>
        <w:tab/>
        <w:t>The medical lock shall have 2 compartments, so that entry may be obtained to the inner chamber while it is under pressure.</w:t>
      </w:r>
    </w:p>
    <w:p w:rsidR="00B40966" w:rsidRDefault="00B40966">
      <w:pPr>
        <w:pStyle w:val="Amain"/>
      </w:pPr>
      <w:r>
        <w:tab/>
        <w:t>(58)</w:t>
      </w:r>
      <w:r>
        <w:tab/>
        <w:t>The lock shall be adequately ventilated, protected from the direct rays of the sun or adequately heated if required, and shall be adequately lighted.</w:t>
      </w:r>
    </w:p>
    <w:p w:rsidR="00B40966" w:rsidRDefault="00B40966">
      <w:pPr>
        <w:pStyle w:val="Amain"/>
      </w:pPr>
      <w:r>
        <w:tab/>
        <w:t>(59)</w:t>
      </w:r>
      <w:r>
        <w:tab/>
        <w:t>The lock and its equipment shall be kept in a clean state.</w:t>
      </w:r>
    </w:p>
    <w:p w:rsidR="00B40966" w:rsidRDefault="00B40966">
      <w:pPr>
        <w:pStyle w:val="Amain"/>
      </w:pPr>
      <w:r>
        <w:tab/>
        <w:t>(60)</w:t>
      </w:r>
      <w:r>
        <w:tab/>
        <w:t>The lock shall be provided with suitable equipment including a couch not less than 6 feet in length, clean blankets, dry woollen garments, a food lock and a telephone.</w:t>
      </w:r>
    </w:p>
    <w:p w:rsidR="00B40966" w:rsidRDefault="00B40966">
      <w:pPr>
        <w:pStyle w:val="Amain"/>
      </w:pPr>
      <w:r>
        <w:tab/>
        <w:t>(61)</w:t>
      </w:r>
      <w:r>
        <w:tab/>
        <w:t>The medical lock shall be located within the immediate vicinity of the works and arrangements shall be made to ensure that the lock is ready for operation during the 12 hours after the end of any shift.</w:t>
      </w:r>
    </w:p>
    <w:p w:rsidR="00B40966" w:rsidRDefault="00B40966">
      <w:pPr>
        <w:pStyle w:val="Amain"/>
      </w:pPr>
      <w:r>
        <w:tab/>
        <w:t>(62)</w:t>
      </w:r>
      <w:r>
        <w:tab/>
        <w:t>The medical lock shall be equipped with a small, glazed aperture so that a patient under treatment in the lock can be kept under observation by the attendant from outside the lock.</w:t>
      </w:r>
    </w:p>
    <w:p w:rsidR="00B40966" w:rsidRDefault="00B40966">
      <w:pPr>
        <w:pStyle w:val="Amain"/>
      </w:pPr>
      <w:r>
        <w:tab/>
        <w:t>(63)</w:t>
      </w:r>
      <w:r>
        <w:tab/>
        <w:t>It shall be provided with a pressure gauge and an accurate timepiece for each compartment.</w:t>
      </w:r>
    </w:p>
    <w:p w:rsidR="00B40966" w:rsidRDefault="00B40966">
      <w:pPr>
        <w:pStyle w:val="Amain"/>
      </w:pPr>
      <w:r>
        <w:tab/>
        <w:t>(64)</w:t>
      </w:r>
      <w:r>
        <w:tab/>
        <w:t>The timepiece and the pressure gauge for the main compartment shall be in a position that they can be readily seen by the attendant whether the attendant is inside or outside the lock.</w:t>
      </w:r>
    </w:p>
    <w:p w:rsidR="00B40966" w:rsidRDefault="00B40966">
      <w:pPr>
        <w:pStyle w:val="Assectheading"/>
        <w:rPr>
          <w:i w:val="0"/>
        </w:rPr>
      </w:pPr>
      <w:r>
        <w:rPr>
          <w:rStyle w:val="charItals"/>
          <w:i/>
        </w:rPr>
        <w:t>Additional bulkhead</w:t>
      </w:r>
    </w:p>
    <w:p w:rsidR="00B40966" w:rsidRDefault="00B40966">
      <w:pPr>
        <w:pStyle w:val="Amain"/>
        <w:rPr>
          <w:color w:val="000000"/>
        </w:rPr>
      </w:pPr>
      <w:r>
        <w:rPr>
          <w:color w:val="000000"/>
        </w:rPr>
        <w:tab/>
        <w:t>(65)</w:t>
      </w:r>
      <w:r>
        <w:rPr>
          <w:color w:val="000000"/>
        </w:rPr>
        <w:tab/>
        <w:t>Wherever the gauge pressure in the working chamber exceeds 30 pounds per square inch, a 2nd bulkhead with airlocks shall be provided after the tunnel has been constructed for a reasonable distance.</w:t>
      </w:r>
    </w:p>
    <w:p w:rsidR="00B40966" w:rsidRDefault="00B40966">
      <w:pPr>
        <w:pStyle w:val="Amain"/>
        <w:rPr>
          <w:color w:val="000000"/>
        </w:rPr>
      </w:pPr>
      <w:r>
        <w:rPr>
          <w:color w:val="000000"/>
        </w:rPr>
        <w:tab/>
        <w:t>(66)</w:t>
      </w:r>
      <w:r>
        <w:rPr>
          <w:color w:val="000000"/>
        </w:rPr>
        <w:tab/>
        <w:t xml:space="preserve">The working pressure in the outer section shall be maintained at approximately </w:t>
      </w:r>
      <w:r>
        <w:rPr>
          <w:color w:val="000000"/>
          <w:position w:val="6"/>
          <w:sz w:val="18"/>
        </w:rPr>
        <w:t>1</w:t>
      </w:r>
      <w:r>
        <w:rPr>
          <w:color w:val="000000"/>
        </w:rPr>
        <w:t>/</w:t>
      </w:r>
      <w:r>
        <w:rPr>
          <w:color w:val="000000"/>
          <w:sz w:val="18"/>
        </w:rPr>
        <w:t>2</w:t>
      </w:r>
      <w:r>
        <w:rPr>
          <w:color w:val="000000"/>
        </w:rPr>
        <w:t xml:space="preserve"> of the absolute pressure in the working chamber.</w:t>
      </w:r>
    </w:p>
    <w:p w:rsidR="00B40966" w:rsidRDefault="00B40966">
      <w:pPr>
        <w:pStyle w:val="Assectheading"/>
        <w:rPr>
          <w:i w:val="0"/>
        </w:rPr>
      </w:pPr>
      <w:r>
        <w:rPr>
          <w:rStyle w:val="charItals"/>
          <w:i/>
        </w:rPr>
        <w:t>Communication</w:t>
      </w:r>
    </w:p>
    <w:p w:rsidR="00B40966" w:rsidRDefault="00B40966">
      <w:pPr>
        <w:pStyle w:val="Amain"/>
        <w:rPr>
          <w:color w:val="000000"/>
        </w:rPr>
      </w:pPr>
      <w:r>
        <w:rPr>
          <w:color w:val="000000"/>
        </w:rPr>
        <w:tab/>
        <w:t>(67)</w:t>
      </w:r>
      <w:r>
        <w:rPr>
          <w:color w:val="000000"/>
        </w:rP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B40966" w:rsidRDefault="00B40966">
      <w:pPr>
        <w:pStyle w:val="Amain"/>
      </w:pPr>
      <w:r>
        <w:rPr>
          <w:color w:val="000000"/>
        </w:rPr>
        <w:tab/>
        <w:t>(68)</w:t>
      </w:r>
      <w:r>
        <w:rPr>
          <w:color w:val="000000"/>
        </w:rPr>
        <w:tab/>
        <w:t>The contractor shall depute a representative to be at all times available for communication with the airlock attendant.</w:t>
      </w:r>
    </w:p>
    <w:p w:rsidR="00B40966" w:rsidRDefault="00B40966">
      <w:pPr>
        <w:pStyle w:val="Amain"/>
      </w:pPr>
      <w:r>
        <w:tab/>
        <w:t>(69)</w:t>
      </w:r>
      <w:r>
        <w:tab/>
        <w:t>In the event of telephone failure, signals shall be transmitted by tapping.</w:t>
      </w:r>
    </w:p>
    <w:p w:rsidR="00B40966" w:rsidRDefault="00B40966">
      <w:pPr>
        <w:pStyle w:val="Amain"/>
      </w:pPr>
      <w:r>
        <w:tab/>
        <w:t>(70)</w:t>
      </w:r>
      <w:r>
        <w:tab/>
        <w:t>A suitable code of signals shall be formulated on the job and a copy of this code shall be posted inside and outside the man-lock.</w:t>
      </w:r>
    </w:p>
    <w:p w:rsidR="00B40966" w:rsidRDefault="00B40966">
      <w:pPr>
        <w:pStyle w:val="Assectheading"/>
        <w:rPr>
          <w:i w:val="0"/>
        </w:rPr>
      </w:pPr>
      <w:r>
        <w:rPr>
          <w:rStyle w:val="charItals"/>
          <w:i/>
        </w:rPr>
        <w:t>Overhead gangway</w:t>
      </w:r>
    </w:p>
    <w:p w:rsidR="00B40966" w:rsidRDefault="00B40966">
      <w:pPr>
        <w:pStyle w:val="Amain"/>
        <w:rPr>
          <w:color w:val="000000"/>
        </w:rPr>
      </w:pPr>
      <w:r>
        <w:rPr>
          <w:color w:val="000000"/>
        </w:rPr>
        <w:tab/>
        <w:t>(71)</w:t>
      </w:r>
      <w:r>
        <w:rPr>
          <w:color w:val="000000"/>
        </w:rPr>
        <w:tab/>
        <w:t>In all tunnels 16 feet and over in diameter or height, an overhead gangway shall be provided from the working face to the nearest airlock.</w:t>
      </w:r>
    </w:p>
    <w:p w:rsidR="00B40966" w:rsidRDefault="00B40966">
      <w:pPr>
        <w:pStyle w:val="Amain"/>
        <w:rPr>
          <w:color w:val="000000"/>
        </w:rPr>
      </w:pPr>
      <w:r>
        <w:rPr>
          <w:color w:val="000000"/>
        </w:rPr>
        <w:tab/>
        <w:t>(72)</w:t>
      </w:r>
      <w:r>
        <w:rPr>
          <w:color w:val="000000"/>
        </w:rPr>
        <w:tab/>
        <w:t>An overhead clearance of 6 feet shall be maintained unless otherwise approved.</w:t>
      </w:r>
    </w:p>
    <w:p w:rsidR="00B40966" w:rsidRDefault="00B40966">
      <w:pPr>
        <w:pStyle w:val="Assectheading"/>
        <w:rPr>
          <w:i w:val="0"/>
        </w:rPr>
      </w:pPr>
      <w:r>
        <w:rPr>
          <w:rStyle w:val="charItals"/>
          <w:i/>
        </w:rPr>
        <w:t>Safety curtains</w:t>
      </w:r>
    </w:p>
    <w:p w:rsidR="00B40966" w:rsidRDefault="00B40966">
      <w:pPr>
        <w:pStyle w:val="Amain"/>
        <w:rPr>
          <w:color w:val="000000"/>
        </w:rPr>
      </w:pPr>
      <w:r>
        <w:rPr>
          <w:color w:val="000000"/>
        </w:rPr>
        <w:tab/>
        <w:t>(73)</w:t>
      </w:r>
      <w:r>
        <w:rPr>
          <w:color w:val="000000"/>
        </w:rPr>
        <w:tab/>
        <w:t>Safety curtains shall be provided in all tunnels if there is the possibility of a ‘blow’ causing an inrush of water or material being excavated.</w:t>
      </w:r>
    </w:p>
    <w:p w:rsidR="00B40966" w:rsidRDefault="00B40966">
      <w:pPr>
        <w:pStyle w:val="Amain"/>
        <w:rPr>
          <w:color w:val="000000"/>
        </w:rPr>
      </w:pPr>
      <w:r>
        <w:rPr>
          <w:color w:val="000000"/>
        </w:rPr>
        <w:tab/>
        <w:t>(74)</w:t>
      </w:r>
      <w:r>
        <w:rPr>
          <w:color w:val="000000"/>
        </w:rPr>
        <w:tab/>
        <w:t>The safety curtain shall at no time be distant more than 200 feet from the working face.</w:t>
      </w:r>
    </w:p>
    <w:p w:rsidR="00B40966" w:rsidRDefault="00B40966">
      <w:pPr>
        <w:pStyle w:val="Assectheading"/>
        <w:rPr>
          <w:i w:val="0"/>
        </w:rPr>
      </w:pPr>
      <w:r>
        <w:rPr>
          <w:rStyle w:val="charItals"/>
          <w:i/>
        </w:rPr>
        <w:t>Fire precautions</w:t>
      </w:r>
    </w:p>
    <w:p w:rsidR="00B40966" w:rsidRDefault="00B40966">
      <w:pPr>
        <w:pStyle w:val="Amain"/>
        <w:rPr>
          <w:color w:val="000000"/>
        </w:rPr>
      </w:pPr>
      <w:r>
        <w:rPr>
          <w:color w:val="000000"/>
        </w:rPr>
        <w:tab/>
        <w:t>(75)</w:t>
      </w:r>
      <w:r>
        <w:rPr>
          <w:color w:val="000000"/>
        </w:rPr>
        <w:tab/>
        <w:t>If danger of fire exists, a fire hose at least 50 feet in length with a suitable nozzle connected, shall be provided on both sides of the tunnel bulkhead.</w:t>
      </w:r>
    </w:p>
    <w:p w:rsidR="00B40966" w:rsidRDefault="00B40966">
      <w:pPr>
        <w:pStyle w:val="Amain"/>
        <w:rPr>
          <w:color w:val="000000"/>
        </w:rPr>
      </w:pPr>
      <w:r>
        <w:rPr>
          <w:color w:val="000000"/>
        </w:rPr>
        <w:tab/>
        <w:t>(76)</w:t>
      </w:r>
      <w:r>
        <w:rPr>
          <w:color w:val="000000"/>
        </w:rPr>
        <w:tab/>
        <w:t>Water lines shall extend into the tunnel with a hose connection every 200 feet, and this system shall be maintained ready for use at all times.</w:t>
      </w:r>
    </w:p>
    <w:p w:rsidR="00B40966" w:rsidRDefault="00B40966">
      <w:pPr>
        <w:pStyle w:val="Assectheading"/>
        <w:rPr>
          <w:i w:val="0"/>
        </w:rPr>
      </w:pPr>
      <w:r>
        <w:rPr>
          <w:rStyle w:val="charItals"/>
          <w:i/>
        </w:rPr>
        <w:t>Lighting</w:t>
      </w:r>
    </w:p>
    <w:p w:rsidR="00B40966" w:rsidRDefault="00B40966">
      <w:pPr>
        <w:pStyle w:val="Amain"/>
      </w:pPr>
      <w:r>
        <w:rPr>
          <w:color w:val="000000"/>
        </w:rPr>
        <w:tab/>
        <w:t>(77)</w:t>
      </w:r>
      <w:r>
        <w:rPr>
          <w:color w:val="000000"/>
        </w:rPr>
        <w:tab/>
        <w:t>All lighting in compressed air chambers shall be by electricity only, except in cases of emergency.</w:t>
      </w:r>
    </w:p>
    <w:p w:rsidR="00B40966" w:rsidRDefault="00B40966">
      <w:pPr>
        <w:pStyle w:val="Amain"/>
      </w:pPr>
      <w:r>
        <w:tab/>
        <w:t>(78)</w:t>
      </w:r>
      <w:r>
        <w:tab/>
        <w:t>One worker in the airlock shall be provided with an electric pocket lamp, and candles and damp-proof matches shall be provided in the working chamber and in each man-lock.</w:t>
      </w:r>
    </w:p>
    <w:p w:rsidR="00B40966" w:rsidRDefault="00B40966">
      <w:pPr>
        <w:pStyle w:val="Amain"/>
      </w:pPr>
      <w:r>
        <w:tab/>
        <w:t>(79)</w:t>
      </w:r>
      <w:r>
        <w:tab/>
        <w:t>All portable incandescent lamps shall be guarded by a wire cage large enough to enclose both lamp and socket.</w:t>
      </w:r>
    </w:p>
    <w:p w:rsidR="00B40966" w:rsidRDefault="00B40966">
      <w:pPr>
        <w:pStyle w:val="Amain"/>
      </w:pPr>
      <w:r>
        <w:tab/>
        <w:t>(80)</w:t>
      </w:r>
      <w:r>
        <w:tab/>
        <w:t>The lamps shall be constructed in accordance with the Standards Australia, Approval and Test Specification No C. 118, Electric Hand Lamps.</w:t>
      </w:r>
    </w:p>
    <w:p w:rsidR="00B40966" w:rsidRDefault="00B40966">
      <w:pPr>
        <w:pStyle w:val="Assectheading"/>
        <w:rPr>
          <w:i w:val="0"/>
        </w:rPr>
      </w:pPr>
      <w:r>
        <w:rPr>
          <w:rStyle w:val="charItals"/>
          <w:i/>
        </w:rPr>
        <w:t>Electric installation—voltage</w:t>
      </w:r>
    </w:p>
    <w:p w:rsidR="00B40966" w:rsidRDefault="00B40966">
      <w:pPr>
        <w:pStyle w:val="Amain"/>
      </w:pPr>
      <w:r>
        <w:tab/>
        <w:t>(81)</w:t>
      </w:r>
      <w:r>
        <w:tab/>
        <w:t>The voltage used for electric lighting circuits between the last bulkhead and the working face shall not exceed 32V for alternating current and 50V for direct current.</w:t>
      </w:r>
    </w:p>
    <w:p w:rsidR="00B40966" w:rsidRDefault="00B40966">
      <w:pPr>
        <w:pStyle w:val="Assectheading"/>
        <w:rPr>
          <w:i w:val="0"/>
        </w:rPr>
      </w:pPr>
      <w:r>
        <w:rPr>
          <w:rStyle w:val="charItals"/>
          <w:i/>
        </w:rPr>
        <w:t>Electric installation—wiring</w:t>
      </w:r>
    </w:p>
    <w:p w:rsidR="00B40966" w:rsidRDefault="00B40966">
      <w:pPr>
        <w:pStyle w:val="Amain"/>
      </w:pPr>
      <w:r>
        <w:tab/>
        <w:t>(82)</w:t>
      </w:r>
      <w:r>
        <w:tab/>
        <w:t>Except as otherwise provided in this regulation, all wiring for light and power circuits shall comply with the requirements of the S.A.A. Wiring Rules, for damp or hazardous locations.</w:t>
      </w:r>
    </w:p>
    <w:p w:rsidR="00B40966" w:rsidRDefault="00B40966">
      <w:pPr>
        <w:pStyle w:val="Assectheading"/>
        <w:rPr>
          <w:i w:val="0"/>
        </w:rPr>
      </w:pPr>
      <w:r>
        <w:rPr>
          <w:rStyle w:val="charItals"/>
          <w:i/>
        </w:rPr>
        <w:t>Air supply</w:t>
      </w:r>
    </w:p>
    <w:p w:rsidR="00B40966" w:rsidRDefault="00B40966">
      <w:pPr>
        <w:pStyle w:val="Amain"/>
      </w:pPr>
      <w:r>
        <w:rPr>
          <w:color w:val="000000"/>
        </w:rPr>
        <w:tab/>
        <w:t>(83)</w:t>
      </w:r>
      <w:r>
        <w:rPr>
          <w:color w:val="000000"/>
        </w:rPr>
        <w:tab/>
        <w:t>A minimum of 25 cubic feet of clean, fresh air shall be supplied each minute to each worker in the working chamber, and a minimum of 10 cubic feet per minute to each worker in the man</w:t>
      </w:r>
      <w:r>
        <w:rPr>
          <w:color w:val="000000"/>
        </w:rPr>
        <w:noBreakHyphen/>
        <w:t>lock.</w:t>
      </w:r>
    </w:p>
    <w:p w:rsidR="00B40966" w:rsidRDefault="00B40966">
      <w:pPr>
        <w:pStyle w:val="Amain"/>
      </w:pPr>
      <w:r>
        <w:tab/>
        <w:t>(84)</w:t>
      </w:r>
      <w:r>
        <w:tab/>
        <w:t>In the event of any reduction of the air pressure below a point to be specified from time to time by the engineer in charge of the work, the airlock attendant shall notify the workers in the working chamber, and preparations shall be made immediately for their withdrawal from the working chamber.</w:t>
      </w:r>
    </w:p>
    <w:p w:rsidR="00B40966" w:rsidRDefault="00B40966">
      <w:pPr>
        <w:pStyle w:val="Assectheading"/>
        <w:rPr>
          <w:i w:val="0"/>
        </w:rPr>
      </w:pPr>
      <w:r>
        <w:rPr>
          <w:rStyle w:val="charItals"/>
          <w:i/>
        </w:rPr>
        <w:t>Free air intake</w:t>
      </w:r>
    </w:p>
    <w:p w:rsidR="00B40966" w:rsidRDefault="00B40966">
      <w:pPr>
        <w:pStyle w:val="Amain"/>
        <w:rPr>
          <w:color w:val="000000"/>
        </w:rPr>
      </w:pPr>
      <w:r>
        <w:rPr>
          <w:color w:val="000000"/>
        </w:rPr>
        <w:tab/>
        <w:t>(85)</w:t>
      </w:r>
      <w:r>
        <w:rPr>
          <w:color w:val="000000"/>
        </w:rPr>
        <w:tab/>
        <w:t>The free air intake shall be so situatedd as to ensure an ample supply of clean, fresh air.</w:t>
      </w:r>
    </w:p>
    <w:p w:rsidR="00B40966" w:rsidRDefault="00B40966">
      <w:pPr>
        <w:pStyle w:val="Amain"/>
        <w:rPr>
          <w:color w:val="000000"/>
        </w:rPr>
      </w:pPr>
      <w:r>
        <w:rPr>
          <w:color w:val="000000"/>
        </w:rPr>
        <w:tab/>
        <w:t>(86)</w:t>
      </w:r>
      <w:r>
        <w:rPr>
          <w:color w:val="000000"/>
        </w:rPr>
        <w:tab/>
        <w:t>The utmost care shall be taken to avoid contamination of the air by fumes from the exhausts of compression ignition or internal</w:t>
      </w:r>
      <w:r>
        <w:rPr>
          <w:color w:val="000000"/>
        </w:rPr>
        <w:noBreakHyphen/>
        <w:t>combustion engines and from all other sources.</w:t>
      </w:r>
    </w:p>
    <w:p w:rsidR="00B40966" w:rsidRDefault="00B40966">
      <w:pPr>
        <w:pStyle w:val="Assectheading"/>
        <w:rPr>
          <w:i w:val="0"/>
        </w:rPr>
      </w:pPr>
      <w:r>
        <w:rPr>
          <w:rStyle w:val="charItals"/>
          <w:i/>
        </w:rPr>
        <w:t>Purification and refrigeration of compressed air</w:t>
      </w:r>
    </w:p>
    <w:p w:rsidR="00B40966" w:rsidRDefault="00B40966">
      <w:pPr>
        <w:pStyle w:val="Amain"/>
      </w:pPr>
      <w:r>
        <w:rPr>
          <w:color w:val="000000"/>
        </w:rPr>
        <w:tab/>
        <w:t>(87)</w:t>
      </w:r>
      <w:r>
        <w:rPr>
          <w:color w:val="000000"/>
        </w:rPr>
        <w:tab/>
        <w:t>An approved oil separator shall be used between the compressor and the air receiver and an air filter of approved type shall be installed between the air receiver and the working chamber.</w:t>
      </w:r>
    </w:p>
    <w:p w:rsidR="00B40966" w:rsidRDefault="00B40966">
      <w:pPr>
        <w:pStyle w:val="Amain"/>
      </w:pPr>
      <w:r>
        <w:tab/>
        <w:t>(88)</w:t>
      </w:r>
      <w:r>
        <w:tab/>
        <w:t>The air shall be cooled after compression, if necessary, so that the temperature in the working chamber does not exceed 80° Fahrenheit when measured with a dry bulb thermometer.</w:t>
      </w:r>
    </w:p>
    <w:p w:rsidR="00B40966" w:rsidRDefault="00B40966">
      <w:pPr>
        <w:pStyle w:val="Assectheading"/>
        <w:rPr>
          <w:i w:val="0"/>
        </w:rPr>
      </w:pPr>
      <w:r>
        <w:rPr>
          <w:rStyle w:val="charItals"/>
          <w:i/>
        </w:rPr>
        <w:t>Compressed air plant</w:t>
      </w:r>
    </w:p>
    <w:p w:rsidR="00B40966" w:rsidRDefault="00B40966">
      <w:pPr>
        <w:pStyle w:val="Amain"/>
        <w:rPr>
          <w:color w:val="000000"/>
        </w:rPr>
      </w:pPr>
      <w:r>
        <w:rPr>
          <w:color w:val="000000"/>
        </w:rPr>
        <w:tab/>
        <w:t>(89)</w:t>
      </w:r>
      <w:r>
        <w:rPr>
          <w:color w:val="000000"/>
        </w:rPr>
        <w:tab/>
        <w:t>If the air compressor, used for supplying air under pressure for the purposes of compressed air work in tunnelling is driven by electric power, stand-by compressor plant shall be provided and shall be of such capacity that, in the event of failure of the electrically-driven units, at least 50% of the air supply may be maintained.</w:t>
      </w:r>
    </w:p>
    <w:p w:rsidR="00B40966" w:rsidRDefault="00B40966">
      <w:pPr>
        <w:pStyle w:val="Amain"/>
        <w:rPr>
          <w:color w:val="000000"/>
        </w:rPr>
      </w:pPr>
      <w:r>
        <w:rPr>
          <w:color w:val="000000"/>
        </w:rPr>
        <w:tab/>
        <w:t>(90)</w:t>
      </w:r>
      <w:r>
        <w:rPr>
          <w:color w:val="000000"/>
        </w:rPr>
        <w:tab/>
        <w:t>With other than electrically-powered compressors not more than 50% of the compressor units shall be driven from any 1 power unit and, if practicable, the power units shall be interchangeable.</w:t>
      </w:r>
    </w:p>
    <w:p w:rsidR="00B40966" w:rsidRDefault="00B40966">
      <w:pPr>
        <w:pStyle w:val="Assectheading"/>
        <w:rPr>
          <w:i w:val="0"/>
        </w:rPr>
      </w:pPr>
      <w:r>
        <w:rPr>
          <w:rStyle w:val="charItals"/>
          <w:i/>
        </w:rPr>
        <w:t>Air lines and fittings</w:t>
      </w:r>
    </w:p>
    <w:p w:rsidR="00B40966" w:rsidRDefault="00B40966">
      <w:pPr>
        <w:pStyle w:val="Amain"/>
        <w:keepNext/>
      </w:pPr>
      <w:r>
        <w:rPr>
          <w:color w:val="000000"/>
        </w:rPr>
        <w:tab/>
        <w:t>(91)</w:t>
      </w:r>
      <w:r>
        <w:rPr>
          <w:color w:val="000000"/>
        </w:rPr>
        <w:tab/>
        <w:t>Each air line shall be equipped with the following fittings connected in the order shown:</w:t>
      </w:r>
    </w:p>
    <w:p w:rsidR="00B40966" w:rsidRDefault="00B40966">
      <w:pPr>
        <w:pStyle w:val="Apara"/>
      </w:pPr>
      <w:r>
        <w:tab/>
        <w:t>(a)</w:t>
      </w:r>
      <w:r>
        <w:tab/>
        <w:t>an air receiver of such capacity as to be capable of delivering at least 2 000 cubic feet of air to the working chamber at normal working pressure, for the purpose of reserve storage in the event of failure of the compressor plant;</w:t>
      </w:r>
    </w:p>
    <w:p w:rsidR="00B40966" w:rsidRDefault="00B40966">
      <w:pPr>
        <w:pStyle w:val="Apara"/>
      </w:pPr>
      <w:r>
        <w:tab/>
        <w:t>(b)</w:t>
      </w:r>
      <w:r>
        <w:tab/>
        <w:t>a stop valve;</w:t>
      </w:r>
    </w:p>
    <w:p w:rsidR="00B40966" w:rsidRDefault="00B40966">
      <w:pPr>
        <w:pStyle w:val="Apara"/>
      </w:pPr>
      <w:r>
        <w:tab/>
        <w:t>(c)</w:t>
      </w:r>
      <w:r>
        <w:tab/>
        <w:t>a pressure-reducing valve located close to the man-lock;</w:t>
      </w:r>
    </w:p>
    <w:p w:rsidR="00B40966" w:rsidRDefault="00B40966">
      <w:pPr>
        <w:pStyle w:val="Apara"/>
      </w:pPr>
      <w:r>
        <w:tab/>
        <w:t>(d)</w:t>
      </w:r>
      <w:r>
        <w:tab/>
        <w:t>a non-return valve located close to the man-lock.</w:t>
      </w:r>
    </w:p>
    <w:p w:rsidR="00B40966" w:rsidRDefault="00B40966">
      <w:pPr>
        <w:pStyle w:val="Amain"/>
      </w:pPr>
      <w:r>
        <w:tab/>
        <w:t>(92)</w:t>
      </w:r>
      <w:r>
        <w:tab/>
        <w:t>The air supply shall be through duplicate air lines between the air receiver and the working chamber.</w:t>
      </w:r>
    </w:p>
    <w:p w:rsidR="00B40966" w:rsidRDefault="00B40966">
      <w:pPr>
        <w:pStyle w:val="Amain"/>
      </w:pPr>
      <w:r>
        <w:tab/>
        <w:t>(93)</w:t>
      </w:r>
      <w:r>
        <w:tab/>
        <w:t>An adjustable safety valve shall be fitted on the outside of the bulkhead to a separate pipe leading from the working chamber through the bulkhead to the outside air.</w:t>
      </w:r>
    </w:p>
    <w:p w:rsidR="00B40966" w:rsidRDefault="00B40966">
      <w:pPr>
        <w:pStyle w:val="Assectheading"/>
        <w:rPr>
          <w:i w:val="0"/>
        </w:rPr>
      </w:pPr>
      <w:r>
        <w:rPr>
          <w:rStyle w:val="charItals"/>
          <w:i/>
        </w:rPr>
        <w:t>Testing of equipment</w:t>
      </w:r>
    </w:p>
    <w:p w:rsidR="00B40966" w:rsidRDefault="00B40966">
      <w:pPr>
        <w:pStyle w:val="Amain"/>
      </w:pPr>
      <w:r>
        <w:rPr>
          <w:color w:val="000000"/>
        </w:rPr>
        <w:tab/>
        <w:t>(94)</w:t>
      </w:r>
      <w:r>
        <w:rPr>
          <w:color w:val="000000"/>
        </w:rPr>
        <w:tab/>
        <w:t>All locks and air receivers shall be subjected to test and inspection in accordance with the provisions of the Australian Standard Rules for the Design, Construction, Inspection and Operation of Boilers and Unfired Pressure Vessels and their Appurtenances published by Standards Australia, as revised in May, 1942.</w:t>
      </w:r>
    </w:p>
    <w:p w:rsidR="00B40966" w:rsidRDefault="00B40966">
      <w:pPr>
        <w:pStyle w:val="Amain"/>
      </w:pPr>
      <w:r>
        <w:tab/>
        <w:t>(95)</w:t>
      </w:r>
      <w:r>
        <w:tab/>
        <w:t>Pressure gauges shall be installed and tested in accordance with the relevant provisions of the rules mentioned in subsection (94).</w:t>
      </w:r>
    </w:p>
    <w:p w:rsidR="00B40966" w:rsidRDefault="00B40966">
      <w:pPr>
        <w:pStyle w:val="Assectheading"/>
        <w:rPr>
          <w:i w:val="0"/>
        </w:rPr>
      </w:pPr>
      <w:r>
        <w:rPr>
          <w:rStyle w:val="charItals"/>
          <w:i/>
        </w:rPr>
        <w:t>Change rooms</w:t>
      </w:r>
    </w:p>
    <w:p w:rsidR="00B40966" w:rsidRDefault="00B40966">
      <w:pPr>
        <w:pStyle w:val="Amain"/>
      </w:pPr>
      <w:r>
        <w:rPr>
          <w:color w:val="000000"/>
        </w:rPr>
        <w:tab/>
        <w:t>(96)</w:t>
      </w:r>
      <w:r>
        <w:rPr>
          <w:color w:val="000000"/>
        </w:rPr>
        <w:tab/>
        <w:t xml:space="preserve">Without prejudice to the requirements of part 10 (which </w:t>
      </w:r>
      <w:r>
        <w:rPr>
          <w:rStyle w:val="charItals"/>
          <w:i w:val="0"/>
        </w:rPr>
        <w:t>among other things</w:t>
      </w:r>
      <w:r>
        <w:rPr>
          <w:color w:val="000000"/>
        </w:rPr>
        <w:t xml:space="preserve"> relates to the provision of certain accommodation for the health of persons), there shall be provided and maintained for the use of persons employed in compressed air work in tunnelling—</w:t>
      </w:r>
    </w:p>
    <w:p w:rsidR="00B40966" w:rsidRDefault="00B40966">
      <w:pPr>
        <w:pStyle w:val="Apara"/>
      </w:pPr>
      <w:r>
        <w:tab/>
        <w:t>(a)</w:t>
      </w:r>
      <w:r>
        <w:tab/>
        <w:t>properly heated, lighted and ventilated change rooms and drying rooms; and</w:t>
      </w:r>
    </w:p>
    <w:p w:rsidR="00B40966" w:rsidRDefault="00B40966">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B40966" w:rsidRDefault="00B40966">
      <w:pPr>
        <w:pStyle w:val="Apara"/>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B40966" w:rsidRDefault="00B40966">
      <w:pPr>
        <w:pStyle w:val="Assectheading"/>
        <w:rPr>
          <w:i w:val="0"/>
        </w:rPr>
      </w:pPr>
      <w:r>
        <w:rPr>
          <w:rStyle w:val="charItals"/>
          <w:i/>
        </w:rPr>
        <w:t>Information to be posted in change room</w:t>
      </w:r>
    </w:p>
    <w:p w:rsidR="00B40966" w:rsidRDefault="00B40966">
      <w:pPr>
        <w:pStyle w:val="Amain"/>
      </w:pPr>
      <w:r>
        <w:rPr>
          <w:color w:val="000000"/>
        </w:rPr>
        <w:tab/>
        <w:t>(97)</w:t>
      </w:r>
      <w:r>
        <w:rPr>
          <w:color w:val="000000"/>
        </w:rPr>
        <w:tab/>
        <w:t>A copy of the following information shall be posted in the change room for the information and instruction of persons employed in compressed air work in tunnelling:</w:t>
      </w:r>
    </w:p>
    <w:p w:rsidR="00B40966" w:rsidRDefault="00B40966">
      <w:pPr>
        <w:pStyle w:val="Apara"/>
      </w:pPr>
      <w:r>
        <w:tab/>
        <w:t>(a)</w:t>
      </w:r>
      <w:r>
        <w:tab/>
        <w:t>subsections (13) to (21) and (98) to (100); and</w:t>
      </w:r>
    </w:p>
    <w:p w:rsidR="00B40966" w:rsidRDefault="00B40966">
      <w:pPr>
        <w:pStyle w:val="Apara"/>
      </w:pPr>
      <w:r>
        <w:tab/>
        <w:t>(b)</w:t>
      </w:r>
      <w:r>
        <w:tab/>
        <w:t>schedule 9; and</w:t>
      </w:r>
    </w:p>
    <w:p w:rsidR="00B40966" w:rsidRDefault="00B40966">
      <w:pPr>
        <w:pStyle w:val="Apara"/>
      </w:pPr>
      <w:r>
        <w:tab/>
        <w:t>(c)</w:t>
      </w:r>
      <w:r>
        <w:tab/>
        <w:t>the name, address, and telephone number of the medical officer.</w:t>
      </w:r>
    </w:p>
    <w:p w:rsidR="00B40966" w:rsidRDefault="00B40966">
      <w:pPr>
        <w:pStyle w:val="Assectheading"/>
        <w:rPr>
          <w:i w:val="0"/>
        </w:rPr>
      </w:pPr>
      <w:r>
        <w:rPr>
          <w:rStyle w:val="charItals"/>
          <w:i/>
        </w:rPr>
        <w:t>Prohibition of smoking and intoxicating liquor</w:t>
      </w:r>
    </w:p>
    <w:p w:rsidR="00B40966" w:rsidRDefault="00B40966">
      <w:pPr>
        <w:pStyle w:val="Amain"/>
        <w:rPr>
          <w:color w:val="000000"/>
        </w:rPr>
      </w:pPr>
      <w:r>
        <w:rPr>
          <w:color w:val="000000"/>
        </w:rPr>
        <w:tab/>
        <w:t>(98)</w:t>
      </w:r>
      <w:r>
        <w:rPr>
          <w:color w:val="000000"/>
        </w:rPr>
        <w:tab/>
        <w:t>No person shall smoke in the man-lock or in the working chamber.</w:t>
      </w:r>
    </w:p>
    <w:p w:rsidR="00B40966" w:rsidRDefault="00B40966">
      <w:pPr>
        <w:pStyle w:val="Amain"/>
      </w:pPr>
      <w:r>
        <w:rPr>
          <w:color w:val="000000"/>
        </w:rPr>
        <w:tab/>
        <w:t>(99)</w:t>
      </w:r>
      <w:r>
        <w:rPr>
          <w:color w:val="000000"/>
        </w:rPr>
        <w:tab/>
        <w:t>No person shall carry on his or her person any smoking materials while in the man-lock or in the working chamber but shall leave all such materials in the change room.</w:t>
      </w:r>
    </w:p>
    <w:p w:rsidR="00B40966" w:rsidRDefault="00B40966">
      <w:pPr>
        <w:pStyle w:val="Amain"/>
      </w:pPr>
      <w:r>
        <w:tab/>
        <w:t>(100)</w:t>
      </w:r>
      <w:r>
        <w:tab/>
        <w:t>No intoxicating liquor shall be brought into the vicinity of the working chamber, provided that the carrying of alcoholic spirits or other stimulants into such places for medical purposes may be approved by the medical officer.</w:t>
      </w:r>
    </w:p>
    <w:p w:rsidR="00B40966" w:rsidRDefault="00B40966">
      <w:pPr>
        <w:pStyle w:val="Assectheading"/>
        <w:rPr>
          <w:i w:val="0"/>
        </w:rPr>
      </w:pPr>
      <w:r>
        <w:rPr>
          <w:rStyle w:val="charItals"/>
          <w:i/>
        </w:rPr>
        <w:t>Copy of pt 8 to be available</w:t>
      </w:r>
    </w:p>
    <w:p w:rsidR="00B40966" w:rsidRDefault="00B40966">
      <w:pPr>
        <w:pStyle w:val="Amain"/>
      </w:pPr>
      <w:r>
        <w:rPr>
          <w:color w:val="000000"/>
        </w:rPr>
        <w:tab/>
        <w:t>(101)</w:t>
      </w:r>
      <w:r>
        <w:rPr>
          <w:color w:val="000000"/>
        </w:rPr>
        <w:tab/>
        <w:t>A copy of this part shall be kept at the works office and shall be available to every person on the works who is engaged in the compressed air work.</w:t>
      </w:r>
    </w:p>
    <w:p w:rsidR="00B40966" w:rsidRDefault="00B40966">
      <w:pPr>
        <w:pStyle w:val="AH3Div"/>
      </w:pPr>
      <w:bookmarkStart w:id="189" w:name="_Toc87258045"/>
      <w:r>
        <w:rPr>
          <w:rStyle w:val="CharDivNo"/>
        </w:rPr>
        <w:t>Division 8.3</w:t>
      </w:r>
      <w:r>
        <w:rPr>
          <w:rStyle w:val="CharDivNo"/>
        </w:rPr>
        <w:tab/>
      </w:r>
      <w:r>
        <w:rPr>
          <w:rStyle w:val="CharDivText"/>
        </w:rPr>
        <w:t>Caissons</w:t>
      </w:r>
      <w:bookmarkEnd w:id="189"/>
    </w:p>
    <w:p w:rsidR="00B40966" w:rsidRDefault="00B40966">
      <w:pPr>
        <w:pStyle w:val="AH5Sec"/>
      </w:pPr>
      <w:bookmarkStart w:id="190" w:name="_Toc87258046"/>
      <w:r>
        <w:rPr>
          <w:rStyle w:val="CharSectNo"/>
        </w:rPr>
        <w:t>101</w:t>
      </w:r>
      <w:bookmarkEnd w:id="190"/>
      <w:r>
        <w:tab/>
        <w:t xml:space="preserve">  </w:t>
      </w:r>
    </w:p>
    <w:p w:rsidR="00B40966" w:rsidRDefault="00B40966">
      <w:pPr>
        <w:pStyle w:val="Assectheading"/>
        <w:rPr>
          <w:i w:val="0"/>
          <w:color w:val="000000"/>
        </w:rPr>
      </w:pPr>
      <w:r>
        <w:rPr>
          <w:rStyle w:val="charItals"/>
          <w:i/>
        </w:rPr>
        <w:t>Age limits</w:t>
      </w:r>
    </w:p>
    <w:p w:rsidR="00B40966" w:rsidRDefault="00B40966">
      <w:pPr>
        <w:pStyle w:val="Amain"/>
      </w:pPr>
      <w:r>
        <w:rPr>
          <w:color w:val="000000"/>
        </w:rPr>
        <w:tab/>
        <w:t>(1)</w:t>
      </w:r>
      <w:r>
        <w:rPr>
          <w:color w:val="000000"/>
        </w:rPr>
        <w:tab/>
        <w:t>No person shall work or be employed in compressed air work in caissons—</w:t>
      </w:r>
    </w:p>
    <w:p w:rsidR="00B40966" w:rsidRDefault="00B40966">
      <w:pPr>
        <w:pStyle w:val="Apara"/>
      </w:pPr>
      <w:r>
        <w:tab/>
        <w:t>(a)</w:t>
      </w:r>
      <w:r>
        <w:tab/>
        <w:t>at pressures up to 30 pounds per square inch if the person is over 50 years old; or</w:t>
      </w:r>
    </w:p>
    <w:p w:rsidR="00B40966" w:rsidRDefault="00B40966">
      <w:pPr>
        <w:pStyle w:val="Apara"/>
      </w:pPr>
      <w:r>
        <w:tab/>
        <w:t>(b)</w:t>
      </w:r>
      <w:r>
        <w:tab/>
        <w:t>at pressures over 30 pounds per square inch if the person is over 45 years old.</w:t>
      </w:r>
    </w:p>
    <w:p w:rsidR="00B40966" w:rsidRDefault="00B40966">
      <w:pPr>
        <w:pStyle w:val="Amain"/>
      </w:pPr>
      <w:r>
        <w:tab/>
        <w:t>(2)</w:t>
      </w:r>
      <w:r>
        <w:tab/>
        <w:t>No person under 20 years old shall work or be employed in compressed air work in caissons.</w:t>
      </w:r>
    </w:p>
    <w:p w:rsidR="00B40966" w:rsidRDefault="00B40966">
      <w:pPr>
        <w:pStyle w:val="Amain"/>
      </w:pPr>
      <w:r>
        <w:tab/>
        <w:t>(3)</w:t>
      </w:r>
      <w:r>
        <w:tab/>
        <w:t>However, in exceptional circumstances the medical officer may set aside the age limits in individual cases.</w:t>
      </w:r>
    </w:p>
    <w:p w:rsidR="00B40966" w:rsidRDefault="00B40966">
      <w:pPr>
        <w:pStyle w:val="Assectheading"/>
        <w:rPr>
          <w:i w:val="0"/>
        </w:rPr>
      </w:pPr>
      <w:r>
        <w:rPr>
          <w:rStyle w:val="charItals"/>
          <w:i/>
        </w:rPr>
        <w:t>Appointment of medical officers</w:t>
      </w:r>
    </w:p>
    <w:p w:rsidR="00B40966" w:rsidRDefault="00B40966">
      <w:pPr>
        <w:pStyle w:val="Amain"/>
      </w:pPr>
      <w:r>
        <w:tab/>
        <w:t>(4)</w:t>
      </w:r>
      <w:r>
        <w:tab/>
        <w:t>A legally qualified doctor shall be appointed to carry out the duties prescribed by this regulation as the duties of a medical officer.</w:t>
      </w:r>
    </w:p>
    <w:p w:rsidR="00B40966" w:rsidRDefault="00B40966">
      <w:pPr>
        <w:pStyle w:val="Amain"/>
      </w:pPr>
      <w:r>
        <w:tab/>
        <w:t>(5)</w:t>
      </w:r>
      <w:r>
        <w:tab/>
        <w:t>The chief inspector shall be notified in writing of the name and address of the medical officer so appointed.</w:t>
      </w:r>
    </w:p>
    <w:p w:rsidR="00B40966" w:rsidRDefault="00B40966">
      <w:pPr>
        <w:pStyle w:val="Assectheading"/>
        <w:rPr>
          <w:i w:val="0"/>
          <w:color w:val="000000"/>
        </w:rPr>
      </w:pPr>
      <w:r>
        <w:rPr>
          <w:color w:val="000000"/>
        </w:rPr>
        <w:t>M</w:t>
      </w:r>
      <w:r>
        <w:rPr>
          <w:rStyle w:val="charItals"/>
          <w:i/>
        </w:rPr>
        <w:t>edical orderly</w:t>
      </w:r>
    </w:p>
    <w:p w:rsidR="00B40966" w:rsidRDefault="00B40966">
      <w:pPr>
        <w:pStyle w:val="Amain"/>
        <w:keepLines/>
        <w:rPr>
          <w:color w:val="000000"/>
        </w:rPr>
      </w:pPr>
      <w:r>
        <w:rPr>
          <w:color w:val="000000"/>
        </w:rPr>
        <w:tab/>
        <w:t>(6)</w:t>
      </w:r>
      <w:r>
        <w:rPr>
          <w:color w:val="000000"/>
        </w:rPr>
        <w:tab/>
        <w:t>When the working pressure exceeds 25 pounds per square inch, an experienced medical orderly shall be constantly in attendance for the purpose of recompressing any worker who shows symptoms of compressed air illness and for attending to minor injuries.</w:t>
      </w:r>
    </w:p>
    <w:p w:rsidR="00B40966" w:rsidRDefault="00B40966">
      <w:pPr>
        <w:pStyle w:val="Amain"/>
        <w:rPr>
          <w:color w:val="000000"/>
        </w:rPr>
      </w:pPr>
      <w:r>
        <w:rPr>
          <w:color w:val="000000"/>
        </w:rPr>
        <w:tab/>
        <w:t>(7)</w:t>
      </w:r>
      <w:r>
        <w:rPr>
          <w:color w:val="000000"/>
        </w:rPr>
        <w:tab/>
        <w:t>The medical orderly shall be a person approved by the medical officer and the orderly shall be the holder of a St. John Ambulance certificate or equivalent qualifications.</w:t>
      </w:r>
    </w:p>
    <w:p w:rsidR="00B40966" w:rsidRDefault="00B40966">
      <w:pPr>
        <w:pStyle w:val="Amain"/>
      </w:pPr>
      <w:r>
        <w:rPr>
          <w:color w:val="000000"/>
        </w:rPr>
        <w:tab/>
        <w:t>(8)</w:t>
      </w:r>
      <w:r>
        <w:rPr>
          <w:color w:val="000000"/>
        </w:rPr>
        <w:tab/>
        <w:t>The medical orderly may work on other duties provided these are such that the medical orderly will be readily available for medical orderly duties when required.</w:t>
      </w:r>
    </w:p>
    <w:p w:rsidR="00B40966" w:rsidRDefault="00B40966">
      <w:pPr>
        <w:pStyle w:val="Assectheading"/>
        <w:rPr>
          <w:i w:val="0"/>
        </w:rPr>
      </w:pPr>
      <w:r>
        <w:rPr>
          <w:rStyle w:val="charItals"/>
          <w:i/>
        </w:rPr>
        <w:t>Preliminary medical examination</w:t>
      </w:r>
    </w:p>
    <w:p w:rsidR="00B40966" w:rsidRDefault="00B40966">
      <w:pPr>
        <w:pStyle w:val="Amain"/>
      </w:pPr>
      <w:r>
        <w:tab/>
        <w:t>(9)</w:t>
      </w:r>
      <w:r>
        <w:tab/>
        <w:t>No person shall work or be employed to work in compressed air unless on or after such date the person has been examined by an appointed medical officer, and has been certified by the officer as being fit to work in compressed air.</w:t>
      </w:r>
    </w:p>
    <w:p w:rsidR="00B40966" w:rsidRDefault="00B40966">
      <w:pPr>
        <w:pStyle w:val="Amain"/>
      </w:pPr>
      <w:r>
        <w:tab/>
        <w:t>(10)</w:t>
      </w:r>
      <w:r>
        <w:tab/>
        <w:t>The examination shall include an X-ray examination of the chest.</w:t>
      </w:r>
    </w:p>
    <w:p w:rsidR="00B40966" w:rsidRDefault="00B40966">
      <w:pPr>
        <w:pStyle w:val="Amain"/>
      </w:pPr>
      <w:r>
        <w:tab/>
        <w:t>(11)</w:t>
      </w:r>
      <w:r>
        <w:tab/>
        <w:t>The medical officer’s report shall be kept and produced to an inspector on demand.</w:t>
      </w:r>
    </w:p>
    <w:p w:rsidR="00B40966" w:rsidRDefault="00B40966">
      <w:pPr>
        <w:pStyle w:val="Assectheading"/>
        <w:rPr>
          <w:i w:val="0"/>
        </w:rPr>
      </w:pPr>
      <w:r>
        <w:rPr>
          <w:rStyle w:val="charItals"/>
          <w:i/>
        </w:rPr>
        <w:t>Supervision of health during compressed air work in caissons</w:t>
      </w:r>
      <w:r>
        <w:rPr>
          <w:i w:val="0"/>
          <w:color w:val="000000"/>
        </w:rPr>
        <w:t>—</w:t>
      </w:r>
      <w:r>
        <w:rPr>
          <w:rStyle w:val="charItals"/>
          <w:i/>
        </w:rPr>
        <w:t>advice to employees</w:t>
      </w:r>
    </w:p>
    <w:p w:rsidR="00B40966" w:rsidRDefault="00B40966">
      <w:pPr>
        <w:pStyle w:val="Amain"/>
      </w:pPr>
      <w:r>
        <w:tab/>
        <w:t>(12)</w:t>
      </w:r>
      <w:r>
        <w:tab/>
        <w:t>It shall be the duty of the medical officer to inform each person at the time of a preliminary medical examination that any attack of ‘bends’ (pains in the joints and limbs or abdomen), giddiness, vomiting or difficulty in breathing, disease of the heart, lungs, kidneys, genital organs, a chill, or any other malady that may come on the person during or after work in a caisson, may have the most serious consequences to his or her health, and the person shall be instructed that immediately on noticing any such indisposition the person must report it to the medical officer, or to a medical orderly, or failing either, to the contractor or to a responsible representative of the contractor.</w:t>
      </w:r>
    </w:p>
    <w:p w:rsidR="00B40966" w:rsidRDefault="00B40966">
      <w:pPr>
        <w:pStyle w:val="Amain"/>
      </w:pPr>
      <w:r>
        <w:tab/>
        <w:t>(13)</w:t>
      </w:r>
      <w:r>
        <w:tab/>
        <w:t>The symptoms and treatment of compressed air illness as set out in schedule 9 shall be exhibited in a conspicuous position in the workers’s change room.</w:t>
      </w:r>
    </w:p>
    <w:p w:rsidR="00B40966" w:rsidRDefault="00B40966">
      <w:pPr>
        <w:pStyle w:val="Assectheading"/>
        <w:rPr>
          <w:i w:val="0"/>
        </w:rPr>
      </w:pPr>
      <w:r>
        <w:rPr>
          <w:rStyle w:val="charItals"/>
          <w:i/>
        </w:rPr>
        <w:t>Supervision of health during compressed air work in caissons</w:t>
      </w:r>
      <w:r>
        <w:rPr>
          <w:i w:val="0"/>
          <w:color w:val="000000"/>
        </w:rPr>
        <w:t>—</w:t>
      </w:r>
      <w:r>
        <w:rPr>
          <w:rStyle w:val="charItals"/>
          <w:i/>
        </w:rPr>
        <w:t>entry prohibited</w:t>
      </w:r>
    </w:p>
    <w:p w:rsidR="00B40966" w:rsidRDefault="00B40966">
      <w:pPr>
        <w:pStyle w:val="Amain"/>
      </w:pPr>
      <w:r>
        <w:tab/>
        <w:t>(14)</w:t>
      </w:r>
      <w:r>
        <w:tab/>
        <w:t>A contractor shall not allow any person—</w:t>
      </w:r>
    </w:p>
    <w:p w:rsidR="00B40966" w:rsidRDefault="00B40966">
      <w:pPr>
        <w:pStyle w:val="Apara"/>
      </w:pPr>
      <w:r>
        <w:tab/>
        <w:t>(a)</w:t>
      </w:r>
      <w:r>
        <w:tab/>
        <w:t>known to be suffering from bends, cold in the head, sore throat, or any other illness or disease, or</w:t>
      </w:r>
    </w:p>
    <w:p w:rsidR="00B40966" w:rsidRDefault="00B40966">
      <w:pPr>
        <w:pStyle w:val="Apara"/>
      </w:pPr>
      <w:r>
        <w:tab/>
        <w:t>(b)</w:t>
      </w:r>
      <w:r>
        <w:tab/>
        <w:t>under the influence of intoxicating liquor,</w:t>
      </w:r>
    </w:p>
    <w:p w:rsidR="00B40966" w:rsidRDefault="00B40966">
      <w:pPr>
        <w:pStyle w:val="Amainreturn"/>
      </w:pPr>
      <w:r>
        <w:t>to be employed in compressed air work in a caisson.</w:t>
      </w:r>
    </w:p>
    <w:p w:rsidR="00B40966" w:rsidRDefault="00B40966">
      <w:pPr>
        <w:pStyle w:val="Assectheading"/>
        <w:rPr>
          <w:i w:val="0"/>
        </w:rPr>
      </w:pPr>
      <w:r>
        <w:rPr>
          <w:rStyle w:val="charItals"/>
          <w:i/>
        </w:rPr>
        <w:t>Supervision of health during compressed air work in caissons</w:t>
      </w:r>
      <w:r>
        <w:rPr>
          <w:i w:val="0"/>
          <w:color w:val="000000"/>
        </w:rPr>
        <w:t>—</w:t>
      </w:r>
      <w:r>
        <w:rPr>
          <w:rStyle w:val="charItals"/>
          <w:i/>
        </w:rPr>
        <w:t>periodical medical examination</w:t>
      </w:r>
    </w:p>
    <w:p w:rsidR="00B40966" w:rsidRDefault="00B40966">
      <w:pPr>
        <w:pStyle w:val="Amain"/>
      </w:pPr>
      <w:r>
        <w:tab/>
        <w:t>(15)</w:t>
      </w:r>
      <w:r>
        <w:tab/>
        <w:t>If persons work continuously in compressed air in caissons they shall be re-examined regularly at the following intervals:</w:t>
      </w:r>
    </w:p>
    <w:p w:rsidR="00B40966" w:rsidRDefault="00B40966">
      <w:pPr>
        <w:pStyle w:val="Apara"/>
      </w:pPr>
      <w:r>
        <w:tab/>
        <w:t>(a)</w:t>
      </w:r>
      <w:r>
        <w:tab/>
        <w:t>for pressures not exceeding 25 pounds per square inch—every 6 months;</w:t>
      </w:r>
    </w:p>
    <w:p w:rsidR="00B40966" w:rsidRDefault="00B40966">
      <w:pPr>
        <w:pStyle w:val="Apara"/>
      </w:pPr>
      <w:r>
        <w:tab/>
        <w:t>(b)</w:t>
      </w:r>
      <w:r>
        <w:tab/>
        <w:t>for pressures above 25 pounds and not exceeding 35 pounds per square inch—every 3 months;</w:t>
      </w:r>
    </w:p>
    <w:p w:rsidR="00B40966" w:rsidRDefault="00B40966">
      <w:pPr>
        <w:pStyle w:val="Apara"/>
      </w:pPr>
      <w:r>
        <w:tab/>
        <w:t>(c)</w:t>
      </w:r>
      <w:r>
        <w:tab/>
        <w:t>for pressures above 35 pounds and not exceeding 45 pounds per square inch—every 6 weeks;</w:t>
      </w:r>
    </w:p>
    <w:p w:rsidR="00B40966" w:rsidRDefault="00B40966">
      <w:pPr>
        <w:pStyle w:val="Apara"/>
      </w:pPr>
      <w:r>
        <w:tab/>
        <w:t>(d)</w:t>
      </w:r>
      <w:r>
        <w:tab/>
        <w:t>for pressures above 45 pounds per square inch—every 4 weeks.</w:t>
      </w:r>
    </w:p>
    <w:p w:rsidR="00B40966" w:rsidRDefault="00B40966">
      <w:pPr>
        <w:pStyle w:val="Amain"/>
      </w:pPr>
      <w:r>
        <w:tab/>
        <w:t>(16)</w:t>
      </w:r>
      <w:r>
        <w:tab/>
        <w:t>Unless so re-examined and found fit as mentioned in this section, no person shall work or be employed to work in compressed air.</w:t>
      </w:r>
    </w:p>
    <w:p w:rsidR="00B40966" w:rsidRDefault="00B40966">
      <w:pPr>
        <w:pStyle w:val="Assectheading"/>
        <w:rPr>
          <w:i w:val="0"/>
        </w:rPr>
      </w:pPr>
      <w:r>
        <w:rPr>
          <w:rStyle w:val="charItals"/>
          <w:i/>
        </w:rPr>
        <w:t>Examination after absence</w:t>
      </w:r>
    </w:p>
    <w:p w:rsidR="00B40966" w:rsidRDefault="00B40966">
      <w:pPr>
        <w:pStyle w:val="Amain"/>
      </w:pPr>
      <w:r>
        <w:tab/>
        <w:t>(17)</w:t>
      </w:r>
      <w:r>
        <w:tab/>
        <w:t>An employee who has been absent from work in compressed air in caissons, due to illness of any kind for a period of more than 7 days, or who has been absent from such work due to any other cause, except for recreation, for a period of more than 3 weeks shall not work or be employed to work in compressed air without first producing a certificate of fitness from the medical officer.</w:t>
      </w:r>
    </w:p>
    <w:p w:rsidR="00B40966" w:rsidRDefault="00B40966">
      <w:pPr>
        <w:pStyle w:val="Assectheading"/>
        <w:rPr>
          <w:i w:val="0"/>
        </w:rPr>
      </w:pPr>
      <w:r>
        <w:rPr>
          <w:rStyle w:val="charItals"/>
          <w:i/>
        </w:rPr>
        <w:t>New employees</w:t>
      </w:r>
    </w:p>
    <w:p w:rsidR="00B40966" w:rsidRDefault="00B40966">
      <w:pPr>
        <w:pStyle w:val="Amain"/>
      </w:pPr>
      <w:r>
        <w:tab/>
        <w:t>(18)</w:t>
      </w:r>
      <w:r>
        <w:tab/>
        <w:t>Every person who is not accustomed to work in compressed air shall be tested to the working pressure in the medical or airlock.</w:t>
      </w:r>
    </w:p>
    <w:p w:rsidR="00B40966" w:rsidRDefault="00B40966">
      <w:pPr>
        <w:pStyle w:val="Amain"/>
      </w:pPr>
      <w:r>
        <w:tab/>
        <w:t>(19)</w:t>
      </w:r>
      <w:r>
        <w:tab/>
        <w:t>If any person shows serious symptoms after test, or after the first 2 full working periods, the person shall not work in compressed air.</w:t>
      </w:r>
    </w:p>
    <w:p w:rsidR="00B40966" w:rsidRDefault="00B40966">
      <w:pPr>
        <w:pStyle w:val="Assectheading"/>
        <w:rPr>
          <w:i w:val="0"/>
        </w:rPr>
      </w:pPr>
      <w:r>
        <w:rPr>
          <w:rStyle w:val="charItals"/>
          <w:i/>
        </w:rPr>
        <w:t>X</w:t>
      </w:r>
      <w:r>
        <w:rPr>
          <w:rStyle w:val="charItals"/>
          <w:i/>
        </w:rPr>
        <w:noBreakHyphen/>
        <w:t>ray examination</w:t>
      </w:r>
    </w:p>
    <w:p w:rsidR="00B40966" w:rsidRDefault="00B40966">
      <w:pPr>
        <w:pStyle w:val="Amain"/>
      </w:pPr>
      <w:r>
        <w:tab/>
        <w:t>(20)</w:t>
      </w:r>
      <w:r>
        <w:tab/>
        <w:t>No person shall work or be employed to work in compressed air after 12 months, or any less a period that the medical officer may determine, has elapsed from the date of the last X-ray examination of his or her chest.</w:t>
      </w:r>
    </w:p>
    <w:p w:rsidR="00B40966" w:rsidRDefault="00B40966">
      <w:pPr>
        <w:pStyle w:val="Assectheading"/>
        <w:rPr>
          <w:i w:val="0"/>
        </w:rPr>
      </w:pPr>
      <w:r>
        <w:rPr>
          <w:rStyle w:val="charItals"/>
          <w:i/>
        </w:rPr>
        <w:t>Compressed air worker’s badge</w:t>
      </w:r>
    </w:p>
    <w:p w:rsidR="00B40966" w:rsidRDefault="00B40966">
      <w:pPr>
        <w:pStyle w:val="Amain"/>
      </w:pPr>
      <w:r>
        <w:tab/>
        <w:t>(21)</w:t>
      </w:r>
      <w:r>
        <w:tab/>
        <w:t>It shall be the duty of a contractor to supply to every person engaged in compressed air work in caissons in his or her employ a compressed air worker’s badge.</w:t>
      </w:r>
    </w:p>
    <w:p w:rsidR="00B40966" w:rsidRDefault="00B40966">
      <w:pPr>
        <w:pStyle w:val="Amain"/>
      </w:pPr>
      <w:r>
        <w:tab/>
        <w:t>(22)</w:t>
      </w:r>
      <w:r>
        <w:tab/>
        <w:t>It shall be the duty of every person engaged in compressed air work in caissons at all times to wear a compressed air worker’s badge.</w:t>
      </w:r>
    </w:p>
    <w:p w:rsidR="00B40966" w:rsidRDefault="00B40966">
      <w:pPr>
        <w:pStyle w:val="Amain"/>
      </w:pPr>
      <w:r>
        <w:tab/>
        <w:t>(23)</w:t>
      </w:r>
      <w:r>
        <w:tab/>
        <w:t>A compressed air worker’s badge shall be made of non-corrodible metal and shall be arranged to be worn either in a coat lapel or suspended by a chain or cord placed round the neck.</w:t>
      </w:r>
    </w:p>
    <w:p w:rsidR="00B40966" w:rsidRDefault="00B40966">
      <w:pPr>
        <w:pStyle w:val="Amain"/>
      </w:pPr>
      <w:r>
        <w:tab/>
        <w:t>(24)</w:t>
      </w:r>
      <w:r>
        <w:tab/>
        <w:t>Every badge shall be manufactured in accordance with the provisions of section 99 (18) and (19)</w:t>
      </w:r>
    </w:p>
    <w:p w:rsidR="00B40966" w:rsidRDefault="00B40966">
      <w:pPr>
        <w:pStyle w:val="Assectheading"/>
        <w:rPr>
          <w:i w:val="0"/>
        </w:rPr>
      </w:pPr>
      <w:r>
        <w:rPr>
          <w:rStyle w:val="charItals"/>
          <w:i/>
        </w:rPr>
        <w:t>Working periods</w:t>
      </w:r>
      <w:r>
        <w:rPr>
          <w:i w:val="0"/>
          <w:color w:val="000000"/>
        </w:rPr>
        <w:t>—</w:t>
      </w:r>
      <w:r>
        <w:rPr>
          <w:rStyle w:val="charItals"/>
          <w:i/>
        </w:rPr>
        <w:t>general</w:t>
      </w:r>
    </w:p>
    <w:p w:rsidR="00B40966" w:rsidRDefault="00B40966">
      <w:pPr>
        <w:pStyle w:val="Amain"/>
      </w:pPr>
      <w:r>
        <w:tab/>
        <w:t>(25)</w:t>
      </w:r>
      <w:r>
        <w:tab/>
        <w:t>Except in case of emergency, no person shall work or be employed to work in compressed air for longer in any period of 24 hours, than the period corresponding to the pressure in which the work is carried out as set out in table 101.</w:t>
      </w:r>
    </w:p>
    <w:p w:rsidR="00B40966" w:rsidRDefault="00B40966">
      <w:pPr>
        <w:pStyle w:val="TableHd"/>
        <w:ind w:hanging="117"/>
      </w:pPr>
      <w:r>
        <w:t>Table 101</w:t>
      </w:r>
    </w:p>
    <w:tbl>
      <w:tblPr>
        <w:tblW w:w="0" w:type="auto"/>
        <w:tblInd w:w="1163" w:type="dxa"/>
        <w:tblLayout w:type="fixed"/>
        <w:tblCellMar>
          <w:left w:w="80" w:type="dxa"/>
          <w:right w:w="80" w:type="dxa"/>
        </w:tblCellMar>
        <w:tblLook w:val="0000" w:firstRow="0" w:lastRow="0" w:firstColumn="0" w:lastColumn="0" w:noHBand="0" w:noVBand="0"/>
      </w:tblPr>
      <w:tblGrid>
        <w:gridCol w:w="1640"/>
        <w:gridCol w:w="1540"/>
        <w:gridCol w:w="1620"/>
        <w:gridCol w:w="1680"/>
      </w:tblGrid>
      <w:tr w:rsidR="00B40966">
        <w:trPr>
          <w:cantSplit/>
          <w:tblHeader/>
        </w:trPr>
        <w:tc>
          <w:tcPr>
            <w:tcW w:w="1640" w:type="dxa"/>
            <w:tcBorders>
              <w:bottom w:val="single" w:sz="6" w:space="0" w:color="auto"/>
            </w:tcBorders>
          </w:tcPr>
          <w:p w:rsidR="00B40966" w:rsidRDefault="00B40966">
            <w:pPr>
              <w:pStyle w:val="TableColHd"/>
            </w:pPr>
            <w:r>
              <w:t>gauge pressure</w:t>
            </w:r>
          </w:p>
          <w:p w:rsidR="00B40966" w:rsidRDefault="00B40966">
            <w:pPr>
              <w:pStyle w:val="TableColHd"/>
            </w:pPr>
            <w:r>
              <w:t>lb/in</w:t>
            </w:r>
            <w:r>
              <w:rPr>
                <w:vertAlign w:val="superscript"/>
              </w:rPr>
              <w:t>2</w:t>
            </w:r>
          </w:p>
        </w:tc>
        <w:tc>
          <w:tcPr>
            <w:tcW w:w="1540" w:type="dxa"/>
            <w:tcBorders>
              <w:bottom w:val="single" w:sz="6" w:space="0" w:color="auto"/>
            </w:tcBorders>
          </w:tcPr>
          <w:p w:rsidR="00B40966" w:rsidRDefault="00B40966">
            <w:pPr>
              <w:pStyle w:val="TableColHd"/>
            </w:pPr>
            <w:r>
              <w:t>working period</w:t>
            </w:r>
          </w:p>
        </w:tc>
        <w:tc>
          <w:tcPr>
            <w:tcW w:w="1620" w:type="dxa"/>
            <w:tcBorders>
              <w:bottom w:val="single" w:sz="6" w:space="0" w:color="auto"/>
            </w:tcBorders>
          </w:tcPr>
          <w:p w:rsidR="00B40966" w:rsidRDefault="00B40966">
            <w:pPr>
              <w:pStyle w:val="TableColHd"/>
            </w:pPr>
            <w:r>
              <w:t>gauge pressure</w:t>
            </w:r>
          </w:p>
          <w:p w:rsidR="00B40966" w:rsidRDefault="00B40966">
            <w:pPr>
              <w:pStyle w:val="TableColHd"/>
            </w:pPr>
            <w:r>
              <w:t>lb/in</w:t>
            </w:r>
            <w:r>
              <w:rPr>
                <w:vertAlign w:val="superscript"/>
              </w:rPr>
              <w:t>2</w:t>
            </w:r>
          </w:p>
        </w:tc>
        <w:tc>
          <w:tcPr>
            <w:tcW w:w="1680" w:type="dxa"/>
            <w:tcBorders>
              <w:bottom w:val="single" w:sz="6" w:space="0" w:color="auto"/>
            </w:tcBorders>
          </w:tcPr>
          <w:p w:rsidR="00B40966" w:rsidRDefault="00B40966">
            <w:pPr>
              <w:pStyle w:val="TableColHd"/>
            </w:pPr>
            <w:r>
              <w:t>working period</w:t>
            </w:r>
          </w:p>
        </w:tc>
      </w:tr>
      <w:tr w:rsidR="00B40966">
        <w:trPr>
          <w:cantSplit/>
        </w:trPr>
        <w:tc>
          <w:tcPr>
            <w:tcW w:w="1640" w:type="dxa"/>
            <w:tcBorders>
              <w:top w:val="single" w:sz="6" w:space="0" w:color="auto"/>
            </w:tcBorders>
          </w:tcPr>
          <w:p w:rsidR="00B40966" w:rsidRDefault="00B40966">
            <w:pPr>
              <w:pStyle w:val="TableText"/>
            </w:pPr>
            <w:r>
              <w:t>0-15</w:t>
            </w:r>
          </w:p>
        </w:tc>
        <w:tc>
          <w:tcPr>
            <w:tcW w:w="1540" w:type="dxa"/>
            <w:tcBorders>
              <w:top w:val="single" w:sz="6" w:space="0" w:color="auto"/>
            </w:tcBorders>
          </w:tcPr>
          <w:p w:rsidR="00B40966" w:rsidRDefault="00B40966">
            <w:pPr>
              <w:pStyle w:val="TableText"/>
            </w:pPr>
            <w:r>
              <w:t>8 hours</w:t>
            </w:r>
          </w:p>
        </w:tc>
        <w:tc>
          <w:tcPr>
            <w:tcW w:w="1620" w:type="dxa"/>
            <w:tcBorders>
              <w:top w:val="single" w:sz="6" w:space="0" w:color="auto"/>
            </w:tcBorders>
          </w:tcPr>
          <w:p w:rsidR="00B40966" w:rsidRDefault="00B40966">
            <w:pPr>
              <w:pStyle w:val="TableText"/>
            </w:pPr>
            <w:r>
              <w:t>40-50</w:t>
            </w:r>
          </w:p>
        </w:tc>
        <w:tc>
          <w:tcPr>
            <w:tcW w:w="1680" w:type="dxa"/>
            <w:tcBorders>
              <w:top w:val="single" w:sz="6" w:space="0" w:color="auto"/>
            </w:tcBorders>
          </w:tcPr>
          <w:p w:rsidR="00B40966" w:rsidRDefault="00B40966">
            <w:pPr>
              <w:pStyle w:val="TableText"/>
            </w:pPr>
            <w:r>
              <w:t>3 hours</w:t>
            </w:r>
          </w:p>
        </w:tc>
      </w:tr>
      <w:tr w:rsidR="00B40966">
        <w:trPr>
          <w:cantSplit/>
        </w:trPr>
        <w:tc>
          <w:tcPr>
            <w:tcW w:w="1640" w:type="dxa"/>
          </w:tcPr>
          <w:p w:rsidR="00B40966" w:rsidRDefault="00B40966">
            <w:pPr>
              <w:pStyle w:val="TableText"/>
            </w:pPr>
            <w:r>
              <w:t>15-25</w:t>
            </w:r>
          </w:p>
        </w:tc>
        <w:tc>
          <w:tcPr>
            <w:tcW w:w="1540" w:type="dxa"/>
          </w:tcPr>
          <w:p w:rsidR="00B40966" w:rsidRDefault="00B40966">
            <w:pPr>
              <w:pStyle w:val="TableText"/>
            </w:pPr>
            <w:r>
              <w:t>6 hours</w:t>
            </w:r>
          </w:p>
        </w:tc>
        <w:tc>
          <w:tcPr>
            <w:tcW w:w="1620" w:type="dxa"/>
          </w:tcPr>
          <w:p w:rsidR="00B40966" w:rsidRDefault="00B40966">
            <w:pPr>
              <w:pStyle w:val="TableText"/>
            </w:pPr>
            <w:r>
              <w:t>50-55</w:t>
            </w:r>
          </w:p>
        </w:tc>
        <w:tc>
          <w:tcPr>
            <w:tcW w:w="1680" w:type="dxa"/>
          </w:tcPr>
          <w:p w:rsidR="00B40966" w:rsidRDefault="00B40966">
            <w:pPr>
              <w:pStyle w:val="TableText"/>
            </w:pPr>
            <w:r>
              <w:t>2 hours</w:t>
            </w:r>
          </w:p>
        </w:tc>
      </w:tr>
      <w:tr w:rsidR="00B40966">
        <w:trPr>
          <w:cantSplit/>
        </w:trPr>
        <w:tc>
          <w:tcPr>
            <w:tcW w:w="1640" w:type="dxa"/>
          </w:tcPr>
          <w:p w:rsidR="00B40966" w:rsidRDefault="00B40966">
            <w:pPr>
              <w:pStyle w:val="TableText"/>
            </w:pPr>
            <w:r>
              <w:t>25-40</w:t>
            </w:r>
          </w:p>
        </w:tc>
        <w:tc>
          <w:tcPr>
            <w:tcW w:w="1540" w:type="dxa"/>
          </w:tcPr>
          <w:p w:rsidR="00B40966" w:rsidRDefault="00B40966">
            <w:pPr>
              <w:pStyle w:val="TableText"/>
            </w:pPr>
            <w:r>
              <w:t>4 hours</w:t>
            </w:r>
          </w:p>
        </w:tc>
        <w:tc>
          <w:tcPr>
            <w:tcW w:w="1620" w:type="dxa"/>
          </w:tcPr>
          <w:p w:rsidR="00B40966" w:rsidRDefault="00B40966">
            <w:pPr>
              <w:pStyle w:val="TableText"/>
            </w:pPr>
            <w:r>
              <w:t>55-60</w:t>
            </w:r>
          </w:p>
        </w:tc>
        <w:tc>
          <w:tcPr>
            <w:tcW w:w="1680" w:type="dxa"/>
          </w:tcPr>
          <w:p w:rsidR="00B40966" w:rsidRDefault="00B40966">
            <w:pPr>
              <w:pStyle w:val="TableText"/>
            </w:pPr>
            <w:r>
              <w:t>1</w:t>
            </w:r>
            <w:r>
              <w:rPr>
                <w:position w:val="6"/>
                <w:sz w:val="18"/>
              </w:rPr>
              <w:t>1</w:t>
            </w:r>
            <w:r>
              <w:t>/</w:t>
            </w:r>
            <w:r>
              <w:rPr>
                <w:sz w:val="18"/>
              </w:rPr>
              <w:t>2</w:t>
            </w:r>
            <w:r>
              <w:t xml:space="preserve"> hours</w:t>
            </w:r>
          </w:p>
        </w:tc>
      </w:tr>
    </w:tbl>
    <w:p w:rsidR="00B40966" w:rsidRDefault="00B40966"/>
    <w:p w:rsidR="00B40966" w:rsidRDefault="00B40966">
      <w:pPr>
        <w:pStyle w:val="Amain"/>
        <w:keepNext/>
      </w:pPr>
      <w:r>
        <w:tab/>
        <w:t>(26)</w:t>
      </w:r>
      <w:r>
        <w:tab/>
        <w:t>Provided that—</w:t>
      </w:r>
    </w:p>
    <w:p w:rsidR="00B40966" w:rsidRDefault="00B40966">
      <w:pPr>
        <w:pStyle w:val="Apara"/>
      </w:pPr>
      <w:r>
        <w:tab/>
        <w:t>(a)</w:t>
      </w:r>
      <w:r>
        <w:tab/>
        <w:t xml:space="preserve">the 8 hour and 6 hour working periods each include a meal break of </w:t>
      </w:r>
      <w:r>
        <w:rPr>
          <w:position w:val="6"/>
          <w:sz w:val="18"/>
        </w:rPr>
        <w:t>1</w:t>
      </w:r>
      <w:r>
        <w:t>/</w:t>
      </w:r>
      <w:r>
        <w:rPr>
          <w:sz w:val="18"/>
        </w:rPr>
        <w:t>2</w:t>
      </w:r>
      <w:r>
        <w:t xml:space="preserve"> an hour; and</w:t>
      </w:r>
    </w:p>
    <w:p w:rsidR="00B40966" w:rsidRDefault="00B40966">
      <w:pPr>
        <w:pStyle w:val="Apara"/>
      </w:pPr>
      <w:r>
        <w:tab/>
        <w:t>(b)</w:t>
      </w:r>
      <w:r>
        <w:tab/>
        <w:t>the 8 hour working period includes times required for compression and decompression, but the other working periods shown in table 101 do not include times for those purposes nor time occupied in changing shifts.</w:t>
      </w:r>
    </w:p>
    <w:p w:rsidR="00B40966" w:rsidRDefault="00B40966">
      <w:pPr>
        <w:pStyle w:val="Assectheading"/>
        <w:rPr>
          <w:i w:val="0"/>
        </w:rPr>
      </w:pPr>
      <w:r>
        <w:rPr>
          <w:rStyle w:val="charItals"/>
          <w:i/>
        </w:rPr>
        <w:t>Observation period</w:t>
      </w:r>
    </w:p>
    <w:p w:rsidR="00B40966" w:rsidRDefault="00B40966">
      <w:pPr>
        <w:pStyle w:val="Amain"/>
      </w:pPr>
      <w:r>
        <w:tab/>
        <w:t>(27)</w:t>
      </w:r>
      <w:r>
        <w:tab/>
        <w:t>After decompression from pressures between 25 and 40 pounds per square inch, all persons shall be kept for observation for 45 minutes before leaving the site of the work.</w:t>
      </w:r>
    </w:p>
    <w:p w:rsidR="00B40966" w:rsidRDefault="00B40966">
      <w:pPr>
        <w:pStyle w:val="Amain"/>
      </w:pPr>
      <w:r>
        <w:tab/>
        <w:t>(28)</w:t>
      </w:r>
      <w:r>
        <w:tab/>
        <w:t>This period of detention shall be increased to 1 hour after decompression from pressures between 40 and 60 pounds per square inch.</w:t>
      </w:r>
    </w:p>
    <w:p w:rsidR="00B40966" w:rsidRDefault="00B40966">
      <w:pPr>
        <w:pStyle w:val="Assectheading"/>
        <w:rPr>
          <w:i w:val="0"/>
          <w:color w:val="000000"/>
        </w:rPr>
      </w:pPr>
      <w:r>
        <w:rPr>
          <w:rStyle w:val="charItals"/>
          <w:i/>
        </w:rPr>
        <w:t>Compression</w:t>
      </w:r>
    </w:p>
    <w:p w:rsidR="00B40966" w:rsidRDefault="00B40966">
      <w:pPr>
        <w:pStyle w:val="Amain"/>
        <w:rPr>
          <w:color w:val="000000"/>
        </w:rPr>
      </w:pPr>
      <w:r>
        <w:rPr>
          <w:color w:val="000000"/>
        </w:rPr>
        <w:tab/>
        <w:t>(29)</w:t>
      </w:r>
      <w:r>
        <w:rPr>
          <w:color w:val="000000"/>
        </w:rPr>
        <w:tab/>
        <w:t>During compression the pressure shall be increased gradually and uniformly to ensure that no person is distressed.</w:t>
      </w:r>
    </w:p>
    <w:p w:rsidR="00B40966" w:rsidRDefault="00B40966">
      <w:pPr>
        <w:pStyle w:val="Amain"/>
      </w:pPr>
      <w:r>
        <w:tab/>
        <w:t>(30)</w:t>
      </w:r>
      <w:r>
        <w:tab/>
        <w:t>The rate of compression shall not exceed 5 pounds per square inch per minute.</w:t>
      </w:r>
    </w:p>
    <w:p w:rsidR="00B40966" w:rsidRDefault="00B40966">
      <w:pPr>
        <w:pStyle w:val="Assectheading"/>
        <w:rPr>
          <w:i w:val="0"/>
          <w:color w:val="000000"/>
        </w:rPr>
      </w:pPr>
      <w:r>
        <w:rPr>
          <w:rStyle w:val="charItals"/>
          <w:i/>
        </w:rPr>
        <w:t>Decompression</w:t>
      </w:r>
    </w:p>
    <w:p w:rsidR="00B40966" w:rsidRDefault="00B40966">
      <w:pPr>
        <w:pStyle w:val="Amain"/>
      </w:pPr>
      <w:r>
        <w:rPr>
          <w:color w:val="000000"/>
        </w:rPr>
        <w:tab/>
        <w:t>(31)</w:t>
      </w:r>
      <w:r>
        <w:rPr>
          <w:color w:val="000000"/>
        </w:rPr>
        <w:tab/>
        <w:t>Decompression shall be carried out in accordance with the provisions of schedule 7, table 7.3, provided that at pressures lower than 18 pounds per square inch decompression shall be conducted at a rate that will not inconvenience any person, but shall not be completed in less than 5 minutes.</w:t>
      </w:r>
    </w:p>
    <w:p w:rsidR="00B40966" w:rsidRDefault="00B40966">
      <w:pPr>
        <w:pStyle w:val="Amain"/>
      </w:pPr>
      <w:r>
        <w:tab/>
        <w:t>(32)</w:t>
      </w:r>
      <w:r>
        <w:tab/>
        <w:t>A copy of schedule 7, table 7.3, shall be posted in the man-lock.</w:t>
      </w:r>
    </w:p>
    <w:p w:rsidR="00B40966" w:rsidRDefault="00B40966">
      <w:pPr>
        <w:pStyle w:val="Assectheading"/>
        <w:rPr>
          <w:i w:val="0"/>
          <w:color w:val="000000"/>
        </w:rPr>
      </w:pPr>
      <w:r>
        <w:rPr>
          <w:rStyle w:val="charItals"/>
          <w:i/>
        </w:rPr>
        <w:t>Airlock Attendants</w:t>
      </w:r>
    </w:p>
    <w:p w:rsidR="00B40966" w:rsidRDefault="00B40966">
      <w:pPr>
        <w:pStyle w:val="Amain"/>
      </w:pPr>
      <w:r>
        <w:rPr>
          <w:color w:val="000000"/>
        </w:rPr>
        <w:tab/>
        <w:t>(33)</w:t>
      </w:r>
      <w:r>
        <w:rPr>
          <w:color w:val="000000"/>
        </w:rPr>
        <w:tab/>
        <w:t>Every airlock shall be served only by a reliable, and specially trained and selected person.</w:t>
      </w:r>
    </w:p>
    <w:p w:rsidR="00B40966" w:rsidRDefault="00B40966">
      <w:pPr>
        <w:pStyle w:val="Amain"/>
      </w:pPr>
      <w:r>
        <w:tab/>
        <w:t>(34)</w:t>
      </w:r>
      <w:r>
        <w:tab/>
        <w:t>The airlock attendant, if without previous experience of either working in or controlling airlocks, shall be specially trained.</w:t>
      </w:r>
    </w:p>
    <w:p w:rsidR="00B40966" w:rsidRDefault="00B40966">
      <w:pPr>
        <w:pStyle w:val="Amain"/>
      </w:pPr>
      <w:r>
        <w:tab/>
        <w:t>(35)</w:t>
      </w:r>
      <w:r>
        <w:tab/>
        <w:t>The airlock attendant shall at no time operate more than 1 man</w:t>
      </w:r>
      <w:r>
        <w:noBreakHyphen/>
        <w:t>lock.</w:t>
      </w:r>
    </w:p>
    <w:p w:rsidR="00B40966" w:rsidRDefault="00B40966">
      <w:pPr>
        <w:pStyle w:val="Amain"/>
      </w:pPr>
      <w:r>
        <w:tab/>
        <w:t>(36)</w:t>
      </w:r>
      <w:r>
        <w:tab/>
        <w:t>The airlock attendant shall remain outside the lock near the entrance, and shall not be employed for more than 8 hours in any 24 hours.</w:t>
      </w:r>
    </w:p>
    <w:p w:rsidR="00B40966" w:rsidRDefault="00B40966">
      <w:pPr>
        <w:pStyle w:val="Assectheading"/>
        <w:rPr>
          <w:i w:val="0"/>
        </w:rPr>
      </w:pPr>
      <w:r>
        <w:rPr>
          <w:rStyle w:val="charItals"/>
          <w:i/>
        </w:rPr>
        <w:t>Airlock records</w:t>
      </w:r>
    </w:p>
    <w:p w:rsidR="00B40966" w:rsidRDefault="00B40966">
      <w:pPr>
        <w:pStyle w:val="Amain"/>
      </w:pPr>
      <w:r>
        <w:tab/>
        <w:t>(37)</w:t>
      </w:r>
      <w:r>
        <w:tab/>
        <w:t>A record of workers employed in compressed air shall be kept.</w:t>
      </w:r>
    </w:p>
    <w:p w:rsidR="00B40966" w:rsidRDefault="00B40966">
      <w:pPr>
        <w:pStyle w:val="Amain"/>
      </w:pPr>
      <w:r>
        <w:tab/>
        <w:t>(38)</w:t>
      </w:r>
      <w:r>
        <w:tab/>
        <w:t>This record shall show for each employee the period of stay in the working chamber, the gauge pressure and the time taken for decompression.</w:t>
      </w:r>
    </w:p>
    <w:p w:rsidR="00B40966" w:rsidRDefault="00B40966">
      <w:pPr>
        <w:pStyle w:val="Assectheading"/>
        <w:rPr>
          <w:i w:val="0"/>
        </w:rPr>
      </w:pPr>
      <w:r>
        <w:rPr>
          <w:rStyle w:val="charItals"/>
          <w:i/>
        </w:rPr>
        <w:t>Man-lock—size</w:t>
      </w:r>
    </w:p>
    <w:p w:rsidR="00B40966" w:rsidRDefault="00B40966">
      <w:pPr>
        <w:pStyle w:val="Amain"/>
        <w:keepLines/>
      </w:pPr>
      <w:r>
        <w:tab/>
        <w:t>(39)</w:t>
      </w:r>
      <w:r>
        <w:tab/>
        <w:t>The chambers serving for compression and decompression shall be of such dimensions that the space available to each person using the chambers at any time shall be at least equal to 16 cubic feet with a minimum floor space of 3 square feet per person.</w:t>
      </w:r>
    </w:p>
    <w:p w:rsidR="00B40966" w:rsidRDefault="00B40966">
      <w:pPr>
        <w:pStyle w:val="Assectheading"/>
        <w:rPr>
          <w:i w:val="0"/>
        </w:rPr>
      </w:pPr>
      <w:r>
        <w:rPr>
          <w:rStyle w:val="charItals"/>
          <w:i/>
        </w:rPr>
        <w:t>Man-lock—access</w:t>
      </w:r>
    </w:p>
    <w:p w:rsidR="00B40966" w:rsidRDefault="00B40966">
      <w:pPr>
        <w:pStyle w:val="Amain"/>
      </w:pPr>
      <w:r>
        <w:tab/>
        <w:t>(40)</w:t>
      </w:r>
      <w:r>
        <w:tab/>
        <w:t>The door between the man-lock and the working chamber shall remain open except during compression and decompression and during the procedure of passing material through the lock.</w:t>
      </w:r>
    </w:p>
    <w:p w:rsidR="00B40966" w:rsidRDefault="00B40966">
      <w:pPr>
        <w:pStyle w:val="Amain"/>
      </w:pPr>
      <w:r>
        <w:tab/>
        <w:t>(41)</w:t>
      </w:r>
      <w:r>
        <w:tab/>
        <w:t>A ladder conforming to the requirements of this regulation shall be available for access to and from the working chambers.</w:t>
      </w:r>
    </w:p>
    <w:p w:rsidR="00B40966" w:rsidRDefault="00B40966">
      <w:pPr>
        <w:pStyle w:val="Assectheading"/>
        <w:rPr>
          <w:i w:val="0"/>
        </w:rPr>
      </w:pPr>
      <w:r>
        <w:rPr>
          <w:rStyle w:val="charItals"/>
          <w:i/>
        </w:rPr>
        <w:t>Man-lock—fittings</w:t>
      </w:r>
    </w:p>
    <w:p w:rsidR="00B40966" w:rsidRDefault="00B40966">
      <w:pPr>
        <w:pStyle w:val="Amain"/>
      </w:pPr>
      <w:r>
        <w:tab/>
        <w:t>(42)</w:t>
      </w:r>
      <w:r>
        <w:tab/>
        <w:t>Every lock in which persons are compressed or decompressed shall be fitted with a suitable instrument panel on which shall be mounted the necessary pressure gauges in duplicate, an accurate timepiece, and decompression tables or charts.</w:t>
      </w:r>
    </w:p>
    <w:p w:rsidR="00B40966" w:rsidRDefault="00B40966">
      <w:pPr>
        <w:pStyle w:val="Amain"/>
      </w:pPr>
      <w:r>
        <w:tab/>
        <w:t>(43)</w:t>
      </w:r>
      <w:r>
        <w:tab/>
        <w:t>The instrument panel shall be adequately lighted.</w:t>
      </w:r>
    </w:p>
    <w:p w:rsidR="00B40966" w:rsidRDefault="00B40966">
      <w:pPr>
        <w:pStyle w:val="Amain"/>
      </w:pPr>
      <w:r>
        <w:tab/>
        <w:t>(44)</w:t>
      </w:r>
      <w:r>
        <w:tab/>
        <w:t>The man-lock shall be fitted with valves both inside and outside the lock.</w:t>
      </w:r>
    </w:p>
    <w:p w:rsidR="00B40966" w:rsidRDefault="00B40966">
      <w:pPr>
        <w:pStyle w:val="Amain"/>
      </w:pPr>
      <w:r>
        <w:tab/>
        <w:t>(45)</w:t>
      </w:r>
      <w:r>
        <w:tab/>
        <w:t>The valves to which the airlock attendant has no access shall be sealed in a box provided with a glass panel that can be broken to permit the use of the valves in case of emergency.</w:t>
      </w:r>
    </w:p>
    <w:p w:rsidR="00B40966" w:rsidRDefault="00B40966">
      <w:pPr>
        <w:pStyle w:val="Amain"/>
      </w:pPr>
      <w:r>
        <w:tab/>
        <w:t>(46)</w:t>
      </w:r>
      <w:r>
        <w:tab/>
        <w:t>Except in cases of emergency valves shall be operated only by the airlock attendant.</w:t>
      </w:r>
    </w:p>
    <w:p w:rsidR="00B40966" w:rsidRDefault="00B40966">
      <w:pPr>
        <w:pStyle w:val="Assectheading"/>
        <w:rPr>
          <w:i w:val="0"/>
        </w:rPr>
      </w:pPr>
      <w:r>
        <w:rPr>
          <w:rStyle w:val="charItals"/>
          <w:i/>
        </w:rPr>
        <w:t>Regulation of temperature in airlock</w:t>
      </w:r>
    </w:p>
    <w:p w:rsidR="00B40966" w:rsidRDefault="00B40966">
      <w:pPr>
        <w:pStyle w:val="Amain"/>
        <w:keepLines/>
      </w:pPr>
      <w:r>
        <w:tab/>
        <w:t>(47)</w:t>
      </w:r>
      <w:r>
        <w:tab/>
        <w:t>The temperature in every airlock shall be regulated as required by heating or by protection against loss of heat, or by protection against the direct rays of the sun by means of a covering that can be sprayed with water.</w:t>
      </w:r>
    </w:p>
    <w:p w:rsidR="00B40966" w:rsidRDefault="00B40966">
      <w:pPr>
        <w:pStyle w:val="Assectheading"/>
        <w:rPr>
          <w:i w:val="0"/>
        </w:rPr>
      </w:pPr>
      <w:r>
        <w:rPr>
          <w:rStyle w:val="charItals"/>
          <w:i/>
        </w:rPr>
        <w:t>Communication</w:t>
      </w:r>
    </w:p>
    <w:p w:rsidR="00B40966" w:rsidRDefault="00B40966">
      <w:pPr>
        <w:pStyle w:val="Amain"/>
      </w:pPr>
      <w:r>
        <w:tab/>
        <w:t>(48)</w:t>
      </w:r>
      <w:r>
        <w:tab/>
        <w:t>The working chamber and the airlock shall be in telephonic communication at all times with the airlock attendant, who shall also be provided with telephonic or other satisfactory means of communicating with the contractor or his or her representative on the works.</w:t>
      </w:r>
    </w:p>
    <w:p w:rsidR="00B40966" w:rsidRDefault="00B40966">
      <w:pPr>
        <w:pStyle w:val="Amain"/>
      </w:pPr>
      <w:r>
        <w:tab/>
        <w:t>(49)</w:t>
      </w:r>
      <w:r>
        <w:tab/>
        <w:t>The contractor shall depute a representative to be at all times available for communication with the airlock attendant.</w:t>
      </w:r>
    </w:p>
    <w:p w:rsidR="00B40966" w:rsidRDefault="00B40966">
      <w:pPr>
        <w:pStyle w:val="Amain"/>
      </w:pPr>
      <w:r>
        <w:tab/>
        <w:t>(50)</w:t>
      </w:r>
      <w:r>
        <w:tab/>
        <w:t>In the event of telephone failure, signals shall be transmitted by tapping.</w:t>
      </w:r>
    </w:p>
    <w:p w:rsidR="00B40966" w:rsidRDefault="00B40966">
      <w:pPr>
        <w:pStyle w:val="Amain"/>
      </w:pPr>
      <w:r>
        <w:tab/>
        <w:t>(51)</w:t>
      </w:r>
      <w:r>
        <w:tab/>
        <w:t>A suitable code of signals shall be formulated on the job and a copy of this code shall be posted inside and outside the man-lock.</w:t>
      </w:r>
    </w:p>
    <w:p w:rsidR="00B40966" w:rsidRDefault="00B40966">
      <w:pPr>
        <w:pStyle w:val="Assectheading"/>
        <w:rPr>
          <w:i w:val="0"/>
        </w:rPr>
      </w:pPr>
      <w:r>
        <w:rPr>
          <w:rStyle w:val="charItals"/>
          <w:i/>
        </w:rPr>
        <w:t>Height of working chamber</w:t>
      </w:r>
    </w:p>
    <w:p w:rsidR="00B40966" w:rsidRDefault="00B40966">
      <w:pPr>
        <w:pStyle w:val="Amain"/>
      </w:pPr>
      <w:r>
        <w:tab/>
        <w:t>(52)</w:t>
      </w:r>
      <w:r>
        <w:tab/>
        <w:t>The height of the working chamber, measured between the roof and the lower cutting edge, shall be at least 8 feet.</w:t>
      </w:r>
    </w:p>
    <w:p w:rsidR="00B40966" w:rsidRDefault="00B40966">
      <w:pPr>
        <w:pStyle w:val="Assectheading"/>
        <w:rPr>
          <w:i w:val="0"/>
        </w:rPr>
      </w:pPr>
      <w:r>
        <w:rPr>
          <w:rStyle w:val="charItals"/>
          <w:i/>
        </w:rPr>
        <w:t>Medical lock</w:t>
      </w:r>
    </w:p>
    <w:p w:rsidR="00B40966" w:rsidRDefault="00B40966">
      <w:pPr>
        <w:pStyle w:val="Amain"/>
      </w:pPr>
      <w:r>
        <w:tab/>
        <w:t>(53)</w:t>
      </w:r>
      <w:r>
        <w:tab/>
        <w:t>A medical lock at least 5 feet in diameter shall be provided when work is being carried out at a pressure of 25 pounds per square inch or over.</w:t>
      </w:r>
    </w:p>
    <w:p w:rsidR="00B40966" w:rsidRDefault="00B40966">
      <w:pPr>
        <w:pStyle w:val="Amain"/>
      </w:pPr>
      <w:r>
        <w:tab/>
        <w:t>(54)</w:t>
      </w:r>
      <w:r>
        <w:tab/>
        <w:t>Should any case of compressed air illness occur when the working pressure is less than 25 pounds per square inch it may be dealt with in the man-lock.</w:t>
      </w:r>
    </w:p>
    <w:p w:rsidR="00B40966" w:rsidRDefault="00B40966">
      <w:pPr>
        <w:pStyle w:val="Amain"/>
      </w:pPr>
      <w:r>
        <w:tab/>
        <w:t>(55)</w:t>
      </w:r>
      <w:r>
        <w:tab/>
        <w:t>The medical lock shall have 2 compartments, so that entry may be obtained to the inner chamber while it is under pressure.</w:t>
      </w:r>
    </w:p>
    <w:p w:rsidR="00B40966" w:rsidRDefault="00B40966">
      <w:pPr>
        <w:pStyle w:val="Amain"/>
      </w:pPr>
      <w:r>
        <w:tab/>
        <w:t>(56)</w:t>
      </w:r>
      <w:r>
        <w:tab/>
        <w:t>The medical lock shall be adequately ventilated, protected from the direct rays of the sun or adequately heated if required, and it shall be adequately lighted.</w:t>
      </w:r>
    </w:p>
    <w:p w:rsidR="00B40966" w:rsidRDefault="00B40966">
      <w:pPr>
        <w:pStyle w:val="Amain"/>
      </w:pPr>
      <w:r>
        <w:tab/>
        <w:t>(57)</w:t>
      </w:r>
      <w:r>
        <w:tab/>
        <w:t>The lock and its equipment shall be kept in a clean state.</w:t>
      </w:r>
    </w:p>
    <w:p w:rsidR="00B40966" w:rsidRDefault="00B40966">
      <w:pPr>
        <w:pStyle w:val="Amain"/>
      </w:pPr>
      <w:r>
        <w:tab/>
        <w:t>(58)</w:t>
      </w:r>
      <w:r>
        <w:tab/>
        <w:t>The medical lock shall be provided with suitable equipment, including a couch not less than 6 feet in length, clean blankets, dry woollen garments, a food lock and a telephone.</w:t>
      </w:r>
    </w:p>
    <w:p w:rsidR="00B40966" w:rsidRDefault="00B40966">
      <w:pPr>
        <w:pStyle w:val="Amain"/>
      </w:pPr>
      <w:r>
        <w:tab/>
        <w:t>(59)</w:t>
      </w:r>
      <w:r>
        <w:tab/>
        <w:t>The medical lock shall be located within the immediate vicinity of the works and arrangements shall be made to ensure that the lock is ready for operation during the 12 hours after the end of any shift.</w:t>
      </w:r>
    </w:p>
    <w:p w:rsidR="00B40966" w:rsidRDefault="00B40966">
      <w:pPr>
        <w:pStyle w:val="Amain"/>
      </w:pPr>
      <w:r>
        <w:tab/>
        <w:t>(60)</w:t>
      </w:r>
      <w:r>
        <w:tab/>
        <w:t>The medical lock shall be equipped with a small glazed aperture so that a patient under treatment in the lock can be kept under observation by the attendant from outside the lock.</w:t>
      </w:r>
    </w:p>
    <w:p w:rsidR="00B40966" w:rsidRDefault="00B40966">
      <w:pPr>
        <w:pStyle w:val="Amain"/>
      </w:pPr>
      <w:r>
        <w:tab/>
        <w:t>(61)</w:t>
      </w:r>
      <w:r>
        <w:tab/>
        <w:t>It shall be provided with a pressure gauge and an accurate timepiece for each compartment.</w:t>
      </w:r>
    </w:p>
    <w:p w:rsidR="00B40966" w:rsidRDefault="00B40966">
      <w:pPr>
        <w:pStyle w:val="Amain"/>
      </w:pPr>
      <w:r>
        <w:tab/>
        <w:t>(62)</w:t>
      </w:r>
      <w:r>
        <w:tab/>
        <w:t>The timepiece and pressure gauge for the main compartment shall be in such a position that they can be readily seen by the attendant whether the attendant is inside or outside the lock.</w:t>
      </w:r>
    </w:p>
    <w:p w:rsidR="00B40966" w:rsidRDefault="00B40966">
      <w:pPr>
        <w:pStyle w:val="Assectheading"/>
        <w:rPr>
          <w:i w:val="0"/>
        </w:rPr>
      </w:pPr>
      <w:r>
        <w:rPr>
          <w:rStyle w:val="charItals"/>
          <w:i/>
        </w:rPr>
        <w:t>Lighting</w:t>
      </w:r>
    </w:p>
    <w:p w:rsidR="00B40966" w:rsidRDefault="00B40966">
      <w:pPr>
        <w:pStyle w:val="Amain"/>
      </w:pPr>
      <w:r>
        <w:tab/>
        <w:t>(63)</w:t>
      </w:r>
      <w:r>
        <w:tab/>
        <w:t>All lighting in compressed air chambers shall be by electricity only, except in case of emergency.</w:t>
      </w:r>
    </w:p>
    <w:p w:rsidR="00B40966" w:rsidRDefault="00B40966">
      <w:pPr>
        <w:pStyle w:val="Amain"/>
      </w:pPr>
      <w:r>
        <w:tab/>
        <w:t>(64)</w:t>
      </w:r>
      <w:r>
        <w:tab/>
        <w:t>One man in an airlock shall be provided with an electric pocket lamp, and candles and damp-proof matches shall be provided in the working chamber and in each airlock.</w:t>
      </w:r>
    </w:p>
    <w:p w:rsidR="00B40966" w:rsidRDefault="00B40966">
      <w:pPr>
        <w:pStyle w:val="Amain"/>
      </w:pPr>
      <w:r>
        <w:tab/>
        <w:t>(65)</w:t>
      </w:r>
      <w:r>
        <w:tab/>
        <w:t>All portable incandescent lamps shall be guarded by a wire cage large enough to enclose both lamp and socket.</w:t>
      </w:r>
    </w:p>
    <w:p w:rsidR="00B40966" w:rsidRDefault="00B40966">
      <w:pPr>
        <w:pStyle w:val="Amain"/>
      </w:pPr>
      <w:r>
        <w:tab/>
        <w:t>(66)</w:t>
      </w:r>
      <w:r>
        <w:tab/>
        <w:t>The lamps shall be constructed in accordance with the provisions of Standards Australia, Approval and Test Specification No C. 118, entitled Electric Hand-Lamps.</w:t>
      </w:r>
    </w:p>
    <w:p w:rsidR="00B40966" w:rsidRDefault="00B40966">
      <w:pPr>
        <w:pStyle w:val="Assectheading"/>
        <w:rPr>
          <w:i w:val="0"/>
        </w:rPr>
      </w:pPr>
      <w:r>
        <w:rPr>
          <w:rStyle w:val="charItals"/>
          <w:i/>
        </w:rPr>
        <w:t>Electric installation</w:t>
      </w:r>
      <w:r>
        <w:rPr>
          <w:i w:val="0"/>
        </w:rPr>
        <w:t>—</w:t>
      </w:r>
      <w:r>
        <w:rPr>
          <w:rStyle w:val="charItals"/>
          <w:i/>
        </w:rPr>
        <w:t>voltage</w:t>
      </w:r>
    </w:p>
    <w:p w:rsidR="00B40966" w:rsidRDefault="00B40966">
      <w:pPr>
        <w:pStyle w:val="Amain"/>
      </w:pPr>
      <w:r>
        <w:tab/>
        <w:t>(67)</w:t>
      </w:r>
      <w:r>
        <w:tab/>
        <w:t>The voltage used for electrical apparatus and lights in compressed air chambers shall not exceed 32V for alternating current supply and 50V for direct current supply.</w:t>
      </w:r>
    </w:p>
    <w:p w:rsidR="00B40966" w:rsidRDefault="00B40966">
      <w:pPr>
        <w:pStyle w:val="Assectheading"/>
        <w:rPr>
          <w:i w:val="0"/>
        </w:rPr>
      </w:pPr>
      <w:r>
        <w:rPr>
          <w:rStyle w:val="charItals"/>
          <w:i/>
        </w:rPr>
        <w:t>Electric installation</w:t>
      </w:r>
      <w:r>
        <w:rPr>
          <w:i w:val="0"/>
        </w:rPr>
        <w:t>—</w:t>
      </w:r>
      <w:r>
        <w:rPr>
          <w:rStyle w:val="charItals"/>
          <w:i/>
        </w:rPr>
        <w:t>wiring</w:t>
      </w:r>
    </w:p>
    <w:p w:rsidR="00B40966" w:rsidRDefault="00B40966">
      <w:pPr>
        <w:pStyle w:val="Amain"/>
      </w:pPr>
      <w:r>
        <w:tab/>
        <w:t>(68)</w:t>
      </w:r>
      <w:r>
        <w:tab/>
        <w:t>Except as otherwise provided in this regulation, all wiring for light and power circuits shall comply with the requirements of the Standards Australia Wiring Rules for damp or hazardous locations.</w:t>
      </w:r>
    </w:p>
    <w:p w:rsidR="00B40966" w:rsidRDefault="00B40966">
      <w:pPr>
        <w:pStyle w:val="Assectheading"/>
        <w:rPr>
          <w:i w:val="0"/>
        </w:rPr>
      </w:pPr>
      <w:r>
        <w:rPr>
          <w:rStyle w:val="charItals"/>
          <w:i/>
        </w:rPr>
        <w:t>Air supply</w:t>
      </w:r>
    </w:p>
    <w:p w:rsidR="00B40966" w:rsidRDefault="00B40966">
      <w:pPr>
        <w:pStyle w:val="Amain"/>
      </w:pPr>
      <w:r>
        <w:tab/>
        <w:t>(69)</w:t>
      </w:r>
      <w:r>
        <w:tab/>
        <w:t>A minimum of 25 cubic feet of clean fresh air shall be supplied per minute to each worker in the working chamber, and a minimum of 10 cubic feet per minute to each worker in the man-lock.</w:t>
      </w:r>
    </w:p>
    <w:p w:rsidR="00B40966" w:rsidRDefault="00B40966">
      <w:pPr>
        <w:pStyle w:val="Amain"/>
      </w:pPr>
      <w:r>
        <w:tab/>
        <w:t>(70)</w:t>
      </w:r>
      <w:r>
        <w:tab/>
        <w:t>In the event of a failure of the air supply exceeding 5 minutes in duration, all workers shall be withdrawn from the working chamber.</w:t>
      </w:r>
    </w:p>
    <w:p w:rsidR="00B40966" w:rsidRDefault="00B40966">
      <w:pPr>
        <w:pStyle w:val="Assectheading"/>
        <w:rPr>
          <w:i w:val="0"/>
        </w:rPr>
      </w:pPr>
      <w:r>
        <w:rPr>
          <w:rStyle w:val="charItals"/>
          <w:i/>
        </w:rPr>
        <w:t>Free air intake</w:t>
      </w:r>
    </w:p>
    <w:p w:rsidR="00B40966" w:rsidRDefault="00B40966">
      <w:pPr>
        <w:pStyle w:val="Amain"/>
      </w:pPr>
      <w:r>
        <w:tab/>
        <w:t>(71)</w:t>
      </w:r>
      <w:r>
        <w:tab/>
        <w:t>The free air intake shall be so situatedd as to ensure an ample supply of clean, fresh air.</w:t>
      </w:r>
    </w:p>
    <w:p w:rsidR="00B40966" w:rsidRDefault="00B40966">
      <w:pPr>
        <w:pStyle w:val="Amain"/>
      </w:pPr>
      <w:r>
        <w:tab/>
        <w:t>(72)</w:t>
      </w:r>
      <w:r>
        <w:tab/>
        <w:t>Care shall be taken to avoid contamination of the air by fumes from the exhausts of compression ignition and internal-combustion engines and from all other sources.</w:t>
      </w:r>
    </w:p>
    <w:p w:rsidR="00B40966" w:rsidRDefault="00B40966">
      <w:pPr>
        <w:pStyle w:val="Assectheading"/>
        <w:rPr>
          <w:i w:val="0"/>
        </w:rPr>
      </w:pPr>
      <w:r>
        <w:rPr>
          <w:rStyle w:val="charItals"/>
          <w:i/>
        </w:rPr>
        <w:t>Purification and refrigeration of compressed air</w:t>
      </w:r>
    </w:p>
    <w:p w:rsidR="00B40966" w:rsidRDefault="00B40966">
      <w:pPr>
        <w:pStyle w:val="Amain"/>
      </w:pPr>
      <w:r>
        <w:tab/>
        <w:t>(73)</w:t>
      </w:r>
      <w:r>
        <w:tab/>
        <w:t>An approved oil separator shall be used between the compressor and the air receiver and an approved air filter shall be placed between the air receiver and the working chamber.</w:t>
      </w:r>
    </w:p>
    <w:p w:rsidR="00B40966" w:rsidRDefault="00B40966">
      <w:pPr>
        <w:pStyle w:val="Amain"/>
      </w:pPr>
      <w:r>
        <w:tab/>
        <w:t>(74)</w:t>
      </w:r>
      <w:r>
        <w:tab/>
        <w:t>The air shall be cooled after compression, if necessary, to ensure that the temperature in the working chamber does not exceed 80</w:t>
      </w:r>
      <w:r>
        <w:rPr>
          <w:rFonts w:ascii="Helvetica" w:hAnsi="Helvetica"/>
        </w:rPr>
        <w:t>°</w:t>
      </w:r>
      <w:r>
        <w:t xml:space="preserve"> Fahrenheit when measured with a dry bulb thermometer.</w:t>
      </w:r>
    </w:p>
    <w:p w:rsidR="00B40966" w:rsidRDefault="00B40966">
      <w:pPr>
        <w:pStyle w:val="Assectheading"/>
        <w:rPr>
          <w:i w:val="0"/>
        </w:rPr>
      </w:pPr>
      <w:r>
        <w:rPr>
          <w:rStyle w:val="charItals"/>
          <w:i/>
        </w:rPr>
        <w:t>Compressed air plant</w:t>
      </w:r>
    </w:p>
    <w:p w:rsidR="00B40966" w:rsidRDefault="00B40966">
      <w:pPr>
        <w:pStyle w:val="Amain"/>
      </w:pPr>
      <w:r>
        <w:tab/>
        <w:t>(75)</w:t>
      </w:r>
      <w:r>
        <w:tab/>
        <w:t>If the air compressor, used for supplying air under pressure for the purposes of compressed air work in caissons is driven by electric power, stand-by compressor plant shall be provided and shall be of the capacity that in the event of failure of the electrically-driven units at least 50% of the air supply may be maintained.</w:t>
      </w:r>
    </w:p>
    <w:p w:rsidR="00B40966" w:rsidRDefault="00B40966">
      <w:pPr>
        <w:pStyle w:val="Amain"/>
      </w:pPr>
      <w:r>
        <w:tab/>
        <w:t>(76)</w:t>
      </w:r>
      <w:r>
        <w:tab/>
        <w:t>With other than electrically-powered compressors not more than 50% of the compressor units shall be driven from any 1 power unit and, if practicable, the power units shall be interchangeable.</w:t>
      </w:r>
    </w:p>
    <w:p w:rsidR="00B40966" w:rsidRDefault="00B40966">
      <w:pPr>
        <w:pStyle w:val="Assectheading"/>
        <w:rPr>
          <w:i w:val="0"/>
        </w:rPr>
      </w:pPr>
      <w:r>
        <w:rPr>
          <w:rStyle w:val="charItals"/>
          <w:i/>
        </w:rPr>
        <w:t>Air lines and fittings</w:t>
      </w:r>
    </w:p>
    <w:p w:rsidR="00B40966" w:rsidRDefault="00B40966">
      <w:pPr>
        <w:pStyle w:val="Amain"/>
      </w:pPr>
      <w:r>
        <w:tab/>
        <w:t>(77)</w:t>
      </w:r>
      <w:r>
        <w:tab/>
        <w:t>Each air line shall be equipped with the following fittings connected in the following order:</w:t>
      </w:r>
    </w:p>
    <w:p w:rsidR="00B40966" w:rsidRDefault="00B40966">
      <w:pPr>
        <w:pStyle w:val="Apara"/>
      </w:pPr>
      <w:r>
        <w:tab/>
        <w:t>(a)</w:t>
      </w:r>
      <w:r>
        <w:tab/>
        <w:t>an air receiver of such capacity as to be capable of delivering at least 50 cubic feet of air to the working chamber at normal working pressure, for the purpose of reserve storage in the event of failure of the compressor plant;</w:t>
      </w:r>
    </w:p>
    <w:p w:rsidR="00B40966" w:rsidRDefault="00B40966">
      <w:pPr>
        <w:pStyle w:val="Apara"/>
      </w:pPr>
      <w:r>
        <w:tab/>
        <w:t>(b)</w:t>
      </w:r>
      <w:r>
        <w:tab/>
        <w:t>a stop valve;</w:t>
      </w:r>
    </w:p>
    <w:p w:rsidR="00B40966" w:rsidRDefault="00B40966">
      <w:pPr>
        <w:pStyle w:val="Apara"/>
      </w:pPr>
      <w:r>
        <w:tab/>
        <w:t>(c)</w:t>
      </w:r>
      <w:r>
        <w:tab/>
        <w:t>a pressure-reducing valve located close to the man-lock;</w:t>
      </w:r>
    </w:p>
    <w:p w:rsidR="00B40966" w:rsidRDefault="00B40966">
      <w:pPr>
        <w:pStyle w:val="Apara"/>
      </w:pPr>
      <w:r>
        <w:tab/>
        <w:t>(d)</w:t>
      </w:r>
      <w:r>
        <w:tab/>
        <w:t>a non-return valve located close to the man-lock.</w:t>
      </w:r>
    </w:p>
    <w:p w:rsidR="00B40966" w:rsidRDefault="00B40966">
      <w:pPr>
        <w:pStyle w:val="Amain"/>
      </w:pPr>
      <w:r>
        <w:tab/>
        <w:t>(78)</w:t>
      </w:r>
      <w:r>
        <w:tab/>
        <w:t>The air supply shall be through duplicate air lines between the air receiver and the working chamber.</w:t>
      </w:r>
    </w:p>
    <w:p w:rsidR="00B40966" w:rsidRDefault="00B40966">
      <w:pPr>
        <w:pStyle w:val="Amain"/>
      </w:pPr>
      <w:r>
        <w:tab/>
        <w:t>(79)</w:t>
      </w:r>
      <w:r>
        <w:tab/>
        <w:t>An adjustable safety valve shall be fitted on the outside of the airlock, exhausting to the outside air.</w:t>
      </w:r>
    </w:p>
    <w:p w:rsidR="00B40966" w:rsidRDefault="00B40966">
      <w:pPr>
        <w:pStyle w:val="Assectheading"/>
        <w:rPr>
          <w:i w:val="0"/>
        </w:rPr>
      </w:pPr>
      <w:r>
        <w:rPr>
          <w:rStyle w:val="charItals"/>
          <w:i/>
        </w:rPr>
        <w:t>Testing of equipment</w:t>
      </w:r>
      <w:r>
        <w:rPr>
          <w:i w:val="0"/>
        </w:rPr>
        <w:t>—</w:t>
      </w:r>
      <w:r>
        <w:rPr>
          <w:rStyle w:val="charItals"/>
          <w:i/>
        </w:rPr>
        <w:t>general</w:t>
      </w:r>
    </w:p>
    <w:p w:rsidR="00B40966" w:rsidRDefault="00B40966">
      <w:pPr>
        <w:pStyle w:val="Amain"/>
      </w:pPr>
      <w:r>
        <w:tab/>
        <w:t>(80)</w:t>
      </w:r>
      <w:r>
        <w:tab/>
        <w:t>All airlocks, shafts and air receivers shall be subjected to test in accordance with the provisions of the Australian Standard Rules recommended for the Design, Construction, Inspection and Operation of Boilers and Unfired Pressure Vessels and their Appurtenances published by Standards Australia as revised in May, 1942.</w:t>
      </w:r>
    </w:p>
    <w:p w:rsidR="00B40966" w:rsidRDefault="00B40966">
      <w:pPr>
        <w:pStyle w:val="Assectheading"/>
        <w:rPr>
          <w:i w:val="0"/>
        </w:rPr>
      </w:pPr>
      <w:r>
        <w:rPr>
          <w:rStyle w:val="charItals"/>
          <w:i/>
        </w:rPr>
        <w:t>Testing of equipment</w:t>
      </w:r>
      <w:r>
        <w:rPr>
          <w:i w:val="0"/>
        </w:rPr>
        <w:t>—</w:t>
      </w:r>
      <w:r>
        <w:rPr>
          <w:rStyle w:val="charItals"/>
          <w:i/>
        </w:rPr>
        <w:t>pressure gauges</w:t>
      </w:r>
    </w:p>
    <w:p w:rsidR="00B40966" w:rsidRDefault="00B40966">
      <w:pPr>
        <w:pStyle w:val="Amain"/>
      </w:pPr>
      <w:r>
        <w:tab/>
        <w:t>(81)</w:t>
      </w:r>
      <w:r>
        <w:tab/>
        <w:t>Pressure gauges shall be installed and tested in accordance with the relevant provisions of the rules mentioned in subsection (80).</w:t>
      </w:r>
    </w:p>
    <w:p w:rsidR="00B40966" w:rsidRDefault="00B40966">
      <w:pPr>
        <w:pStyle w:val="Assectheading"/>
        <w:rPr>
          <w:i w:val="0"/>
        </w:rPr>
      </w:pPr>
      <w:r>
        <w:rPr>
          <w:rStyle w:val="charItals"/>
          <w:i/>
        </w:rPr>
        <w:t>Change rooms</w:t>
      </w:r>
    </w:p>
    <w:p w:rsidR="00B40966" w:rsidRDefault="00B40966">
      <w:pPr>
        <w:pStyle w:val="Amain"/>
      </w:pPr>
      <w:r>
        <w:tab/>
        <w:t>(82)</w:t>
      </w:r>
      <w:r>
        <w:tab/>
        <w:t xml:space="preserve">Without prejudice to the requirements of part 10 (which </w:t>
      </w:r>
      <w:r>
        <w:rPr>
          <w:rStyle w:val="charItals"/>
          <w:i w:val="0"/>
        </w:rPr>
        <w:t>among other things</w:t>
      </w:r>
      <w:r>
        <w:t xml:space="preserve"> relates to the provision of certain accommodation for the health of persons) there shall be provided and maintained for the use of persons employed in compressed air work in caissons—</w:t>
      </w:r>
    </w:p>
    <w:p w:rsidR="00B40966" w:rsidRDefault="00B40966">
      <w:pPr>
        <w:pStyle w:val="Apara"/>
      </w:pPr>
      <w:r>
        <w:tab/>
        <w:t>(a)</w:t>
      </w:r>
      <w:r>
        <w:tab/>
        <w:t>properly heated, lighted and ventilated change rooms and drying rooms; and</w:t>
      </w:r>
    </w:p>
    <w:p w:rsidR="00B40966" w:rsidRDefault="00B40966">
      <w:pPr>
        <w:pStyle w:val="Apara"/>
      </w:pPr>
      <w:r>
        <w:tab/>
        <w:t>(b)</w:t>
      </w:r>
      <w:r>
        <w:tab/>
        <w:t>bathing accommodation, namely 1 shower equipped with running hot and cold water for every 8 men employed on the same shift and 1 for every 8 women employed on the same shift, and 1 for any number less than 8 such men or women, as the case requires; and</w:t>
      </w:r>
    </w:p>
    <w:p w:rsidR="00B40966" w:rsidRDefault="00B40966">
      <w:pPr>
        <w:pStyle w:val="Apara"/>
        <w:keepLines/>
      </w:pPr>
      <w:r>
        <w:tab/>
        <w:t>(c)</w:t>
      </w:r>
      <w:r>
        <w:tab/>
        <w:t>suitable and adequate earth or water closets at the rate of 1 closet for every 10 men employed on the same shift and 1 for every 10 women employed on the same shift, and 1 for any number less than 10 such men or women, as the case requires.</w:t>
      </w:r>
    </w:p>
    <w:p w:rsidR="00B40966" w:rsidRDefault="00B40966">
      <w:pPr>
        <w:pStyle w:val="Assectheading"/>
        <w:rPr>
          <w:i w:val="0"/>
        </w:rPr>
      </w:pPr>
      <w:r>
        <w:rPr>
          <w:rStyle w:val="charItals"/>
          <w:i/>
        </w:rPr>
        <w:t>Information to be posted in change room</w:t>
      </w:r>
    </w:p>
    <w:p w:rsidR="00B40966" w:rsidRDefault="00B40966">
      <w:pPr>
        <w:pStyle w:val="Amain"/>
      </w:pPr>
      <w:r>
        <w:tab/>
        <w:t>(83)</w:t>
      </w:r>
      <w:r>
        <w:tab/>
        <w:t>A copy of the following information shall be posted in the change room for the information and instruction of persons engaged in compressed air work in caissons:</w:t>
      </w:r>
    </w:p>
    <w:p w:rsidR="00B40966" w:rsidRDefault="00B40966">
      <w:pPr>
        <w:pStyle w:val="Apara"/>
      </w:pPr>
      <w:r>
        <w:tab/>
        <w:t>(a)</w:t>
      </w:r>
      <w:r>
        <w:tab/>
        <w:t>schedule 9, concerning the Symptoms and Treatment of Compressed Air Illness;</w:t>
      </w:r>
    </w:p>
    <w:p w:rsidR="00B40966" w:rsidRDefault="00B40966">
      <w:pPr>
        <w:pStyle w:val="Apara"/>
      </w:pPr>
      <w:r>
        <w:tab/>
        <w:t>(b)</w:t>
      </w:r>
      <w:r>
        <w:tab/>
        <w:t>section 101 (12) to (17);</w:t>
      </w:r>
    </w:p>
    <w:p w:rsidR="00B40966" w:rsidRDefault="00B40966">
      <w:pPr>
        <w:pStyle w:val="Apara"/>
      </w:pPr>
      <w:r>
        <w:tab/>
        <w:t>(c)</w:t>
      </w:r>
      <w:r>
        <w:tab/>
        <w:t>the name, address and telephone number of the medical officer.</w:t>
      </w:r>
    </w:p>
    <w:p w:rsidR="00B40966" w:rsidRDefault="00B40966">
      <w:pPr>
        <w:pStyle w:val="Assectheading"/>
        <w:rPr>
          <w:i w:val="0"/>
        </w:rPr>
      </w:pPr>
      <w:r>
        <w:rPr>
          <w:rStyle w:val="charItals"/>
          <w:i/>
        </w:rPr>
        <w:t>Prohibition of smoking and intoxicating liquor</w:t>
      </w:r>
    </w:p>
    <w:p w:rsidR="00B40966" w:rsidRDefault="00B40966">
      <w:pPr>
        <w:pStyle w:val="Amain"/>
      </w:pPr>
      <w:r>
        <w:tab/>
        <w:t>(84)</w:t>
      </w:r>
      <w:r>
        <w:tab/>
        <w:t>No person shall smoke in a man-lock or working chamber.</w:t>
      </w:r>
    </w:p>
    <w:p w:rsidR="00B40966" w:rsidRDefault="00B40966">
      <w:pPr>
        <w:pStyle w:val="Amain"/>
      </w:pPr>
      <w:r>
        <w:tab/>
        <w:t>(85)</w:t>
      </w:r>
      <w:r>
        <w:tab/>
        <w:t>No person shall carry smoking materials into a man-lock or into a working chamber.</w:t>
      </w:r>
    </w:p>
    <w:p w:rsidR="00B40966" w:rsidRDefault="00B40966">
      <w:pPr>
        <w:pStyle w:val="Amain"/>
      </w:pPr>
      <w:r>
        <w:tab/>
        <w:t>(86)</w:t>
      </w:r>
      <w:r>
        <w:tab/>
        <w:t>All such smoking materials shall be left in the change room.</w:t>
      </w:r>
    </w:p>
    <w:p w:rsidR="00B40966" w:rsidRDefault="00B40966">
      <w:pPr>
        <w:pStyle w:val="Amain"/>
      </w:pPr>
      <w:r>
        <w:tab/>
        <w:t>(87)</w:t>
      </w:r>
      <w:r>
        <w:tab/>
        <w:t>No person shall bring any intoxicating liquor into the vicinity of the working chamber, provided that the carrying of alcoholic spirits or other stimulants into such places for medical purposes may be approved by the medical officer.</w:t>
      </w:r>
    </w:p>
    <w:p w:rsidR="00B40966" w:rsidRDefault="00B40966">
      <w:pPr>
        <w:pStyle w:val="Assectheading"/>
        <w:rPr>
          <w:i w:val="0"/>
        </w:rPr>
      </w:pPr>
      <w:r>
        <w:t>Regulation</w:t>
      </w:r>
      <w:r>
        <w:rPr>
          <w:rStyle w:val="charItals"/>
          <w:i/>
        </w:rPr>
        <w:t xml:space="preserve"> to be available</w:t>
      </w:r>
    </w:p>
    <w:p w:rsidR="00B40966" w:rsidRDefault="00B40966">
      <w:pPr>
        <w:pStyle w:val="Amain"/>
      </w:pPr>
      <w:r>
        <w:tab/>
        <w:t>(88)</w:t>
      </w:r>
      <w:r>
        <w:tab/>
        <w:t>A copy of this section shall be kept on the works so as to be easily accessible to all persons who are responsible for giving effect to its provisions.</w:t>
      </w:r>
    </w:p>
    <w:p w:rsidR="00B40966" w:rsidRDefault="00B40966">
      <w:pPr>
        <w:pStyle w:val="Amain"/>
      </w:pPr>
      <w:r>
        <w:tab/>
        <w:t>(89)</w:t>
      </w:r>
      <w:r>
        <w:tab/>
        <w:t>This section shall apply to compressed air work in caissons, being a compressed air work within the meaning of the Act.</w:t>
      </w:r>
    </w:p>
    <w:p w:rsidR="00B40966" w:rsidRDefault="00B40966">
      <w:pPr>
        <w:pStyle w:val="02Text"/>
        <w:sectPr w:rsidR="00B40966">
          <w:type w:val="continuous"/>
          <w:pgSz w:w="11907" w:h="16839" w:code="9"/>
          <w:pgMar w:top="3000" w:right="1900" w:bottom="2500" w:left="2300" w:header="2480" w:footer="2100" w:gutter="0"/>
          <w:cols w:space="720"/>
          <w:docGrid w:linePitch="254"/>
        </w:sectPr>
      </w:pPr>
    </w:p>
    <w:p w:rsidR="00B40966" w:rsidRDefault="00B40966">
      <w:pPr>
        <w:pStyle w:val="AH2Part"/>
      </w:pPr>
      <w:bookmarkStart w:id="191" w:name="_Toc87258047"/>
      <w:r>
        <w:rPr>
          <w:rStyle w:val="CharPartNo"/>
        </w:rPr>
        <w:t>Part 9A</w:t>
      </w:r>
      <w:r>
        <w:tab/>
      </w:r>
      <w:r>
        <w:rPr>
          <w:rStyle w:val="CharPartText"/>
        </w:rPr>
        <w:t>Safeguards and measures to be taken for securing the safety and health of persons in connection with the use of explosive-powered tools in building work, excavation work and compressed air work</w:t>
      </w:r>
      <w:bookmarkEnd w:id="191"/>
    </w:p>
    <w:p w:rsidR="00B40966" w:rsidRDefault="00B40966">
      <w:pPr>
        <w:pStyle w:val="Placeholder"/>
      </w:pPr>
      <w:r>
        <w:rPr>
          <w:rStyle w:val="CharDivNo"/>
        </w:rPr>
        <w:t xml:space="preserve">  </w:t>
      </w:r>
      <w:r>
        <w:rPr>
          <w:rStyle w:val="CharDivText"/>
        </w:rPr>
        <w:t xml:space="preserve">  </w:t>
      </w:r>
    </w:p>
    <w:p w:rsidR="00B40966" w:rsidRDefault="00B40966">
      <w:pPr>
        <w:pStyle w:val="AH4SubDiv"/>
      </w:pPr>
      <w:bookmarkStart w:id="192" w:name="_Toc87258048"/>
      <w:r>
        <w:t>Application and interpretation</w:t>
      </w:r>
      <w:bookmarkEnd w:id="192"/>
    </w:p>
    <w:p w:rsidR="00B40966" w:rsidRDefault="00B40966">
      <w:pPr>
        <w:pStyle w:val="AH5Sec"/>
      </w:pPr>
      <w:bookmarkStart w:id="193" w:name="_Toc87258049"/>
      <w:r>
        <w:rPr>
          <w:rStyle w:val="CharSectNo"/>
        </w:rPr>
        <w:t>118A</w:t>
      </w:r>
      <w:bookmarkEnd w:id="193"/>
      <w:r>
        <w:tab/>
        <w:t xml:space="preserve">  </w:t>
      </w:r>
    </w:p>
    <w:p w:rsidR="00B40966" w:rsidRDefault="00B40966">
      <w:pPr>
        <w:pStyle w:val="Amain"/>
      </w:pPr>
      <w:r>
        <w:tab/>
        <w:t>(1)</w:t>
      </w:r>
      <w:r>
        <w:tab/>
        <w:t>This part shall apply to and in relation to the use of explosive</w:t>
      </w:r>
      <w:r>
        <w:noBreakHyphen/>
        <w:t>powered tools in building work, excavation work and compressed air work.</w:t>
      </w:r>
    </w:p>
    <w:p w:rsidR="00B40966" w:rsidRDefault="00B40966">
      <w:pPr>
        <w:pStyle w:val="Amain"/>
      </w:pPr>
      <w:r>
        <w:tab/>
        <w:t>(2)</w:t>
      </w:r>
      <w:r>
        <w:tab/>
        <w:t>In this part:</w:t>
      </w:r>
    </w:p>
    <w:p w:rsidR="00B40966" w:rsidRDefault="00B40966">
      <w:pPr>
        <w:pStyle w:val="aDef"/>
      </w:pPr>
      <w:r>
        <w:rPr>
          <w:b/>
          <w:i/>
        </w:rPr>
        <w:t>explosive-powered tool</w:t>
      </w:r>
      <w:r>
        <w:t xml:space="preserve"> means a tool by which a projectile may be driven against, into or through any substance by means of an explosive, and includes every attachment to and accessory of the tool and every device used or adopted or intended to be used with it.</w:t>
      </w:r>
    </w:p>
    <w:p w:rsidR="00B40966" w:rsidRDefault="00B40966">
      <w:pPr>
        <w:pStyle w:val="aDef"/>
      </w:pPr>
      <w:r>
        <w:rPr>
          <w:b/>
          <w:i/>
        </w:rPr>
        <w:t>projectile</w:t>
      </w:r>
      <w:r>
        <w:t xml:space="preserve"> means stud, pin, dowel screw, rivet, spike or other object driven against, into or through any substance by means of an explosive-powered tool, or adapted or intended to be so driven.</w:t>
      </w:r>
    </w:p>
    <w:p w:rsidR="00B40966" w:rsidRDefault="00B40966">
      <w:pPr>
        <w:pStyle w:val="aDef"/>
      </w:pPr>
      <w:r>
        <w:rPr>
          <w:b/>
          <w:i/>
        </w:rPr>
        <w:t>qualified operator</w:t>
      </w:r>
      <w:r>
        <w:t xml:space="preserve"> means a person who—</w:t>
      </w:r>
    </w:p>
    <w:p w:rsidR="00B40966" w:rsidRDefault="00B40966">
      <w:pPr>
        <w:pStyle w:val="aDefpara"/>
      </w:pPr>
      <w:r>
        <w:tab/>
        <w:t>(a)</w:t>
      </w:r>
      <w:r>
        <w:tab/>
        <w:t>is over 18 years old; and</w:t>
      </w:r>
    </w:p>
    <w:p w:rsidR="00B40966" w:rsidRDefault="00B40966">
      <w:pPr>
        <w:pStyle w:val="aDefpara"/>
      </w:pPr>
      <w:r>
        <w:tab/>
        <w:t>(b)</w:t>
      </w:r>
      <w:r>
        <w:tab/>
        <w:t>has been thoroughly trained in the correct use, adjustment, assembly and taking apart of explosive-powered tools; and</w:t>
      </w:r>
    </w:p>
    <w:p w:rsidR="00B40966" w:rsidRDefault="00B40966">
      <w:pPr>
        <w:pStyle w:val="aDefpara"/>
      </w:pPr>
      <w:r>
        <w:tab/>
        <w:t>(c)</w:t>
      </w:r>
      <w:r>
        <w:tab/>
        <w:t>has been fully instructed about the dangers associated with explosive-powered tools and the precautions to be taken in relation to them; and</w:t>
      </w:r>
    </w:p>
    <w:p w:rsidR="00B40966" w:rsidRDefault="00B40966">
      <w:pPr>
        <w:pStyle w:val="aDefpara"/>
      </w:pPr>
      <w:r>
        <w:tab/>
        <w:t>(d)</w:t>
      </w:r>
      <w:r>
        <w:tab/>
        <w:t>has a thorough knowledge of this part.</w:t>
      </w:r>
    </w:p>
    <w:p w:rsidR="00B40966" w:rsidRDefault="00B40966">
      <w:pPr>
        <w:pStyle w:val="aDef"/>
      </w:pPr>
      <w:r>
        <w:rPr>
          <w:b/>
          <w:i/>
        </w:rPr>
        <w:t>tool</w:t>
      </w:r>
      <w:r>
        <w:t xml:space="preserve"> means explosive-powered tool.</w:t>
      </w:r>
    </w:p>
    <w:p w:rsidR="00B40966" w:rsidRDefault="00B40966">
      <w:pPr>
        <w:pStyle w:val="aDef"/>
      </w:pPr>
      <w:r>
        <w:rPr>
          <w:b/>
          <w:i/>
        </w:rPr>
        <w:t>work</w:t>
      </w:r>
      <w:r>
        <w:t xml:space="preserve"> means building work, excavation work or compressed air work.</w:t>
      </w:r>
    </w:p>
    <w:p w:rsidR="00B40966" w:rsidRDefault="00B40966">
      <w:pPr>
        <w:pStyle w:val="Amain"/>
      </w:pPr>
      <w:r>
        <w:tab/>
        <w:t>(3)</w:t>
      </w:r>
      <w:r>
        <w:tab/>
        <w:t>For this part, a person shall be deemed to use an explosive-powered tool if the person loads, unloads or fires, or attempts to load, unload or fire, the tool.</w:t>
      </w:r>
    </w:p>
    <w:p w:rsidR="00B40966" w:rsidRDefault="00B40966">
      <w:pPr>
        <w:pStyle w:val="AH4SubDiv"/>
      </w:pPr>
      <w:bookmarkStart w:id="194" w:name="_Toc87258050"/>
      <w:r>
        <w:t>Operators of explosive-powered tools</w:t>
      </w:r>
      <w:bookmarkEnd w:id="194"/>
    </w:p>
    <w:p w:rsidR="00B40966" w:rsidRDefault="00B40966">
      <w:pPr>
        <w:pStyle w:val="AH5Sec"/>
      </w:pPr>
      <w:bookmarkStart w:id="195" w:name="_Toc87258051"/>
      <w:r>
        <w:rPr>
          <w:rStyle w:val="CharSectNo"/>
        </w:rPr>
        <w:t>118B</w:t>
      </w:r>
      <w:bookmarkEnd w:id="195"/>
      <w:r>
        <w:t xml:space="preserve">  </w:t>
      </w:r>
    </w:p>
    <w:p w:rsidR="00B40966" w:rsidRDefault="00B40966">
      <w:pPr>
        <w:pStyle w:val="Assectheading"/>
        <w:rPr>
          <w:i w:val="0"/>
        </w:rPr>
      </w:pPr>
      <w:r>
        <w:rPr>
          <w:rStyle w:val="charItals"/>
          <w:i/>
        </w:rPr>
        <w:t>Operators to be qualified</w:t>
      </w:r>
    </w:p>
    <w:p w:rsidR="00B40966" w:rsidRDefault="00B40966">
      <w:pPr>
        <w:pStyle w:val="Amain"/>
      </w:pPr>
      <w:r>
        <w:tab/>
        <w:t>(1)</w:t>
      </w:r>
      <w:r>
        <w:tab/>
        <w:t>No person who is not a qualified operator shall use a tool in any work.</w:t>
      </w:r>
    </w:p>
    <w:p w:rsidR="00B40966" w:rsidRDefault="00B40966">
      <w:pPr>
        <w:pStyle w:val="Amain"/>
      </w:pPr>
      <w:r>
        <w:tab/>
        <w:t>(2)</w:t>
      </w:r>
      <w:r>
        <w:tab/>
        <w:t>No person shall employ, instruct or allow any person to use a tool in any work without first ensuring by proper inquiry that the person is a qualified operator and is not because of any infirmity, disability or incapacity unfit to use the tool.</w:t>
      </w:r>
    </w:p>
    <w:p w:rsidR="00B40966" w:rsidRDefault="00B40966">
      <w:pPr>
        <w:pStyle w:val="Assectheading"/>
        <w:rPr>
          <w:i w:val="0"/>
        </w:rPr>
      </w:pPr>
      <w:r>
        <w:rPr>
          <w:rStyle w:val="charItals"/>
          <w:i/>
        </w:rPr>
        <w:t>Training of operators</w:t>
      </w:r>
    </w:p>
    <w:p w:rsidR="00B40966" w:rsidRDefault="00B40966">
      <w:pPr>
        <w:pStyle w:val="Amain"/>
      </w:pPr>
      <w:r>
        <w:tab/>
        <w:t>(3)</w:t>
      </w:r>
      <w:r>
        <w:tab/>
        <w:t>Nothing in subsection (1) or (2) shall apply to the use of any explosive-powered tool by a person who, under the immediate supervision and control of a qualified operator, is being trained to be a qualified operator.</w:t>
      </w:r>
    </w:p>
    <w:p w:rsidR="00B40966" w:rsidRDefault="00B40966">
      <w:pPr>
        <w:pStyle w:val="AH4SubDiv"/>
        <w:tabs>
          <w:tab w:val="clear" w:pos="2600"/>
          <w:tab w:val="left" w:pos="0"/>
        </w:tabs>
        <w:ind w:left="0" w:firstLine="0"/>
      </w:pPr>
      <w:bookmarkStart w:id="196" w:name="_Toc87258052"/>
      <w:r>
        <w:t>General requirements for explosive-powered tools and projectiles</w:t>
      </w:r>
      <w:bookmarkEnd w:id="196"/>
    </w:p>
    <w:p w:rsidR="00B40966" w:rsidRDefault="00B40966">
      <w:pPr>
        <w:pStyle w:val="AH5Sec"/>
      </w:pPr>
      <w:bookmarkStart w:id="197" w:name="_Toc87258053"/>
      <w:r>
        <w:rPr>
          <w:rStyle w:val="CharSectNo"/>
        </w:rPr>
        <w:t>118C</w:t>
      </w:r>
      <w:bookmarkEnd w:id="197"/>
      <w:r>
        <w:t xml:space="preserve">  </w:t>
      </w:r>
    </w:p>
    <w:p w:rsidR="00B40966" w:rsidRDefault="00B40966">
      <w:pPr>
        <w:pStyle w:val="Amain"/>
      </w:pPr>
      <w:r>
        <w:tab/>
        <w:t>(1)</w:t>
      </w:r>
      <w:r>
        <w:tab/>
        <w:t>No person who directly or by his or her servants or agents carries out any work shall directly or by his or her servants or agents—</w:t>
      </w:r>
    </w:p>
    <w:p w:rsidR="00B40966" w:rsidRDefault="00B40966">
      <w:pPr>
        <w:pStyle w:val="Apara"/>
      </w:pPr>
      <w:r>
        <w:tab/>
        <w:t>(a)</w:t>
      </w:r>
      <w:r>
        <w:tab/>
        <w:t>use in that work any tool unless—</w:t>
      </w:r>
    </w:p>
    <w:p w:rsidR="00B40966" w:rsidRDefault="00B40966">
      <w:pPr>
        <w:pStyle w:val="Asubpara"/>
      </w:pPr>
      <w:r>
        <w:tab/>
        <w:t>(i)</w:t>
      </w:r>
      <w:r>
        <w:tab/>
        <w:t>the tool has been approved; and</w:t>
      </w:r>
    </w:p>
    <w:p w:rsidR="00B40966" w:rsidRDefault="00B40966">
      <w:pPr>
        <w:pStyle w:val="Asubpara"/>
      </w:pPr>
      <w:r>
        <w:tab/>
        <w:t>(ii)</w:t>
      </w:r>
      <w:r>
        <w:tab/>
        <w:t>there is permanently engraved or embossed on the metal of the tool a clearly legible notice as follows: ‘</w:t>
      </w:r>
      <w:r>
        <w:rPr>
          <w:caps/>
        </w:rPr>
        <w:t>Do Not Remove Tool From Work Surface For At Least 10 Seconds If Tool Fails To Fire</w:t>
      </w:r>
      <w:r>
        <w:t>’; and</w:t>
      </w:r>
    </w:p>
    <w:p w:rsidR="00B40966" w:rsidRDefault="00B40966">
      <w:pPr>
        <w:pStyle w:val="Asubpara"/>
      </w:pPr>
      <w:r>
        <w:tab/>
        <w:t>(iii)</w:t>
      </w:r>
      <w:r>
        <w:tab/>
        <w:t>there is permanently engraved or embossed on the metal of the tool a clearly legible serial number by which it can be readily identified; and</w:t>
      </w:r>
    </w:p>
    <w:p w:rsidR="00B40966" w:rsidRDefault="00B40966">
      <w:pPr>
        <w:pStyle w:val="Asubpara"/>
      </w:pPr>
      <w:r>
        <w:tab/>
        <w:t>(iv)</w:t>
      </w:r>
      <w:r>
        <w:tab/>
        <w:t>there is permanently attached to the tool at its muzzle end a protective shield or device designed to arrest the ricochet of projectiles and the free flight of other objects and particles liberated by the firing of the tool; and</w:t>
      </w:r>
    </w:p>
    <w:p w:rsidR="00B40966" w:rsidRDefault="00B40966">
      <w:pPr>
        <w:pStyle w:val="Apara"/>
      </w:pPr>
      <w:r>
        <w:tab/>
        <w:t>(b)</w:t>
      </w:r>
      <w:r>
        <w:tab/>
        <w:t>use in that work, in a tool, any projectile that is not capable of undergoing the following test without cracking or breaking:</w:t>
      </w:r>
    </w:p>
    <w:p w:rsidR="00B40966" w:rsidRDefault="00B40966">
      <w:pPr>
        <w:pStyle w:val="Asubpara"/>
      </w:pPr>
      <w:r>
        <w:tab/>
        <w:t>(i)</w:t>
      </w:r>
      <w:r>
        <w:tab/>
        <w:t>smooth shanked projectiles shall be bent through an angle of 60</w:t>
      </w:r>
      <w:r>
        <w:rPr>
          <w:rFonts w:ascii="Helvetica" w:hAnsi="Helvetica"/>
        </w:rPr>
        <w:t>°;</w:t>
      </w:r>
    </w:p>
    <w:p w:rsidR="00B40966" w:rsidRDefault="00B40966">
      <w:pPr>
        <w:pStyle w:val="Asubpara"/>
      </w:pPr>
      <w:r>
        <w:tab/>
        <w:t>(ii)</w:t>
      </w:r>
      <w:r>
        <w:tab/>
        <w:t>knurled shanked projectiles shall be bent through an angle of 30</w:t>
      </w:r>
      <w:r>
        <w:rPr>
          <w:rFonts w:ascii="Helvetica" w:hAnsi="Helvetica"/>
        </w:rPr>
        <w:t>°</w:t>
      </w:r>
      <w:r>
        <w:t>.</w:t>
      </w:r>
    </w:p>
    <w:p w:rsidR="00B40966" w:rsidRDefault="00B40966">
      <w:pPr>
        <w:pStyle w:val="Amain"/>
      </w:pPr>
      <w:r>
        <w:tab/>
        <w:t>(2)</w:t>
      </w:r>
      <w:r>
        <w:tab/>
        <w:t>The test shall be carried out by bending the shank of the projectile about a pin of a diameter equal to that of the shank of the projectile under test.</w:t>
      </w:r>
    </w:p>
    <w:p w:rsidR="00B40966" w:rsidRDefault="00B40966">
      <w:pPr>
        <w:pStyle w:val="Amain"/>
      </w:pPr>
      <w:r>
        <w:tab/>
        <w:t>(3)</w:t>
      </w:r>
      <w:r>
        <w:tab/>
        <w:t>The test shall be made by applying a continuous steady load to the projectile until the required deformation has been reached.</w:t>
      </w:r>
    </w:p>
    <w:p w:rsidR="00B40966" w:rsidRDefault="00B40966">
      <w:pPr>
        <w:pStyle w:val="AH4SubDiv"/>
      </w:pPr>
      <w:bookmarkStart w:id="198" w:name="_Toc87258054"/>
      <w:r>
        <w:t>Inspection and repair of explosive-powered tools</w:t>
      </w:r>
      <w:bookmarkEnd w:id="198"/>
    </w:p>
    <w:p w:rsidR="00B40966" w:rsidRDefault="00B40966">
      <w:pPr>
        <w:pStyle w:val="AH5Sec"/>
      </w:pPr>
      <w:bookmarkStart w:id="199" w:name="_Toc87258055"/>
      <w:r>
        <w:rPr>
          <w:rStyle w:val="CharSectNo"/>
        </w:rPr>
        <w:t>118D</w:t>
      </w:r>
      <w:bookmarkEnd w:id="199"/>
      <w:r>
        <w:t xml:space="preserve">  </w:t>
      </w:r>
    </w:p>
    <w:p w:rsidR="00B40966" w:rsidRDefault="00B40966">
      <w:pPr>
        <w:pStyle w:val="Assectheading"/>
        <w:rPr>
          <w:i w:val="0"/>
        </w:rPr>
      </w:pPr>
      <w:r>
        <w:rPr>
          <w:rStyle w:val="charItals"/>
          <w:i/>
        </w:rPr>
        <w:t>Interpretation</w:t>
      </w:r>
    </w:p>
    <w:p w:rsidR="00B40966" w:rsidRDefault="00B40966">
      <w:pPr>
        <w:pStyle w:val="Amain"/>
      </w:pPr>
      <w:r>
        <w:tab/>
        <w:t>(1)</w:t>
      </w:r>
      <w:r>
        <w:tab/>
        <w:t>In this section:</w:t>
      </w:r>
    </w:p>
    <w:p w:rsidR="00B40966" w:rsidRDefault="00B40966">
      <w:pPr>
        <w:pStyle w:val="Amainreturn"/>
      </w:pPr>
      <w:r>
        <w:rPr>
          <w:rStyle w:val="charBoldItals"/>
        </w:rPr>
        <w:t>authorised person</w:t>
      </w:r>
      <w:r>
        <w:t xml:space="preserve"> means—</w:t>
      </w:r>
    </w:p>
    <w:p w:rsidR="00B40966" w:rsidRDefault="00B40966">
      <w:pPr>
        <w:pStyle w:val="Asubpara"/>
      </w:pPr>
      <w:r>
        <w:tab/>
        <w:t>(a)</w:t>
      </w:r>
      <w:r>
        <w:tab/>
        <w:t>a maker of tools or a person authorised by the maker to repair tools; or</w:t>
      </w:r>
    </w:p>
    <w:p w:rsidR="00B40966" w:rsidRDefault="00B40966">
      <w:pPr>
        <w:pStyle w:val="Asubpara"/>
      </w:pPr>
      <w:r>
        <w:tab/>
        <w:t>(b)</w:t>
      </w:r>
      <w:r>
        <w:tab/>
        <w:t>a gunsmith; or</w:t>
      </w:r>
    </w:p>
    <w:p w:rsidR="00B40966" w:rsidRDefault="00B40966">
      <w:pPr>
        <w:pStyle w:val="Asubpara"/>
      </w:pPr>
      <w:r>
        <w:tab/>
        <w:t>(c)</w:t>
      </w:r>
      <w:r>
        <w:tab/>
        <w:t>a competent person in the employment of a person referred to in paragraph (a) or (b).</w:t>
      </w:r>
    </w:p>
    <w:p w:rsidR="00B40966" w:rsidRDefault="00B40966">
      <w:pPr>
        <w:pStyle w:val="aDef"/>
      </w:pPr>
      <w:r>
        <w:rPr>
          <w:b/>
          <w:i/>
        </w:rPr>
        <w:t>defect</w:t>
      </w:r>
      <w:r>
        <w:t xml:space="preserve"> means any defect that might impair or affect the safe and normal operation of a tool.</w:t>
      </w:r>
    </w:p>
    <w:p w:rsidR="00B40966" w:rsidRDefault="00B40966">
      <w:pPr>
        <w:pStyle w:val="aDef"/>
      </w:pPr>
      <w:r>
        <w:rPr>
          <w:b/>
          <w:i/>
        </w:rPr>
        <w:t>repair</w:t>
      </w:r>
      <w:r>
        <w:t xml:space="preserve"> means repair, modify, alter or adjust or attempt to repair, modify, alter or adjust; but a qualified operator or a person who under the immediate supervision and control of a qualified operator is being trained to be a qualified operator shall not be deemed to repair a tool only because of his or her making or attempting to make any minor adjustments to it that are incidental to its ordinary operation.</w:t>
      </w:r>
    </w:p>
    <w:p w:rsidR="00B40966" w:rsidRDefault="00B40966">
      <w:pPr>
        <w:pStyle w:val="Assectheading"/>
        <w:rPr>
          <w:i w:val="0"/>
        </w:rPr>
      </w:pPr>
      <w:r>
        <w:rPr>
          <w:rStyle w:val="charItals"/>
          <w:i/>
        </w:rPr>
        <w:t>Inspection</w:t>
      </w:r>
    </w:p>
    <w:p w:rsidR="00B40966" w:rsidRDefault="00B40966">
      <w:pPr>
        <w:pStyle w:val="Amain"/>
      </w:pPr>
      <w:r>
        <w:tab/>
        <w:t>(2)</w:t>
      </w:r>
      <w:r>
        <w:tab/>
        <w:t>The person who directly or by his or her servants or agents carries out any building work—</w:t>
      </w:r>
    </w:p>
    <w:p w:rsidR="00B40966" w:rsidRDefault="00B40966">
      <w:pPr>
        <w:pStyle w:val="Apara"/>
      </w:pPr>
      <w:r>
        <w:tab/>
        <w:t>(a)</w:t>
      </w:r>
      <w:r>
        <w:tab/>
        <w:t>shall cause each tool used in the work—</w:t>
      </w:r>
    </w:p>
    <w:p w:rsidR="00B40966" w:rsidRDefault="00B40966">
      <w:pPr>
        <w:pStyle w:val="Asubpara"/>
      </w:pPr>
      <w:r>
        <w:tab/>
        <w:t>(i)</w:t>
      </w:r>
      <w:r>
        <w:tab/>
        <w:t>to be carefully inspected for defects on each day when it is so used, before it is so used; and</w:t>
      </w:r>
    </w:p>
    <w:p w:rsidR="00B40966" w:rsidRDefault="00B40966">
      <w:pPr>
        <w:pStyle w:val="Asubpara"/>
      </w:pPr>
      <w:r>
        <w:tab/>
        <w:t>(ii)</w:t>
      </w:r>
      <w:r>
        <w:tab/>
        <w:t>after each 7 days use and before it is again used in any work, to be dismantled and thoroughly examined for defects; and</w:t>
      </w:r>
    </w:p>
    <w:p w:rsidR="00B40966" w:rsidRDefault="00B40966">
      <w:pPr>
        <w:pStyle w:val="Apara"/>
      </w:pPr>
      <w:r>
        <w:tab/>
        <w:t>(b)</w:t>
      </w:r>
      <w:r>
        <w:tab/>
        <w:t>shall not directly or by his or her servants or agents use in the work a tool that—</w:t>
      </w:r>
    </w:p>
    <w:p w:rsidR="00B40966" w:rsidRDefault="00B40966">
      <w:pPr>
        <w:pStyle w:val="Asubpara"/>
      </w:pPr>
      <w:r>
        <w:tab/>
        <w:t>(i)</w:t>
      </w:r>
      <w:r>
        <w:tab/>
        <w:t>has not been inspected and examined as prescribed by paragraph (a); or</w:t>
      </w:r>
    </w:p>
    <w:p w:rsidR="00B40966" w:rsidRDefault="00B40966">
      <w:pPr>
        <w:pStyle w:val="Asubpara"/>
      </w:pPr>
      <w:r>
        <w:tab/>
        <w:t>(ii)</w:t>
      </w:r>
      <w:r>
        <w:tab/>
        <w:t>has any defect that has been or should have been revealed on the inspection or examination.</w:t>
      </w:r>
    </w:p>
    <w:p w:rsidR="00B40966" w:rsidRDefault="00B40966">
      <w:pPr>
        <w:pStyle w:val="Amain"/>
      </w:pPr>
      <w:r>
        <w:tab/>
        <w:t>(3)</w:t>
      </w:r>
      <w:r>
        <w:tab/>
        <w:t>No person shall, knowing that a tool has any defect, use the tool in any work.</w:t>
      </w:r>
    </w:p>
    <w:p w:rsidR="00B40966" w:rsidRDefault="00B40966">
      <w:pPr>
        <w:pStyle w:val="Assectheading"/>
        <w:rPr>
          <w:i w:val="0"/>
        </w:rPr>
      </w:pPr>
      <w:r>
        <w:rPr>
          <w:rStyle w:val="charItals"/>
          <w:i/>
        </w:rPr>
        <w:t>Repair</w:t>
      </w:r>
    </w:p>
    <w:p w:rsidR="00B40966" w:rsidRDefault="00B40966">
      <w:pPr>
        <w:pStyle w:val="Amain"/>
      </w:pPr>
      <w:r>
        <w:tab/>
        <w:t>(4)</w:t>
      </w:r>
      <w:r>
        <w:tab/>
        <w:t>No person other than an authorised person shall, knowing that a tool is being used or is intended to be used in work, repair the tool.</w:t>
      </w:r>
    </w:p>
    <w:p w:rsidR="00B40966" w:rsidRDefault="00B40966">
      <w:pPr>
        <w:pStyle w:val="Amain"/>
      </w:pPr>
      <w:r>
        <w:tab/>
        <w:t>(5)</w:t>
      </w:r>
      <w:r>
        <w:tab/>
        <w:t>No person shall—</w:t>
      </w:r>
    </w:p>
    <w:p w:rsidR="00B40966" w:rsidRDefault="00B40966">
      <w:pPr>
        <w:pStyle w:val="Apara"/>
      </w:pPr>
      <w:r>
        <w:tab/>
        <w:t>(a)</w:t>
      </w:r>
      <w:r>
        <w:tab/>
        <w:t>knowing that a tool is being used or is intended to be used in work, employ, instruct or allow any person other than an authorised person to repair the tool; or</w:t>
      </w:r>
    </w:p>
    <w:p w:rsidR="00B40966" w:rsidRDefault="00B40966">
      <w:pPr>
        <w:pStyle w:val="Apara"/>
      </w:pPr>
      <w:r>
        <w:tab/>
        <w:t>(b)</w:t>
      </w:r>
      <w:r>
        <w:tab/>
        <w:t>knowing that a tool has been repaired by a person other than an authorised person, use the tool in any work or employ, instruct or allow any person to use the tool in any work, unless it has since been overhauled by an authorised person.</w:t>
      </w:r>
    </w:p>
    <w:p w:rsidR="00B40966" w:rsidRDefault="00B40966">
      <w:pPr>
        <w:pStyle w:val="AH4SubDiv"/>
      </w:pPr>
      <w:bookmarkStart w:id="200" w:name="_Toc87258056"/>
      <w:r>
        <w:t>Use of explosive-powered tools</w:t>
      </w:r>
      <w:bookmarkEnd w:id="200"/>
    </w:p>
    <w:p w:rsidR="00B40966" w:rsidRDefault="00B40966">
      <w:pPr>
        <w:pStyle w:val="AH5Sec"/>
      </w:pPr>
      <w:bookmarkStart w:id="201" w:name="_Toc87258057"/>
      <w:r>
        <w:rPr>
          <w:rStyle w:val="CharSectNo"/>
        </w:rPr>
        <w:t>118E</w:t>
      </w:r>
      <w:bookmarkEnd w:id="201"/>
      <w:r>
        <w:t xml:space="preserve">  </w:t>
      </w:r>
    </w:p>
    <w:p w:rsidR="00B40966" w:rsidRDefault="00B40966">
      <w:pPr>
        <w:pStyle w:val="Assectheading"/>
        <w:rPr>
          <w:i w:val="0"/>
        </w:rPr>
      </w:pPr>
      <w:r>
        <w:rPr>
          <w:rStyle w:val="charItals"/>
          <w:i/>
        </w:rPr>
        <w:t>General</w:t>
      </w:r>
    </w:p>
    <w:p w:rsidR="00B40966" w:rsidRDefault="00B40966">
      <w:pPr>
        <w:pStyle w:val="Amain"/>
      </w:pPr>
      <w:r>
        <w:tab/>
        <w:t>(1)</w:t>
      </w:r>
      <w:r>
        <w:tab/>
        <w:t>No person shall use in any work, or employ, instruct or allow any person to use in any work, any tool or other substance or thing contrary to this section, or without the measures and precautions prescribed by this section being taken.</w:t>
      </w:r>
    </w:p>
    <w:p w:rsidR="00B40966" w:rsidRDefault="00B40966">
      <w:pPr>
        <w:pStyle w:val="Assectheading"/>
        <w:rPr>
          <w:i w:val="0"/>
        </w:rPr>
      </w:pPr>
      <w:r>
        <w:rPr>
          <w:rStyle w:val="charItals"/>
          <w:i/>
        </w:rPr>
        <w:t>Limitation of use</w:t>
      </w:r>
      <w:r>
        <w:rPr>
          <w:i w:val="0"/>
        </w:rPr>
        <w:t>—</w:t>
      </w:r>
      <w:r>
        <w:rPr>
          <w:rStyle w:val="charItals"/>
          <w:i/>
        </w:rPr>
        <w:t>hard substances</w:t>
      </w:r>
    </w:p>
    <w:p w:rsidR="00B40966" w:rsidRDefault="00B40966">
      <w:pPr>
        <w:pStyle w:val="Amain"/>
      </w:pPr>
      <w:r>
        <w:tab/>
        <w:t>(2)</w:t>
      </w:r>
      <w:r>
        <w:tab/>
        <w:t>No tool shall be used on high tensile steel, steel hardened by heat treatment, cast iron or other unusually hard or unyielding substance.</w:t>
      </w:r>
    </w:p>
    <w:p w:rsidR="00B40966" w:rsidRDefault="00B40966">
      <w:pPr>
        <w:pStyle w:val="Amain"/>
      </w:pPr>
      <w:r>
        <w:tab/>
        <w:t>(3)</w:t>
      </w:r>
      <w:r>
        <w:tab/>
        <w:t>In subsection (2):</w:t>
      </w:r>
    </w:p>
    <w:p w:rsidR="00B40966" w:rsidRDefault="00B40966">
      <w:pPr>
        <w:pStyle w:val="aDef"/>
      </w:pPr>
      <w:r>
        <w:rPr>
          <w:b/>
          <w:i/>
        </w:rPr>
        <w:t>high tensile steel</w:t>
      </w:r>
      <w:r>
        <w:t xml:space="preserve"> means steel the nominal ultimate tensile value of which exceeds 45 tons per square inch.</w:t>
      </w:r>
    </w:p>
    <w:p w:rsidR="00B40966" w:rsidRDefault="00B40966">
      <w:pPr>
        <w:pStyle w:val="Assectheading"/>
        <w:rPr>
          <w:i w:val="0"/>
        </w:rPr>
      </w:pPr>
      <w:r>
        <w:rPr>
          <w:rStyle w:val="charItals"/>
          <w:i/>
        </w:rPr>
        <w:t>Readily shattered substances</w:t>
      </w:r>
    </w:p>
    <w:p w:rsidR="00B40966" w:rsidRDefault="00B40966">
      <w:pPr>
        <w:pStyle w:val="Amain"/>
      </w:pPr>
      <w:r>
        <w:tab/>
        <w:t>(4)</w:t>
      </w:r>
      <w:r>
        <w:tab/>
        <w:t>No tool shall be used on hard tile, hard terracotta, glazed brick, glass, marble, granite, thin slate or other readily shattered substance.</w:t>
      </w:r>
    </w:p>
    <w:p w:rsidR="00B40966" w:rsidRDefault="00B40966">
      <w:pPr>
        <w:pStyle w:val="Assectheading"/>
        <w:rPr>
          <w:i w:val="0"/>
        </w:rPr>
      </w:pPr>
      <w:r>
        <w:rPr>
          <w:rStyle w:val="charItals"/>
          <w:i/>
        </w:rPr>
        <w:t>Use near edges and holes</w:t>
      </w:r>
    </w:p>
    <w:p w:rsidR="00B40966" w:rsidRDefault="00B40966">
      <w:pPr>
        <w:pStyle w:val="Amain"/>
      </w:pPr>
      <w:r>
        <w:tab/>
        <w:t>(5)</w:t>
      </w:r>
      <w:r>
        <w:tab/>
        <w:t>No tool shall be used to drive a projectile into any substance—</w:t>
      </w:r>
    </w:p>
    <w:p w:rsidR="00B40966" w:rsidRDefault="00B40966">
      <w:pPr>
        <w:pStyle w:val="Apara"/>
      </w:pPr>
      <w:r>
        <w:tab/>
        <w:t>(a)</w:t>
      </w:r>
      <w:r>
        <w:tab/>
        <w:t>at a point so close to an edge of the substance or to any hole in it that, because of the nature of the substance, the size and shape of the projectile or the strength of the charge to be used, there is any appreciable risk that the substance might crack or break or the projectile fly from it; or</w:t>
      </w:r>
    </w:p>
    <w:p w:rsidR="00B40966" w:rsidRDefault="00B40966">
      <w:pPr>
        <w:pStyle w:val="Apara"/>
      </w:pPr>
      <w:r>
        <w:tab/>
        <w:t>(b)</w:t>
      </w:r>
      <w:r>
        <w:tab/>
        <w:t xml:space="preserve">if the substance is steel—within </w:t>
      </w:r>
      <w:r>
        <w:rPr>
          <w:position w:val="6"/>
          <w:sz w:val="18"/>
        </w:rPr>
        <w:t>1</w:t>
      </w:r>
      <w:r>
        <w:t>/</w:t>
      </w:r>
      <w:r>
        <w:rPr>
          <w:sz w:val="18"/>
        </w:rPr>
        <w:t>2</w:t>
      </w:r>
      <w:r>
        <w:t xml:space="preserve"> an inch of an edge of it; or</w:t>
      </w:r>
    </w:p>
    <w:p w:rsidR="00B40966" w:rsidRDefault="00B40966">
      <w:pPr>
        <w:pStyle w:val="Apara"/>
      </w:pPr>
      <w:r>
        <w:tab/>
        <w:t>(c)</w:t>
      </w:r>
      <w:r>
        <w:tab/>
        <w:t>if the substance is brick, concrete or the like—within 3 inches of an edge of it.</w:t>
      </w:r>
    </w:p>
    <w:p w:rsidR="00B40966" w:rsidRDefault="00B40966">
      <w:pPr>
        <w:pStyle w:val="Assectheading"/>
        <w:rPr>
          <w:i w:val="0"/>
        </w:rPr>
      </w:pPr>
      <w:r>
        <w:rPr>
          <w:rStyle w:val="charItals"/>
          <w:i/>
        </w:rPr>
        <w:t>Explosive or dangerous atmosphere</w:t>
      </w:r>
    </w:p>
    <w:p w:rsidR="00B40966" w:rsidRDefault="00B40966">
      <w:pPr>
        <w:pStyle w:val="Amain"/>
      </w:pPr>
      <w:r>
        <w:tab/>
        <w:t>(6)</w:t>
      </w:r>
      <w:r>
        <w:tab/>
        <w:t>No tool shall be used in the presence of an explosive or inflammable gas, dust or vapour, or in compressed air, or in any place where the explosive charge might be exploded or rendered dangerous by heat.</w:t>
      </w:r>
    </w:p>
    <w:p w:rsidR="00B40966" w:rsidRDefault="00B40966">
      <w:pPr>
        <w:pStyle w:val="Assectheading"/>
        <w:rPr>
          <w:i w:val="0"/>
        </w:rPr>
      </w:pPr>
      <w:r>
        <w:rPr>
          <w:rStyle w:val="charItals"/>
          <w:i/>
        </w:rPr>
        <w:t>Strength of explosive charges</w:t>
      </w:r>
    </w:p>
    <w:p w:rsidR="00B40966" w:rsidRDefault="00B40966">
      <w:pPr>
        <w:pStyle w:val="Amain"/>
      </w:pPr>
      <w:r>
        <w:tab/>
        <w:t>(7)</w:t>
      </w:r>
      <w:r>
        <w:tab/>
        <w:t>Every reasonable precaution, including if advisable the making of suitable tests, shall be taken to ensure that the explosive charge used in a tool—</w:t>
      </w:r>
    </w:p>
    <w:p w:rsidR="00B40966" w:rsidRDefault="00B40966">
      <w:pPr>
        <w:pStyle w:val="Apara"/>
      </w:pPr>
      <w:r>
        <w:tab/>
        <w:t>(a)</w:t>
      </w:r>
      <w:r>
        <w:tab/>
        <w:t>is of no greater strength than is necessary for the purpose for which the tool is being used; and</w:t>
      </w:r>
    </w:p>
    <w:p w:rsidR="00B40966" w:rsidRDefault="00B40966">
      <w:pPr>
        <w:pStyle w:val="Apara"/>
      </w:pPr>
      <w:r>
        <w:tab/>
        <w:t>(b)</w:t>
      </w:r>
      <w:r>
        <w:tab/>
        <w:t>is not of such strength that the whole of the projectile might pass through the substance on which the tool is being used, unless the substance is backed by protective material capable of fully absorbing the energy of the projectile.</w:t>
      </w:r>
    </w:p>
    <w:p w:rsidR="00B40966" w:rsidRDefault="00B40966">
      <w:pPr>
        <w:pStyle w:val="Assectheading"/>
        <w:rPr>
          <w:i w:val="0"/>
        </w:rPr>
      </w:pPr>
      <w:r>
        <w:rPr>
          <w:rStyle w:val="charItals"/>
          <w:i/>
        </w:rPr>
        <w:t>Use of barrel extensions</w:t>
      </w:r>
    </w:p>
    <w:p w:rsidR="00B40966" w:rsidRDefault="00B40966">
      <w:pPr>
        <w:pStyle w:val="Amain"/>
      </w:pPr>
      <w:r>
        <w:tab/>
        <w:t>(8)</w:t>
      </w:r>
      <w:r>
        <w:tab/>
        <w:t>If the muzzle end of the barrel of a tool cannot be brought into contact with any surface at the point where the projectile driven from the tool is to strike or penetrate the surface, an effective barrel extension shall be used to extend the barrel into contact with the surface at that point.</w:t>
      </w:r>
    </w:p>
    <w:p w:rsidR="00B40966" w:rsidRDefault="00B40966">
      <w:pPr>
        <w:pStyle w:val="Amain"/>
      </w:pPr>
      <w:r>
        <w:tab/>
        <w:t>(9)</w:t>
      </w:r>
      <w:r>
        <w:tab/>
        <w:t>The length of the barrel extension shall not exceed by more than </w:t>
      </w:r>
      <w:r>
        <w:rPr>
          <w:position w:val="6"/>
          <w:sz w:val="18"/>
        </w:rPr>
        <w:t>1</w:t>
      </w:r>
      <w:r>
        <w:t>/</w:t>
      </w:r>
      <w:r>
        <w:rPr>
          <w:sz w:val="18"/>
        </w:rPr>
        <w:t>2 </w:t>
      </w:r>
      <w:r>
        <w:t>an inch the maximum length that is required to clear the obstruction that renders the use of the barrel extension necessary.</w:t>
      </w:r>
    </w:p>
    <w:p w:rsidR="00B40966" w:rsidRDefault="00B40966">
      <w:pPr>
        <w:pStyle w:val="Assectheading"/>
        <w:rPr>
          <w:i w:val="0"/>
        </w:rPr>
      </w:pPr>
      <w:r>
        <w:rPr>
          <w:rStyle w:val="charItals"/>
          <w:i/>
        </w:rPr>
        <w:t>Care in handling of tools</w:t>
      </w:r>
    </w:p>
    <w:p w:rsidR="00B40966" w:rsidRDefault="00B40966">
      <w:pPr>
        <w:pStyle w:val="Amain"/>
      </w:pPr>
      <w:r>
        <w:tab/>
        <w:t>(10)</w:t>
      </w:r>
      <w:r>
        <w:tab/>
        <w:t>Every person while using a tool or carrying or handling a loaded tool shall at all times—</w:t>
      </w:r>
    </w:p>
    <w:p w:rsidR="00B40966" w:rsidRDefault="00B40966">
      <w:pPr>
        <w:pStyle w:val="Apara"/>
      </w:pPr>
      <w:r>
        <w:tab/>
        <w:t>(a)</w:t>
      </w:r>
      <w:r>
        <w:tab/>
        <w:t>keep all parts of his or her body clear of the open end of the barrel of the tool and keep the end pointed away from himself or herself and all other persons; and</w:t>
      </w:r>
    </w:p>
    <w:p w:rsidR="00B40966" w:rsidRDefault="00B40966">
      <w:pPr>
        <w:pStyle w:val="Apara"/>
      </w:pPr>
      <w:r>
        <w:tab/>
        <w:t>(b)</w:t>
      </w:r>
      <w:r>
        <w:tab/>
        <w:t>exercise the utmost care to avoid injury to himself or herself and others.</w:t>
      </w:r>
    </w:p>
    <w:p w:rsidR="00B40966" w:rsidRDefault="00B40966">
      <w:pPr>
        <w:pStyle w:val="Assectheading"/>
        <w:rPr>
          <w:i w:val="0"/>
        </w:rPr>
      </w:pPr>
      <w:r>
        <w:rPr>
          <w:rStyle w:val="charItals"/>
          <w:i/>
        </w:rPr>
        <w:t>Firing of tools</w:t>
      </w:r>
    </w:p>
    <w:p w:rsidR="00B40966" w:rsidRDefault="00B40966">
      <w:pPr>
        <w:pStyle w:val="Amain"/>
      </w:pPr>
      <w:r>
        <w:tab/>
        <w:t>(11)</w:t>
      </w:r>
      <w:r>
        <w:tab/>
        <w:t>No person shall fire a tool unless—</w:t>
      </w:r>
    </w:p>
    <w:p w:rsidR="00B40966" w:rsidRDefault="00B40966">
      <w:pPr>
        <w:pStyle w:val="Apara"/>
      </w:pPr>
      <w:r>
        <w:tab/>
        <w:t>(a)</w:t>
      </w:r>
      <w:r>
        <w:tab/>
        <w:t>the person is in a safe, well-balanced position so that inadvertent tilting or misalignment of the tool at the time of firing will not occur; and</w:t>
      </w:r>
    </w:p>
    <w:p w:rsidR="00B40966" w:rsidRDefault="00B40966">
      <w:pPr>
        <w:pStyle w:val="Apara"/>
      </w:pPr>
      <w:r>
        <w:tab/>
        <w:t>(b)</w:t>
      </w:r>
      <w:r>
        <w:tab/>
        <w:t>the person is holding the tool perpendicular to the surface on which the person is using the tool and so that the muzzle end of its barrel or barrel extension is in contact with that surface.</w:t>
      </w:r>
    </w:p>
    <w:p w:rsidR="00B40966" w:rsidRDefault="00B40966">
      <w:pPr>
        <w:pStyle w:val="Assectheading"/>
        <w:rPr>
          <w:i w:val="0"/>
        </w:rPr>
      </w:pPr>
      <w:r>
        <w:rPr>
          <w:rStyle w:val="charItals"/>
          <w:i/>
        </w:rPr>
        <w:t>Mechanical failure</w:t>
      </w:r>
    </w:p>
    <w:p w:rsidR="00B40966" w:rsidRDefault="00B40966">
      <w:pPr>
        <w:pStyle w:val="Amain"/>
      </w:pPr>
      <w:r>
        <w:tab/>
        <w:t>(12)</w:t>
      </w:r>
      <w:r>
        <w:tab/>
        <w:t>If when any person attempts to use a tool on any surface the tool fails to fire, the person shall continue to hold it perpendicular to and in contact with the surface for at least 10 seconds, and if the tool has not then fired the person shall unload it or place it in such a position that it will do no harm if it fires.</w:t>
      </w:r>
    </w:p>
    <w:p w:rsidR="00B40966" w:rsidRDefault="00B40966">
      <w:pPr>
        <w:pStyle w:val="Assectheading"/>
        <w:rPr>
          <w:i w:val="0"/>
        </w:rPr>
      </w:pPr>
      <w:r>
        <w:rPr>
          <w:rStyle w:val="charItals"/>
          <w:i/>
        </w:rPr>
        <w:t>Removing foreign matter</w:t>
      </w:r>
    </w:p>
    <w:p w:rsidR="00B40966" w:rsidRDefault="00B40966">
      <w:pPr>
        <w:pStyle w:val="Amain"/>
      </w:pPr>
      <w:r>
        <w:tab/>
        <w:t>(13)</w:t>
      </w:r>
      <w:r>
        <w:tab/>
        <w:t>A person using a tool shall, after each firing, carefully examine it and remove from it all pieces of projectile or cartridge and other foreign matter that may be present.</w:t>
      </w:r>
    </w:p>
    <w:p w:rsidR="00B40966" w:rsidRDefault="00B40966">
      <w:pPr>
        <w:pStyle w:val="Assectheading"/>
        <w:rPr>
          <w:i w:val="0"/>
        </w:rPr>
      </w:pPr>
      <w:r>
        <w:rPr>
          <w:rStyle w:val="charItals"/>
          <w:i/>
        </w:rPr>
        <w:t>Flying projectiles</w:t>
      </w:r>
    </w:p>
    <w:p w:rsidR="00B40966" w:rsidRDefault="00B40966">
      <w:pPr>
        <w:pStyle w:val="Amain"/>
      </w:pPr>
      <w:r>
        <w:tab/>
        <w:t>(14)</w:t>
      </w:r>
      <w:r>
        <w:tab/>
        <w:t>No person shall intentionally fire a tool in such a way as to cause the projectile to fly free.</w:t>
      </w:r>
    </w:p>
    <w:p w:rsidR="00B40966" w:rsidRDefault="00B40966">
      <w:pPr>
        <w:pStyle w:val="Assectheading"/>
        <w:rPr>
          <w:i w:val="0"/>
        </w:rPr>
      </w:pPr>
      <w:r>
        <w:rPr>
          <w:rStyle w:val="charItals"/>
          <w:i/>
        </w:rPr>
        <w:t>Use of suitable equipment</w:t>
      </w:r>
    </w:p>
    <w:p w:rsidR="00B40966" w:rsidRDefault="00B40966">
      <w:pPr>
        <w:pStyle w:val="Amain"/>
      </w:pPr>
      <w:r>
        <w:tab/>
        <w:t>(15)</w:t>
      </w:r>
      <w:r>
        <w:tab/>
        <w:t>There shall not be used in or with any tool any projectile, explosive charge, breech plug, barrel extension or adaptor that is not of a type correctly suited to the particular tool and to the purpose for which the tool is being used.</w:t>
      </w:r>
    </w:p>
    <w:p w:rsidR="00B40966" w:rsidRDefault="00B40966">
      <w:pPr>
        <w:pStyle w:val="Amain"/>
      </w:pPr>
      <w:r>
        <w:tab/>
        <w:t>(16)</w:t>
      </w:r>
      <w:r>
        <w:tab/>
        <w:t>No tool shall be used for a purpose for which it is not properly adapted.</w:t>
      </w:r>
    </w:p>
    <w:p w:rsidR="00B40966" w:rsidRDefault="00B40966">
      <w:pPr>
        <w:pStyle w:val="Assectheading"/>
        <w:rPr>
          <w:i w:val="0"/>
        </w:rPr>
      </w:pPr>
      <w:r>
        <w:rPr>
          <w:rStyle w:val="charItals"/>
          <w:i/>
        </w:rPr>
        <w:t>Manufacturer’s recommendations</w:t>
      </w:r>
    </w:p>
    <w:p w:rsidR="00B40966" w:rsidRDefault="00B40966">
      <w:pPr>
        <w:pStyle w:val="Amain"/>
      </w:pPr>
      <w:r>
        <w:tab/>
        <w:t>(17)</w:t>
      </w:r>
      <w:r>
        <w:tab/>
        <w:t>If there appears on the container of any tool or in any printed matter supplied with any tool any instruction, advice or recommendation, not inconsistent with this regulation, about the safe use of the tool or the use with it, for reasons of safety, of any substance or thing, the tool, substance or thing shall be used in accordance with the instruction, advice or recommendation.</w:t>
      </w:r>
    </w:p>
    <w:p w:rsidR="00B40966" w:rsidRDefault="00B40966">
      <w:pPr>
        <w:pStyle w:val="Amain"/>
      </w:pPr>
      <w:r>
        <w:tab/>
        <w:t>(18)</w:t>
      </w:r>
      <w:r>
        <w:tab/>
        <w:t>Subsection (17) does not require the use of any particular brand or make of any substance or thing.</w:t>
      </w:r>
    </w:p>
    <w:p w:rsidR="00B40966" w:rsidRDefault="00B40966">
      <w:pPr>
        <w:pStyle w:val="AH4SubDiv"/>
        <w:tabs>
          <w:tab w:val="clear" w:pos="2600"/>
          <w:tab w:val="left" w:pos="0"/>
        </w:tabs>
        <w:ind w:left="0" w:firstLine="0"/>
      </w:pPr>
      <w:bookmarkStart w:id="202" w:name="_Toc87258058"/>
      <w:r>
        <w:t>Care and storage of explosive-powered tools and cartridges</w:t>
      </w:r>
      <w:bookmarkEnd w:id="202"/>
    </w:p>
    <w:p w:rsidR="00B40966" w:rsidRDefault="00B40966">
      <w:pPr>
        <w:pStyle w:val="AH5Sec"/>
      </w:pPr>
      <w:bookmarkStart w:id="203" w:name="_Toc87258059"/>
      <w:r>
        <w:rPr>
          <w:rStyle w:val="CharSectNo"/>
        </w:rPr>
        <w:t>118F</w:t>
      </w:r>
      <w:bookmarkEnd w:id="203"/>
      <w:r>
        <w:t xml:space="preserve">  </w:t>
      </w:r>
    </w:p>
    <w:p w:rsidR="00B40966" w:rsidRDefault="00B40966">
      <w:pPr>
        <w:pStyle w:val="Assectheading"/>
        <w:rPr>
          <w:i w:val="0"/>
        </w:rPr>
      </w:pPr>
      <w:r>
        <w:rPr>
          <w:rStyle w:val="charItals"/>
          <w:i/>
        </w:rPr>
        <w:t>Container for tools</w:t>
      </w:r>
    </w:p>
    <w:p w:rsidR="00B40966" w:rsidRDefault="00B40966">
      <w:pPr>
        <w:pStyle w:val="Amain"/>
      </w:pPr>
      <w:r>
        <w:tab/>
        <w:t>(1)</w:t>
      </w:r>
      <w:r>
        <w:tab/>
        <w:t>The person who directly or by his or her servants or agents carries out any work in which any explosive-powered tool is used shall keep or cause to be kept each such tool, at all times when it is not required to be removed for use, inspection, repair or other necessary purpose, in the container supplied by the maker of the tool or in an equally suitable container.</w:t>
      </w:r>
    </w:p>
    <w:p w:rsidR="00B40966" w:rsidRDefault="00B40966">
      <w:pPr>
        <w:pStyle w:val="Amain"/>
      </w:pPr>
      <w:r>
        <w:tab/>
        <w:t>(2)</w:t>
      </w:r>
      <w:r>
        <w:tab/>
        <w:t>No person shall take or keep any explosive-powered tool out of its container unless the tool is for the time being required for use, inspection, repair or other necessary purpose.</w:t>
      </w:r>
    </w:p>
    <w:p w:rsidR="00B40966" w:rsidRDefault="00B40966">
      <w:pPr>
        <w:pStyle w:val="Assectheading"/>
        <w:rPr>
          <w:i w:val="0"/>
        </w:rPr>
      </w:pPr>
      <w:r>
        <w:rPr>
          <w:rStyle w:val="charItals"/>
          <w:i/>
        </w:rPr>
        <w:t>Safekeeping of tools</w:t>
      </w:r>
    </w:p>
    <w:p w:rsidR="00B40966" w:rsidRDefault="00B40966">
      <w:pPr>
        <w:pStyle w:val="Amain"/>
      </w:pPr>
      <w:r>
        <w:tab/>
        <w:t>(3)</w:t>
      </w:r>
      <w:r>
        <w:tab/>
        <w:t>No person shall leave unattended on the site of any work, or any cartridge intended for use in a tool, unless effective precautions are taken to ensure that it will not be taken away, handled or used by unauthorised persons.</w:t>
      </w:r>
    </w:p>
    <w:p w:rsidR="00B40966" w:rsidRDefault="00B40966">
      <w:pPr>
        <w:pStyle w:val="Assectheading"/>
        <w:rPr>
          <w:i w:val="0"/>
        </w:rPr>
      </w:pPr>
      <w:r>
        <w:rPr>
          <w:rStyle w:val="charItals"/>
          <w:i/>
        </w:rPr>
        <w:t>Loaded tools</w:t>
      </w:r>
    </w:p>
    <w:p w:rsidR="00B40966" w:rsidRDefault="00B40966">
      <w:pPr>
        <w:pStyle w:val="Amain"/>
      </w:pPr>
      <w:r>
        <w:tab/>
        <w:t>(4)</w:t>
      </w:r>
      <w:r>
        <w:tab/>
        <w:t>No person shall, elsewhere than at the place where the tool is to be used, load any tool for use in any work.</w:t>
      </w:r>
    </w:p>
    <w:p w:rsidR="00B40966" w:rsidRDefault="00B40966">
      <w:pPr>
        <w:pStyle w:val="Amain"/>
      </w:pPr>
      <w:r>
        <w:tab/>
        <w:t>(5)</w:t>
      </w:r>
      <w:r>
        <w:tab/>
        <w:t>No person shall in the course of any work carry or transport a loaded tool from place to place, unless because of mechanical failure the tool cannot be unloaded.</w:t>
      </w:r>
    </w:p>
    <w:p w:rsidR="00B40966" w:rsidRDefault="00B40966">
      <w:pPr>
        <w:pStyle w:val="Assectheading"/>
        <w:rPr>
          <w:i w:val="0"/>
        </w:rPr>
      </w:pPr>
      <w:r>
        <w:rPr>
          <w:rStyle w:val="charItals"/>
          <w:i/>
        </w:rPr>
        <w:t>Cartridges</w:t>
      </w:r>
    </w:p>
    <w:p w:rsidR="00B40966" w:rsidRDefault="00B40966">
      <w:pPr>
        <w:pStyle w:val="Amain"/>
      </w:pPr>
      <w:r>
        <w:tab/>
        <w:t>(6)</w:t>
      </w:r>
      <w:r>
        <w:tab/>
        <w:t>The person who directly or by his or her servants or agents carries out any work in which a tool is used shall ensure that the cartridges for all such tools are kept in a metal container or metal containers, and shall ensure that each such container—</w:t>
      </w:r>
    </w:p>
    <w:p w:rsidR="00B40966" w:rsidRDefault="00B40966">
      <w:pPr>
        <w:pStyle w:val="Apara"/>
      </w:pPr>
      <w:r>
        <w:tab/>
        <w:t>(a)</w:t>
      </w:r>
      <w:r>
        <w:tab/>
        <w:t>is kept clearly marked with the word ‘</w:t>
      </w:r>
      <w:r>
        <w:rPr>
          <w:caps/>
        </w:rPr>
        <w:t>Explosive</w:t>
      </w:r>
      <w:r>
        <w:t>’; and</w:t>
      </w:r>
    </w:p>
    <w:p w:rsidR="00B40966" w:rsidRDefault="00B40966">
      <w:pPr>
        <w:pStyle w:val="Apara"/>
      </w:pPr>
      <w:r>
        <w:tab/>
        <w:t>(b)</w:t>
      </w:r>
      <w:r>
        <w:tab/>
        <w:t>is kept locked at all times except when cartridges are being placed in it or removed from it; and</w:t>
      </w:r>
    </w:p>
    <w:p w:rsidR="00B40966" w:rsidRDefault="00B40966">
      <w:pPr>
        <w:pStyle w:val="Apara"/>
      </w:pPr>
      <w:r>
        <w:tab/>
        <w:t>(c)</w:t>
      </w:r>
      <w:r>
        <w:tab/>
        <w:t>is not, while it is on the site of the work, opened except by a person using a tool or assisting in the use of a tool; and</w:t>
      </w:r>
    </w:p>
    <w:p w:rsidR="00B40966" w:rsidRDefault="00B40966">
      <w:pPr>
        <w:pStyle w:val="Apara"/>
      </w:pPr>
      <w:r>
        <w:tab/>
        <w:t>(d)</w:t>
      </w:r>
      <w:r>
        <w:tab/>
        <w:t>contains nothing except cartridges.</w:t>
      </w:r>
    </w:p>
    <w:p w:rsidR="00B40966" w:rsidRDefault="00B40966">
      <w:pPr>
        <w:pStyle w:val="AH4SubDiv"/>
      </w:pPr>
      <w:bookmarkStart w:id="204" w:name="_Toc87258060"/>
      <w:r>
        <w:t>Protective devices</w:t>
      </w:r>
      <w:bookmarkEnd w:id="204"/>
    </w:p>
    <w:p w:rsidR="00B40966" w:rsidRDefault="00B40966">
      <w:pPr>
        <w:pStyle w:val="AH5Sec"/>
      </w:pPr>
      <w:bookmarkStart w:id="205" w:name="_Toc87258061"/>
      <w:r>
        <w:rPr>
          <w:rStyle w:val="CharSectNo"/>
        </w:rPr>
        <w:t>118G</w:t>
      </w:r>
      <w:bookmarkEnd w:id="205"/>
      <w:r>
        <w:t xml:space="preserve">  </w:t>
      </w:r>
    </w:p>
    <w:p w:rsidR="00B40966" w:rsidRDefault="00B40966">
      <w:pPr>
        <w:pStyle w:val="Amain"/>
      </w:pPr>
      <w:r>
        <w:tab/>
        <w:t>(1)</w:t>
      </w:r>
      <w:r>
        <w:tab/>
        <w:t>The contractor shall provide, for the use of each person employed by the contractor in any work who in the work uses or assists in the use of an explosive-powered tool, an effective device of an approved type for the protection of the eyes of the person from missiles and flying particles.</w:t>
      </w:r>
    </w:p>
    <w:p w:rsidR="00B40966" w:rsidRDefault="00B40966">
      <w:pPr>
        <w:pStyle w:val="Amain"/>
      </w:pPr>
      <w:r>
        <w:tab/>
        <w:t>(2)</w:t>
      </w:r>
      <w:r>
        <w:tab/>
        <w:t>The device so provided for the use of any person shall not be one that has been used by any other person, unless it is of metal, plastic or other non-absorbent material and has been thoroughly cleaned.</w:t>
      </w:r>
    </w:p>
    <w:p w:rsidR="00B40966" w:rsidRDefault="00B40966">
      <w:pPr>
        <w:pStyle w:val="Amain"/>
      </w:pPr>
      <w:r>
        <w:tab/>
        <w:t>(3)</w:t>
      </w:r>
      <w:r>
        <w:tab/>
        <w:t>No person for whose use such a device has been provided in accordance with this section shall in the work use or assist in the use of any tool unless the person is using that device.</w:t>
      </w:r>
    </w:p>
    <w:p w:rsidR="00B40966" w:rsidRDefault="00B40966">
      <w:pPr>
        <w:pStyle w:val="AH4SubDiv"/>
      </w:pPr>
      <w:bookmarkStart w:id="206" w:name="_Toc87258062"/>
      <w:r>
        <w:t>Warning notices</w:t>
      </w:r>
      <w:bookmarkEnd w:id="206"/>
    </w:p>
    <w:p w:rsidR="00B40966" w:rsidRDefault="00B40966">
      <w:pPr>
        <w:pStyle w:val="AH5Sec"/>
      </w:pPr>
      <w:bookmarkStart w:id="207" w:name="_Toc87258063"/>
      <w:r>
        <w:rPr>
          <w:rStyle w:val="CharSectNo"/>
        </w:rPr>
        <w:t>118H</w:t>
      </w:r>
      <w:bookmarkEnd w:id="207"/>
      <w:r>
        <w:t xml:space="preserve">  </w:t>
      </w:r>
    </w:p>
    <w:p w:rsidR="00B40966" w:rsidRDefault="00B40966">
      <w:pPr>
        <w:pStyle w:val="Amainreturn"/>
      </w:pPr>
      <w:r>
        <w:t>At all times when an explosive-powered tool is being used in any work, the person who directly or by his or her servants or agents is carrying out that work shall cause to be displayed on the site of the work, so as to be clearly legible by all persons who are at or near the place where the tool is being used, a notice or notices as follows:</w:t>
      </w:r>
    </w:p>
    <w:p w:rsidR="00B40966" w:rsidRDefault="00B40966">
      <w:pPr>
        <w:pStyle w:val="Amainreturn"/>
      </w:pPr>
      <w:r>
        <w:t>‘Warning—Explosive-Powered Tool In Use’.</w:t>
      </w:r>
    </w:p>
    <w:p w:rsidR="00B40966" w:rsidRDefault="00B40966">
      <w:pPr>
        <w:pStyle w:val="02Text"/>
        <w:sectPr w:rsidR="00B40966">
          <w:headerReference w:type="even" r:id="rId31"/>
          <w:headerReference w:type="default" r:id="rId32"/>
          <w:footerReference w:type="even" r:id="rId33"/>
          <w:footerReference w:type="default" r:id="rId34"/>
          <w:footerReference w:type="first" r:id="rId35"/>
          <w:pgSz w:w="11907" w:h="16839" w:code="9"/>
          <w:pgMar w:top="3000" w:right="1900" w:bottom="2500" w:left="2300" w:header="2480" w:footer="2100" w:gutter="0"/>
          <w:cols w:space="720"/>
          <w:docGrid w:linePitch="254"/>
        </w:sectPr>
      </w:pPr>
    </w:p>
    <w:p w:rsidR="00B40966" w:rsidRDefault="00B40966">
      <w:pPr>
        <w:pStyle w:val="AH2Part"/>
      </w:pPr>
      <w:bookmarkStart w:id="208" w:name="_Toc87258064"/>
      <w:r>
        <w:rPr>
          <w:rStyle w:val="CharPartNo"/>
        </w:rPr>
        <w:t>Part 10</w:t>
      </w:r>
      <w:r>
        <w:tab/>
      </w:r>
      <w:r>
        <w:rPr>
          <w:rStyle w:val="CharPartText"/>
        </w:rPr>
        <w:t>Measures to be taken for securing the health of persons in building work, excavation work and compressed air work by provision of first-aid equipment, shelter, change and dining accommodation, sanitary conveniences and washing facilities</w:t>
      </w:r>
      <w:bookmarkEnd w:id="208"/>
    </w:p>
    <w:p w:rsidR="00B40966" w:rsidRDefault="00B40966">
      <w:pPr>
        <w:pStyle w:val="AH3Div"/>
      </w:pPr>
      <w:bookmarkStart w:id="209" w:name="_Toc87258065"/>
      <w:r>
        <w:rPr>
          <w:rStyle w:val="CharDivNo"/>
        </w:rPr>
        <w:t>Division 10.1</w:t>
      </w:r>
      <w:r>
        <w:rPr>
          <w:rStyle w:val="CharDivNo"/>
        </w:rPr>
        <w:tab/>
      </w:r>
      <w:r>
        <w:rPr>
          <w:rStyle w:val="CharDivText"/>
        </w:rPr>
        <w:t>First-aid equipment</w:t>
      </w:r>
      <w:bookmarkEnd w:id="209"/>
    </w:p>
    <w:p w:rsidR="00B40966" w:rsidRDefault="00B40966">
      <w:pPr>
        <w:pStyle w:val="AH5Sec"/>
      </w:pPr>
      <w:bookmarkStart w:id="210" w:name="_Toc87258066"/>
      <w:r>
        <w:rPr>
          <w:rStyle w:val="CharSectNo"/>
        </w:rPr>
        <w:t>119</w:t>
      </w:r>
      <w:bookmarkEnd w:id="210"/>
      <w:r>
        <w:tab/>
        <w:t xml:space="preserve">  </w:t>
      </w:r>
    </w:p>
    <w:p w:rsidR="00B40966" w:rsidRDefault="00B40966">
      <w:pPr>
        <w:pStyle w:val="Amain"/>
      </w:pPr>
      <w:r>
        <w:tab/>
        <w:t>(1)</w:t>
      </w:r>
      <w:r>
        <w:tab/>
        <w:t>On every building work, excavation work or compressed air work where not more than 25 persons are employed, there shall be provided a first-aid chest that shall be equipped and maintained to contain at least the following requisites and appliances, unless otherwise approved:</w:t>
      </w:r>
    </w:p>
    <w:p w:rsidR="00B40966" w:rsidRDefault="00B40966"/>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B40966">
        <w:trPr>
          <w:cantSplit/>
          <w:tblHeader/>
        </w:trPr>
        <w:tc>
          <w:tcPr>
            <w:tcW w:w="3160" w:type="dxa"/>
            <w:tcBorders>
              <w:bottom w:val="single" w:sz="4" w:space="0" w:color="auto"/>
            </w:tcBorders>
          </w:tcPr>
          <w:p w:rsidR="00B40966" w:rsidRDefault="00B40966">
            <w:pPr>
              <w:pStyle w:val="TableColHd"/>
            </w:pPr>
            <w:r>
              <w:t>items</w:t>
            </w:r>
          </w:p>
        </w:tc>
        <w:tc>
          <w:tcPr>
            <w:tcW w:w="3800" w:type="dxa"/>
            <w:tcBorders>
              <w:bottom w:val="single" w:sz="4" w:space="0" w:color="auto"/>
            </w:tcBorders>
          </w:tcPr>
          <w:p w:rsidR="00B40966" w:rsidRDefault="00B40966">
            <w:pPr>
              <w:pStyle w:val="TableColHd"/>
            </w:pPr>
            <w:r>
              <w:t>specifications</w:t>
            </w:r>
          </w:p>
        </w:tc>
      </w:tr>
      <w:tr w:rsidR="00B40966">
        <w:trPr>
          <w:cantSplit/>
        </w:trPr>
        <w:tc>
          <w:tcPr>
            <w:tcW w:w="3160" w:type="dxa"/>
            <w:tcBorders>
              <w:top w:val="single" w:sz="4" w:space="0" w:color="auto"/>
            </w:tcBorders>
          </w:tcPr>
          <w:p w:rsidR="00B40966" w:rsidRDefault="00B40966">
            <w:pPr>
              <w:pStyle w:val="TableText"/>
            </w:pPr>
            <w:r>
              <w:t>Dettol, Melasol, Zephiran, or Solyptol solutions, 4 oz</w:t>
            </w:r>
          </w:p>
        </w:tc>
        <w:tc>
          <w:tcPr>
            <w:tcW w:w="3800" w:type="dxa"/>
            <w:tcBorders>
              <w:top w:val="single" w:sz="4" w:space="0" w:color="auto"/>
            </w:tcBorders>
          </w:tcPr>
          <w:p w:rsidR="00B40966" w:rsidRDefault="00B40966">
            <w:pPr>
              <w:pStyle w:val="TableText"/>
            </w:pPr>
          </w:p>
        </w:tc>
      </w:tr>
      <w:tr w:rsidR="00B40966">
        <w:trPr>
          <w:cantSplit/>
        </w:trPr>
        <w:tc>
          <w:tcPr>
            <w:tcW w:w="3160" w:type="dxa"/>
          </w:tcPr>
          <w:p w:rsidR="00B40966" w:rsidRDefault="00B40966">
            <w:pPr>
              <w:pStyle w:val="TableText"/>
            </w:pPr>
            <w:r>
              <w:t>castor oil, 1 oz</w:t>
            </w:r>
            <w:r>
              <w:tab/>
            </w:r>
          </w:p>
        </w:tc>
        <w:tc>
          <w:tcPr>
            <w:tcW w:w="3800" w:type="dxa"/>
          </w:tcPr>
          <w:p w:rsidR="00B40966" w:rsidRDefault="00B40966">
            <w:pPr>
              <w:pStyle w:val="TableText"/>
            </w:pPr>
            <w:r>
              <w:t>with glass rod bulged, pendant</w:t>
            </w:r>
          </w:p>
        </w:tc>
      </w:tr>
      <w:tr w:rsidR="00B40966">
        <w:trPr>
          <w:cantSplit/>
        </w:trPr>
        <w:tc>
          <w:tcPr>
            <w:tcW w:w="3160" w:type="dxa"/>
          </w:tcPr>
          <w:p w:rsidR="00B40966" w:rsidRDefault="00B40966">
            <w:pPr>
              <w:pStyle w:val="TableText"/>
            </w:pPr>
            <w:r>
              <w:t>sal volatile, 2 oz</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finger dressings (12)</w:t>
            </w:r>
          </w:p>
        </w:tc>
        <w:tc>
          <w:tcPr>
            <w:tcW w:w="3800" w:type="dxa"/>
          </w:tcPr>
          <w:p w:rsidR="00B40966" w:rsidRDefault="00B40966">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B40966">
        <w:trPr>
          <w:cantSplit/>
        </w:trPr>
        <w:tc>
          <w:tcPr>
            <w:tcW w:w="3160" w:type="dxa"/>
          </w:tcPr>
          <w:p w:rsidR="00B40966" w:rsidRDefault="00B40966">
            <w:pPr>
              <w:pStyle w:val="TableText"/>
            </w:pPr>
            <w:r>
              <w:t>adhesive strapping, 1 inch (1 reel)</w:t>
            </w:r>
          </w:p>
        </w:tc>
        <w:tc>
          <w:tcPr>
            <w:tcW w:w="3800" w:type="dxa"/>
          </w:tcPr>
          <w:p w:rsidR="00B40966" w:rsidRDefault="00B40966">
            <w:pPr>
              <w:pStyle w:val="TableText"/>
            </w:pPr>
            <w:r>
              <w:t>1st quality</w:t>
            </w:r>
          </w:p>
        </w:tc>
      </w:tr>
      <w:tr w:rsidR="00B40966">
        <w:trPr>
          <w:cantSplit/>
        </w:trPr>
        <w:tc>
          <w:tcPr>
            <w:tcW w:w="3160" w:type="dxa"/>
          </w:tcPr>
          <w:p w:rsidR="00B40966" w:rsidRDefault="00B40966">
            <w:pPr>
              <w:pStyle w:val="TableText"/>
            </w:pPr>
            <w:r>
              <w:t>cotton wool, 4 oz</w:t>
            </w:r>
          </w:p>
        </w:tc>
        <w:tc>
          <w:tcPr>
            <w:tcW w:w="3800" w:type="dxa"/>
          </w:tcPr>
          <w:p w:rsidR="00B40966" w:rsidRDefault="00B40966">
            <w:pPr>
              <w:pStyle w:val="TableText"/>
            </w:pPr>
            <w:r>
              <w:t>to be sterile and to be enclosed in 1 oz quantities in sealed cartons</w:t>
            </w:r>
          </w:p>
        </w:tc>
      </w:tr>
      <w:tr w:rsidR="00B40966">
        <w:trPr>
          <w:cantSplit/>
        </w:trPr>
        <w:tc>
          <w:tcPr>
            <w:tcW w:w="3160" w:type="dxa"/>
          </w:tcPr>
          <w:p w:rsidR="00B40966" w:rsidRDefault="00B40966">
            <w:pPr>
              <w:pStyle w:val="TableText"/>
            </w:pPr>
            <w:r>
              <w:t>bicarbonate of soda, 2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boracic acid, 2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plain gauze, 1 yard</w:t>
            </w:r>
          </w:p>
        </w:tc>
        <w:tc>
          <w:tcPr>
            <w:tcW w:w="3800" w:type="dxa"/>
          </w:tcPr>
          <w:p w:rsidR="00B40966" w:rsidRDefault="00B40966">
            <w:pPr>
              <w:pStyle w:val="TableText"/>
            </w:pPr>
            <w:r>
              <w:t>enclosed in a sealed carton</w:t>
            </w:r>
          </w:p>
        </w:tc>
      </w:tr>
      <w:tr w:rsidR="00B40966">
        <w:trPr>
          <w:cantSplit/>
        </w:trPr>
        <w:tc>
          <w:tcPr>
            <w:tcW w:w="3160" w:type="dxa"/>
          </w:tcPr>
          <w:p w:rsidR="00B40966" w:rsidRDefault="00B40966">
            <w:pPr>
              <w:pStyle w:val="TableText"/>
            </w:pPr>
            <w:r>
              <w:t>roller bandages, 1</w:t>
            </w:r>
            <w:r>
              <w:rPr>
                <w:rFonts w:ascii="Palatino" w:hAnsi="Palatino"/>
              </w:rPr>
              <w:t xml:space="preserve"> </w:t>
            </w:r>
            <w:r>
              <w:t>inch (3)</w:t>
            </w:r>
          </w:p>
        </w:tc>
        <w:tc>
          <w:tcPr>
            <w:tcW w:w="3800" w:type="dxa"/>
          </w:tcPr>
          <w:p w:rsidR="00B40966" w:rsidRDefault="00B40966">
            <w:pPr>
              <w:pStyle w:val="TableText"/>
            </w:pPr>
            <w:r>
              <w:t>to be enclosed in a sealed envelope</w:t>
            </w:r>
          </w:p>
        </w:tc>
      </w:tr>
      <w:tr w:rsidR="00B40966">
        <w:trPr>
          <w:cantSplit/>
        </w:trPr>
        <w:tc>
          <w:tcPr>
            <w:tcW w:w="3160" w:type="dxa"/>
          </w:tcPr>
          <w:p w:rsidR="00B40966" w:rsidRDefault="00B40966">
            <w:pPr>
              <w:pStyle w:val="TableText"/>
            </w:pPr>
            <w:r>
              <w:t>triangular bandages</w:t>
            </w:r>
            <w:r>
              <w:rPr>
                <w:b/>
              </w:rPr>
              <w:t xml:space="preserve"> </w:t>
            </w:r>
            <w:r>
              <w:t>(3)</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tourniquet</w:t>
            </w:r>
            <w:r>
              <w:rPr>
                <w:b/>
              </w:rPr>
              <w:t xml:space="preserve"> </w:t>
            </w:r>
            <w:r>
              <w:t>(1)</w:t>
            </w:r>
          </w:p>
        </w:tc>
        <w:tc>
          <w:tcPr>
            <w:tcW w:w="3800" w:type="dxa"/>
          </w:tcPr>
          <w:p w:rsidR="00B40966" w:rsidRDefault="00B40966">
            <w:pPr>
              <w:pStyle w:val="TableText"/>
            </w:pPr>
            <w:r>
              <w:t>St. John’s</w:t>
            </w:r>
          </w:p>
        </w:tc>
      </w:tr>
      <w:tr w:rsidR="00B40966">
        <w:trPr>
          <w:cantSplit/>
        </w:trPr>
        <w:tc>
          <w:tcPr>
            <w:tcW w:w="3160" w:type="dxa"/>
          </w:tcPr>
          <w:p w:rsidR="00B40966" w:rsidRDefault="00B40966">
            <w:pPr>
              <w:pStyle w:val="TableText"/>
            </w:pPr>
            <w:r>
              <w:t>medicine glass, 2 oz</w:t>
            </w:r>
            <w:r>
              <w:rPr>
                <w:b/>
              </w:rPr>
              <w:t xml:space="preserve"> </w:t>
            </w:r>
            <w:r>
              <w:t>(1)</w:t>
            </w:r>
          </w:p>
        </w:tc>
        <w:tc>
          <w:tcPr>
            <w:tcW w:w="3800" w:type="dxa"/>
          </w:tcPr>
          <w:p w:rsidR="00B40966" w:rsidRDefault="00B40966">
            <w:pPr>
              <w:pStyle w:val="TableText"/>
            </w:pPr>
            <w:r>
              <w:t>to be marked for teaspoon, dessertspoon and tablespoonful doses</w:t>
            </w:r>
          </w:p>
        </w:tc>
      </w:tr>
      <w:tr w:rsidR="00B40966">
        <w:trPr>
          <w:cantSplit/>
        </w:trPr>
        <w:tc>
          <w:tcPr>
            <w:tcW w:w="3160" w:type="dxa"/>
          </w:tcPr>
          <w:p w:rsidR="00B40966" w:rsidRDefault="00B40966">
            <w:pPr>
              <w:pStyle w:val="TableText"/>
            </w:pPr>
            <w:r>
              <w:t>eye bath</w:t>
            </w:r>
            <w:r>
              <w:rPr>
                <w:b/>
              </w:rPr>
              <w:t xml:space="preserve"> </w:t>
            </w:r>
            <w:r>
              <w:t>(1)</w:t>
            </w:r>
          </w:p>
        </w:tc>
        <w:tc>
          <w:tcPr>
            <w:tcW w:w="3800" w:type="dxa"/>
          </w:tcPr>
          <w:p w:rsidR="00B40966" w:rsidRDefault="00B40966">
            <w:pPr>
              <w:pStyle w:val="TableText"/>
            </w:pPr>
            <w:r>
              <w:t>of 1st quality plastic</w:t>
            </w:r>
          </w:p>
        </w:tc>
      </w:tr>
      <w:tr w:rsidR="00B40966">
        <w:trPr>
          <w:cantSplit/>
        </w:trPr>
        <w:tc>
          <w:tcPr>
            <w:tcW w:w="3160" w:type="dxa"/>
          </w:tcPr>
          <w:p w:rsidR="00B40966" w:rsidRDefault="00B40966">
            <w:pPr>
              <w:pStyle w:val="TableText"/>
            </w:pPr>
            <w:r>
              <w:t>dressing forceps, 5 inch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splinter forceps, 5 inch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scissors, 5 inch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towels</w:t>
            </w:r>
            <w:r>
              <w:rPr>
                <w:b/>
              </w:rPr>
              <w:t xml:space="preserve"> </w:t>
            </w:r>
            <w:r>
              <w:t>(1)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basin, 7</w:t>
            </w:r>
            <w:r>
              <w:rPr>
                <w:position w:val="6"/>
                <w:sz w:val="18"/>
              </w:rPr>
              <w:t>1</w:t>
            </w:r>
            <w:r>
              <w:t>/</w:t>
            </w:r>
            <w:r>
              <w:rPr>
                <w:sz w:val="18"/>
              </w:rPr>
              <w:t>2</w:t>
            </w:r>
            <w:r>
              <w:t xml:space="preserve"> inches diam. (1)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safety pins</w:t>
            </w:r>
            <w:r>
              <w:rPr>
                <w:b/>
              </w:rPr>
              <w:t xml:space="preserve"> </w:t>
            </w:r>
            <w:r>
              <w:t>(12)</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drinking mug</w:t>
            </w:r>
            <w:r>
              <w:rPr>
                <w:b/>
              </w:rPr>
              <w:t xml:space="preserve"> </w:t>
            </w:r>
            <w:r>
              <w:t>(1)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first-aid pamphlet</w:t>
            </w:r>
            <w:r>
              <w:rPr>
                <w:b/>
              </w:rPr>
              <w:t xml:space="preserve"> </w:t>
            </w:r>
            <w:r>
              <w:t>(1)</w:t>
            </w:r>
          </w:p>
        </w:tc>
        <w:tc>
          <w:tcPr>
            <w:tcW w:w="3800" w:type="dxa"/>
          </w:tcPr>
          <w:p w:rsidR="00B40966" w:rsidRDefault="00B40966">
            <w:pPr>
              <w:pStyle w:val="TableText"/>
            </w:pPr>
            <w:r>
              <w:t>Departmental ‘First-aid in Industry’.</w:t>
            </w:r>
          </w:p>
        </w:tc>
      </w:tr>
    </w:tbl>
    <w:p w:rsidR="00B40966" w:rsidRDefault="00B40966"/>
    <w:p w:rsidR="00B40966" w:rsidRDefault="00B40966">
      <w:pPr>
        <w:pStyle w:val="Amain"/>
      </w:pPr>
      <w:r>
        <w:tab/>
        <w:t>(2)</w:t>
      </w:r>
      <w:r>
        <w:tab/>
        <w:t>On every building work, excavation work or compressed air work where more than 25 and not more than 100 persons are employed, there shall be provided a first-aid chest that shall be equipped and maintained to contain at least the following requisites and appliances unless otherwise approved:</w:t>
      </w:r>
    </w:p>
    <w:p w:rsidR="00B40966" w:rsidRDefault="00B40966"/>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B40966">
        <w:trPr>
          <w:cantSplit/>
          <w:tblHeader/>
        </w:trPr>
        <w:tc>
          <w:tcPr>
            <w:tcW w:w="3160" w:type="dxa"/>
            <w:tcBorders>
              <w:bottom w:val="single" w:sz="4" w:space="0" w:color="auto"/>
            </w:tcBorders>
          </w:tcPr>
          <w:p w:rsidR="00B40966" w:rsidRDefault="00B40966">
            <w:pPr>
              <w:pStyle w:val="TableColHd"/>
            </w:pPr>
            <w:r>
              <w:t>items</w:t>
            </w:r>
          </w:p>
        </w:tc>
        <w:tc>
          <w:tcPr>
            <w:tcW w:w="3800" w:type="dxa"/>
            <w:tcBorders>
              <w:bottom w:val="single" w:sz="4" w:space="0" w:color="auto"/>
            </w:tcBorders>
          </w:tcPr>
          <w:p w:rsidR="00B40966" w:rsidRDefault="00B40966">
            <w:pPr>
              <w:pStyle w:val="TableColHd"/>
            </w:pPr>
            <w:r>
              <w:t>specifications</w:t>
            </w:r>
          </w:p>
        </w:tc>
      </w:tr>
      <w:tr w:rsidR="00B40966">
        <w:trPr>
          <w:cantSplit/>
        </w:trPr>
        <w:tc>
          <w:tcPr>
            <w:tcW w:w="3160" w:type="dxa"/>
            <w:tcBorders>
              <w:top w:val="single" w:sz="4" w:space="0" w:color="auto"/>
            </w:tcBorders>
          </w:tcPr>
          <w:p w:rsidR="00B40966" w:rsidRDefault="00B40966">
            <w:pPr>
              <w:pStyle w:val="TableText"/>
            </w:pPr>
            <w:r>
              <w:t>Dettol, Melasol, Zephiran, or Solyptol solutions 8 oz</w:t>
            </w:r>
          </w:p>
        </w:tc>
        <w:tc>
          <w:tcPr>
            <w:tcW w:w="3800" w:type="dxa"/>
            <w:tcBorders>
              <w:top w:val="single" w:sz="4" w:space="0" w:color="auto"/>
            </w:tcBorders>
          </w:tcPr>
          <w:p w:rsidR="00B40966" w:rsidRDefault="00B40966">
            <w:pPr>
              <w:pStyle w:val="TableText"/>
            </w:pPr>
          </w:p>
        </w:tc>
      </w:tr>
      <w:tr w:rsidR="00B40966">
        <w:trPr>
          <w:cantSplit/>
        </w:trPr>
        <w:tc>
          <w:tcPr>
            <w:tcW w:w="3160" w:type="dxa"/>
          </w:tcPr>
          <w:p w:rsidR="00B40966" w:rsidRDefault="00B40966">
            <w:pPr>
              <w:pStyle w:val="TableText"/>
            </w:pPr>
            <w:r>
              <w:t>castor oil, 1 oz</w:t>
            </w:r>
            <w:r>
              <w:tab/>
            </w:r>
          </w:p>
        </w:tc>
        <w:tc>
          <w:tcPr>
            <w:tcW w:w="3800" w:type="dxa"/>
          </w:tcPr>
          <w:p w:rsidR="00B40966" w:rsidRDefault="00B40966">
            <w:pPr>
              <w:pStyle w:val="TableText"/>
            </w:pPr>
            <w:r>
              <w:t>with glass rod bulged, pendant</w:t>
            </w:r>
          </w:p>
        </w:tc>
      </w:tr>
      <w:tr w:rsidR="00B40966">
        <w:trPr>
          <w:cantSplit/>
        </w:trPr>
        <w:tc>
          <w:tcPr>
            <w:tcW w:w="3160" w:type="dxa"/>
          </w:tcPr>
          <w:p w:rsidR="00B40966" w:rsidRDefault="00B40966">
            <w:pPr>
              <w:pStyle w:val="TableText"/>
            </w:pPr>
            <w:r>
              <w:t>sal volatile, 4 oz</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finger dressings (24)</w:t>
            </w:r>
          </w:p>
        </w:tc>
        <w:tc>
          <w:tcPr>
            <w:tcW w:w="3800" w:type="dxa"/>
          </w:tcPr>
          <w:p w:rsidR="00B40966" w:rsidRDefault="00B40966">
            <w:pPr>
              <w:pStyle w:val="TableText"/>
            </w:pPr>
            <w:r>
              <w:t>To be of gauze 12</w:t>
            </w:r>
            <w:r>
              <w:rPr>
                <w:rFonts w:ascii="Palatino" w:hAnsi="Palatino"/>
              </w:rPr>
              <w:t xml:space="preserve"> </w:t>
            </w:r>
            <w:r>
              <w:t xml:space="preserve">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B40966">
        <w:trPr>
          <w:cantSplit/>
        </w:trPr>
        <w:tc>
          <w:tcPr>
            <w:tcW w:w="3160" w:type="dxa"/>
          </w:tcPr>
          <w:p w:rsidR="00B40966" w:rsidRDefault="00B40966">
            <w:pPr>
              <w:pStyle w:val="TableText"/>
            </w:pPr>
            <w:r>
              <w:t>adhesive strapping, 1 inch (2 reels)</w:t>
            </w:r>
          </w:p>
        </w:tc>
        <w:tc>
          <w:tcPr>
            <w:tcW w:w="3800" w:type="dxa"/>
          </w:tcPr>
          <w:p w:rsidR="00B40966" w:rsidRDefault="00B40966">
            <w:pPr>
              <w:pStyle w:val="TableText"/>
            </w:pPr>
            <w:r>
              <w:t>1st quality</w:t>
            </w:r>
          </w:p>
        </w:tc>
      </w:tr>
      <w:tr w:rsidR="00B40966">
        <w:trPr>
          <w:cantSplit/>
        </w:trPr>
        <w:tc>
          <w:tcPr>
            <w:tcW w:w="3160" w:type="dxa"/>
          </w:tcPr>
          <w:p w:rsidR="00B40966" w:rsidRDefault="00B40966">
            <w:pPr>
              <w:pStyle w:val="TableText"/>
            </w:pPr>
            <w:r>
              <w:t>cotton wool, 8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bicarbonate of soda, 4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boracic acid, 4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plain gauze (2 yds)</w:t>
            </w:r>
          </w:p>
        </w:tc>
        <w:tc>
          <w:tcPr>
            <w:tcW w:w="3800" w:type="dxa"/>
          </w:tcPr>
          <w:p w:rsidR="00B40966" w:rsidRDefault="00B40966">
            <w:pPr>
              <w:pStyle w:val="TableText"/>
            </w:pPr>
            <w:r>
              <w:t>in yard quantities each enclosed in a sealed carton</w:t>
            </w:r>
          </w:p>
        </w:tc>
      </w:tr>
      <w:tr w:rsidR="00B40966">
        <w:trPr>
          <w:cantSplit/>
        </w:trPr>
        <w:tc>
          <w:tcPr>
            <w:tcW w:w="3160" w:type="dxa"/>
          </w:tcPr>
          <w:p w:rsidR="00B40966" w:rsidRDefault="00B40966">
            <w:pPr>
              <w:pStyle w:val="TableText"/>
            </w:pPr>
            <w:r>
              <w:t>roller bandages, 1 inch (6)</w:t>
            </w:r>
          </w:p>
        </w:tc>
        <w:tc>
          <w:tcPr>
            <w:tcW w:w="3800" w:type="dxa"/>
          </w:tcPr>
          <w:p w:rsidR="00B40966" w:rsidRDefault="00B40966">
            <w:pPr>
              <w:pStyle w:val="TableText"/>
            </w:pPr>
            <w:r>
              <w:t>to be enclosed in a sealed envelope</w:t>
            </w:r>
          </w:p>
        </w:tc>
      </w:tr>
      <w:tr w:rsidR="00B40966">
        <w:trPr>
          <w:cantSplit/>
        </w:trPr>
        <w:tc>
          <w:tcPr>
            <w:tcW w:w="3160" w:type="dxa"/>
          </w:tcPr>
          <w:p w:rsidR="00B40966" w:rsidRDefault="00B40966">
            <w:pPr>
              <w:pStyle w:val="TableText"/>
            </w:pPr>
            <w:r>
              <w:t>roller bandages, 2 inch (6)</w:t>
            </w:r>
          </w:p>
        </w:tc>
        <w:tc>
          <w:tcPr>
            <w:tcW w:w="3800" w:type="dxa"/>
          </w:tcPr>
          <w:p w:rsidR="00B40966" w:rsidRDefault="00B40966">
            <w:pPr>
              <w:pStyle w:val="TableText"/>
            </w:pPr>
            <w:r>
              <w:t>to be enclosed in a sealed envelope</w:t>
            </w:r>
          </w:p>
        </w:tc>
      </w:tr>
      <w:tr w:rsidR="00B40966">
        <w:trPr>
          <w:cantSplit/>
        </w:trPr>
        <w:tc>
          <w:tcPr>
            <w:tcW w:w="3160" w:type="dxa"/>
          </w:tcPr>
          <w:p w:rsidR="00B40966" w:rsidRDefault="00B40966">
            <w:pPr>
              <w:pStyle w:val="TableText"/>
            </w:pPr>
            <w:r>
              <w:t>triangular bandages</w:t>
            </w:r>
            <w:r>
              <w:rPr>
                <w:b/>
              </w:rPr>
              <w:t xml:space="preserve"> </w:t>
            </w:r>
            <w:r>
              <w:t>(4)</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tourniquet</w:t>
            </w:r>
            <w:r>
              <w:rPr>
                <w:b/>
              </w:rPr>
              <w:t xml:space="preserve"> </w:t>
            </w:r>
            <w:r>
              <w:t>(1)</w:t>
            </w:r>
          </w:p>
        </w:tc>
        <w:tc>
          <w:tcPr>
            <w:tcW w:w="3800" w:type="dxa"/>
          </w:tcPr>
          <w:p w:rsidR="00B40966" w:rsidRDefault="00B40966">
            <w:pPr>
              <w:pStyle w:val="TableText"/>
            </w:pPr>
            <w:r>
              <w:t>St. John’s</w:t>
            </w:r>
          </w:p>
        </w:tc>
      </w:tr>
      <w:tr w:rsidR="00B40966">
        <w:trPr>
          <w:cantSplit/>
        </w:trPr>
        <w:tc>
          <w:tcPr>
            <w:tcW w:w="3160" w:type="dxa"/>
          </w:tcPr>
          <w:p w:rsidR="00B40966" w:rsidRDefault="00B40966">
            <w:pPr>
              <w:pStyle w:val="TableText"/>
            </w:pPr>
            <w:r>
              <w:t>medicine glass, 2 oz</w:t>
            </w:r>
            <w:r>
              <w:rPr>
                <w:b/>
              </w:rPr>
              <w:t xml:space="preserve"> </w:t>
            </w:r>
            <w:r>
              <w:t>(1)</w:t>
            </w:r>
          </w:p>
        </w:tc>
        <w:tc>
          <w:tcPr>
            <w:tcW w:w="3800" w:type="dxa"/>
          </w:tcPr>
          <w:p w:rsidR="00B40966" w:rsidRDefault="00B40966">
            <w:pPr>
              <w:pStyle w:val="TableText"/>
            </w:pPr>
            <w:r>
              <w:t>to be marked for teaspoon, dessertspoon and tablespoonful doses</w:t>
            </w:r>
          </w:p>
        </w:tc>
      </w:tr>
      <w:tr w:rsidR="00B40966">
        <w:trPr>
          <w:cantSplit/>
        </w:trPr>
        <w:tc>
          <w:tcPr>
            <w:tcW w:w="3160" w:type="dxa"/>
          </w:tcPr>
          <w:p w:rsidR="00B40966" w:rsidRDefault="00B40966">
            <w:pPr>
              <w:pStyle w:val="TableText"/>
            </w:pPr>
            <w:r>
              <w:t>enamel feeding cup (1)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eye bath</w:t>
            </w:r>
            <w:r>
              <w:rPr>
                <w:b/>
              </w:rPr>
              <w:t xml:space="preserve"> </w:t>
            </w:r>
            <w:r>
              <w:t>(1)</w:t>
            </w:r>
          </w:p>
        </w:tc>
        <w:tc>
          <w:tcPr>
            <w:tcW w:w="3800" w:type="dxa"/>
          </w:tcPr>
          <w:p w:rsidR="00B40966" w:rsidRDefault="00B40966">
            <w:pPr>
              <w:pStyle w:val="TableText"/>
            </w:pPr>
            <w:r>
              <w:t>of 1st quality plastic</w:t>
            </w:r>
          </w:p>
        </w:tc>
      </w:tr>
      <w:tr w:rsidR="00B40966">
        <w:trPr>
          <w:cantSplit/>
        </w:trPr>
        <w:tc>
          <w:tcPr>
            <w:tcW w:w="3160" w:type="dxa"/>
          </w:tcPr>
          <w:p w:rsidR="00B40966" w:rsidRDefault="00B40966">
            <w:pPr>
              <w:pStyle w:val="TableText"/>
            </w:pPr>
            <w:r>
              <w:t>dressing forceps,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splinter forceps,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scissors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towels</w:t>
            </w:r>
            <w:r>
              <w:rPr>
                <w:b/>
              </w:rPr>
              <w:t xml:space="preserve"> </w:t>
            </w:r>
            <w:r>
              <w:t>(2)</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basin, 9 inches diam. (1)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safety pins</w:t>
            </w:r>
            <w:r>
              <w:rPr>
                <w:b/>
              </w:rPr>
              <w:t xml:space="preserve"> </w:t>
            </w:r>
            <w:r>
              <w:t>(12)</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drinking mug</w:t>
            </w:r>
            <w:r>
              <w:rPr>
                <w:b/>
              </w:rPr>
              <w:t xml:space="preserve"> </w:t>
            </w:r>
            <w:r>
              <w:t>(1)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first-aid pamphlet</w:t>
            </w:r>
            <w:r>
              <w:rPr>
                <w:b/>
              </w:rPr>
              <w:t xml:space="preserve"> </w:t>
            </w:r>
            <w:r>
              <w:t>(1)</w:t>
            </w:r>
          </w:p>
        </w:tc>
        <w:tc>
          <w:tcPr>
            <w:tcW w:w="3800" w:type="dxa"/>
          </w:tcPr>
          <w:p w:rsidR="00B40966" w:rsidRDefault="00B40966">
            <w:pPr>
              <w:pStyle w:val="TableText"/>
            </w:pPr>
            <w:r>
              <w:t>Departmental ‘First-aid in Industry’.</w:t>
            </w:r>
          </w:p>
        </w:tc>
      </w:tr>
    </w:tbl>
    <w:p w:rsidR="00B40966" w:rsidRDefault="00B40966"/>
    <w:p w:rsidR="00B40966" w:rsidRDefault="00B40966">
      <w:pPr>
        <w:pStyle w:val="Amain"/>
      </w:pPr>
      <w:r>
        <w:tab/>
        <w:t>(3)</w:t>
      </w:r>
      <w:r>
        <w:tab/>
        <w:t>On every building work, excavation work or compressed air work where more than 100 persons are employed there shall be provided a first-aid chest that shall be equipped and maintained to contain at least the following requisites and appliances unless otherwise approved:</w:t>
      </w:r>
    </w:p>
    <w:p w:rsidR="00B40966" w:rsidRDefault="00B40966"/>
    <w:tbl>
      <w:tblPr>
        <w:tblW w:w="6960" w:type="dxa"/>
        <w:tblInd w:w="479" w:type="dxa"/>
        <w:tblLayout w:type="fixed"/>
        <w:tblCellMar>
          <w:left w:w="80" w:type="dxa"/>
          <w:right w:w="80" w:type="dxa"/>
        </w:tblCellMar>
        <w:tblLook w:val="0000" w:firstRow="0" w:lastRow="0" w:firstColumn="0" w:lastColumn="0" w:noHBand="0" w:noVBand="0"/>
      </w:tblPr>
      <w:tblGrid>
        <w:gridCol w:w="3160"/>
        <w:gridCol w:w="3800"/>
      </w:tblGrid>
      <w:tr w:rsidR="00B40966">
        <w:trPr>
          <w:cantSplit/>
          <w:tblHeader/>
        </w:trPr>
        <w:tc>
          <w:tcPr>
            <w:tcW w:w="3160" w:type="dxa"/>
            <w:tcBorders>
              <w:bottom w:val="single" w:sz="4" w:space="0" w:color="auto"/>
            </w:tcBorders>
          </w:tcPr>
          <w:p w:rsidR="00B40966" w:rsidRDefault="00B40966">
            <w:pPr>
              <w:pStyle w:val="TableColHd"/>
            </w:pPr>
            <w:r>
              <w:t>items</w:t>
            </w:r>
          </w:p>
        </w:tc>
        <w:tc>
          <w:tcPr>
            <w:tcW w:w="3800" w:type="dxa"/>
            <w:tcBorders>
              <w:bottom w:val="single" w:sz="4" w:space="0" w:color="auto"/>
            </w:tcBorders>
          </w:tcPr>
          <w:p w:rsidR="00B40966" w:rsidRDefault="00B40966">
            <w:pPr>
              <w:pStyle w:val="TableColHd"/>
            </w:pPr>
            <w:r>
              <w:t>specifications</w:t>
            </w:r>
          </w:p>
        </w:tc>
      </w:tr>
      <w:tr w:rsidR="00B40966">
        <w:trPr>
          <w:cantSplit/>
        </w:trPr>
        <w:tc>
          <w:tcPr>
            <w:tcW w:w="3160" w:type="dxa"/>
            <w:tcBorders>
              <w:top w:val="single" w:sz="4" w:space="0" w:color="auto"/>
            </w:tcBorders>
          </w:tcPr>
          <w:p w:rsidR="00B40966" w:rsidRDefault="00B40966">
            <w:pPr>
              <w:pStyle w:val="TableText"/>
            </w:pPr>
            <w:r>
              <w:t>Dettol, Melasol, Zephiran, or Solyptol solutions, 12 oz</w:t>
            </w:r>
          </w:p>
        </w:tc>
        <w:tc>
          <w:tcPr>
            <w:tcW w:w="3800" w:type="dxa"/>
            <w:tcBorders>
              <w:top w:val="single" w:sz="4" w:space="0" w:color="auto"/>
            </w:tcBorders>
          </w:tcPr>
          <w:p w:rsidR="00B40966" w:rsidRDefault="00B40966">
            <w:pPr>
              <w:pStyle w:val="TableText"/>
            </w:pPr>
          </w:p>
        </w:tc>
      </w:tr>
      <w:tr w:rsidR="00B40966">
        <w:trPr>
          <w:cantSplit/>
        </w:trPr>
        <w:tc>
          <w:tcPr>
            <w:tcW w:w="3160" w:type="dxa"/>
          </w:tcPr>
          <w:p w:rsidR="00B40966" w:rsidRDefault="00B40966">
            <w:pPr>
              <w:pStyle w:val="TableText"/>
            </w:pPr>
            <w:r>
              <w:t>castor oil, 2 oz</w:t>
            </w:r>
            <w:r>
              <w:tab/>
            </w:r>
          </w:p>
        </w:tc>
        <w:tc>
          <w:tcPr>
            <w:tcW w:w="3800" w:type="dxa"/>
          </w:tcPr>
          <w:p w:rsidR="00B40966" w:rsidRDefault="00B40966">
            <w:pPr>
              <w:pStyle w:val="TableText"/>
            </w:pPr>
            <w:r>
              <w:t>with glass rod bulged, pendant</w:t>
            </w:r>
          </w:p>
        </w:tc>
      </w:tr>
      <w:tr w:rsidR="00B40966">
        <w:trPr>
          <w:cantSplit/>
        </w:trPr>
        <w:tc>
          <w:tcPr>
            <w:tcW w:w="3160" w:type="dxa"/>
          </w:tcPr>
          <w:p w:rsidR="00B40966" w:rsidRDefault="00B40966">
            <w:pPr>
              <w:pStyle w:val="TableText"/>
            </w:pPr>
            <w:r>
              <w:t>sal volatile, 6 oz</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finger dressings (48)</w:t>
            </w:r>
          </w:p>
        </w:tc>
        <w:tc>
          <w:tcPr>
            <w:tcW w:w="3800" w:type="dxa"/>
          </w:tcPr>
          <w:p w:rsidR="00B40966" w:rsidRDefault="00B40966">
            <w:pPr>
              <w:pStyle w:val="TableText"/>
            </w:pPr>
            <w:r>
              <w:t xml:space="preserve">To be of gauze 12 inches long </w:t>
            </w:r>
            <w:r>
              <w:sym w:font="Symbol" w:char="F0B4"/>
            </w:r>
            <w:r>
              <w:t xml:space="preserve"> 4 inches wide, with a piece of tape 12 inches long and </w:t>
            </w:r>
            <w:r>
              <w:rPr>
                <w:position w:val="6"/>
                <w:sz w:val="18"/>
              </w:rPr>
              <w:t>1</w:t>
            </w:r>
            <w:r>
              <w:t>/</w:t>
            </w:r>
            <w:r>
              <w:rPr>
                <w:sz w:val="18"/>
              </w:rPr>
              <w:t>4</w:t>
            </w:r>
            <w:r>
              <w:t xml:space="preserve"> inch wide, securely attached at its middle to 1 end of each dressing.  Each shall be sterilised and enclosed in a sealed carton.</w:t>
            </w:r>
          </w:p>
        </w:tc>
      </w:tr>
      <w:tr w:rsidR="00B40966">
        <w:trPr>
          <w:cantSplit/>
        </w:trPr>
        <w:tc>
          <w:tcPr>
            <w:tcW w:w="3160" w:type="dxa"/>
          </w:tcPr>
          <w:p w:rsidR="00B40966" w:rsidRDefault="00B40966">
            <w:pPr>
              <w:pStyle w:val="TableText"/>
            </w:pPr>
            <w:r>
              <w:t>adhesive strapping, 2 inches (2 reels)</w:t>
            </w:r>
          </w:p>
        </w:tc>
        <w:tc>
          <w:tcPr>
            <w:tcW w:w="3800" w:type="dxa"/>
          </w:tcPr>
          <w:p w:rsidR="00B40966" w:rsidRDefault="00B40966">
            <w:pPr>
              <w:pStyle w:val="TableText"/>
            </w:pPr>
            <w:r>
              <w:t>1st quality</w:t>
            </w:r>
          </w:p>
        </w:tc>
      </w:tr>
      <w:tr w:rsidR="00B40966">
        <w:trPr>
          <w:cantSplit/>
        </w:trPr>
        <w:tc>
          <w:tcPr>
            <w:tcW w:w="3160" w:type="dxa"/>
          </w:tcPr>
          <w:p w:rsidR="00B40966" w:rsidRDefault="00B40966">
            <w:pPr>
              <w:pStyle w:val="TableText"/>
            </w:pPr>
            <w:r>
              <w:t>cotton wool, 1 lb</w:t>
            </w:r>
          </w:p>
        </w:tc>
        <w:tc>
          <w:tcPr>
            <w:tcW w:w="3800" w:type="dxa"/>
          </w:tcPr>
          <w:p w:rsidR="00B40966" w:rsidRDefault="00B40966">
            <w:pPr>
              <w:pStyle w:val="TableText"/>
            </w:pPr>
            <w:r>
              <w:t>to be sterile and to be enclosed in 1 oz quantities in sealed cartons</w:t>
            </w:r>
          </w:p>
        </w:tc>
      </w:tr>
      <w:tr w:rsidR="00B40966">
        <w:trPr>
          <w:cantSplit/>
        </w:trPr>
        <w:tc>
          <w:tcPr>
            <w:tcW w:w="3160" w:type="dxa"/>
          </w:tcPr>
          <w:p w:rsidR="00B40966" w:rsidRDefault="00B40966">
            <w:pPr>
              <w:pStyle w:val="TableText"/>
            </w:pPr>
            <w:r>
              <w:t>bicarbonate of soda, 8 oz</w:t>
            </w:r>
          </w:p>
        </w:tc>
        <w:tc>
          <w:tcPr>
            <w:tcW w:w="3800" w:type="dxa"/>
          </w:tcPr>
          <w:p w:rsidR="00B40966" w:rsidRDefault="00B40966">
            <w:pPr>
              <w:pStyle w:val="TableText"/>
            </w:pPr>
            <w:r>
              <w:t>to be sterile and enclosed in 1 oz quantities in sealed cartons</w:t>
            </w:r>
          </w:p>
        </w:tc>
      </w:tr>
      <w:tr w:rsidR="00B40966">
        <w:trPr>
          <w:cantSplit/>
        </w:trPr>
        <w:tc>
          <w:tcPr>
            <w:tcW w:w="3160" w:type="dxa"/>
          </w:tcPr>
          <w:p w:rsidR="00B40966" w:rsidRDefault="00B40966">
            <w:pPr>
              <w:pStyle w:val="TableText"/>
            </w:pPr>
            <w:r>
              <w:t>boracic acid, 4 oz</w:t>
            </w:r>
          </w:p>
        </w:tc>
        <w:tc>
          <w:tcPr>
            <w:tcW w:w="3800" w:type="dxa"/>
          </w:tcPr>
          <w:p w:rsidR="00B40966" w:rsidRDefault="00B40966">
            <w:pPr>
              <w:pStyle w:val="TableText"/>
            </w:pPr>
            <w:r>
              <w:t>to be sterile and to be enclosed in 1 oz quantities in sealed cartons</w:t>
            </w:r>
          </w:p>
        </w:tc>
      </w:tr>
      <w:tr w:rsidR="00B40966">
        <w:trPr>
          <w:cantSplit/>
        </w:trPr>
        <w:tc>
          <w:tcPr>
            <w:tcW w:w="3160" w:type="dxa"/>
          </w:tcPr>
          <w:p w:rsidR="00B40966" w:rsidRDefault="00B40966">
            <w:pPr>
              <w:pStyle w:val="TableText"/>
            </w:pPr>
            <w:r>
              <w:t>plain gauze, 4 yards</w:t>
            </w:r>
          </w:p>
        </w:tc>
        <w:tc>
          <w:tcPr>
            <w:tcW w:w="3800" w:type="dxa"/>
          </w:tcPr>
          <w:p w:rsidR="00B40966" w:rsidRDefault="00B40966">
            <w:pPr>
              <w:pStyle w:val="TableText"/>
            </w:pPr>
            <w:r>
              <w:t>in yard quantities each enclosed in a sealed carton</w:t>
            </w:r>
          </w:p>
        </w:tc>
      </w:tr>
      <w:tr w:rsidR="00B40966">
        <w:trPr>
          <w:cantSplit/>
        </w:trPr>
        <w:tc>
          <w:tcPr>
            <w:tcW w:w="3160" w:type="dxa"/>
          </w:tcPr>
          <w:p w:rsidR="00B40966" w:rsidRDefault="00B40966">
            <w:pPr>
              <w:pStyle w:val="TableText"/>
            </w:pPr>
            <w:r>
              <w:t>roller bandages, 1 inch (12)</w:t>
            </w:r>
          </w:p>
        </w:tc>
        <w:tc>
          <w:tcPr>
            <w:tcW w:w="3800" w:type="dxa"/>
          </w:tcPr>
          <w:p w:rsidR="00B40966" w:rsidRDefault="00B40966">
            <w:pPr>
              <w:pStyle w:val="TableText"/>
            </w:pPr>
            <w:r>
              <w:t>to be enclosed in a sealed envelope</w:t>
            </w:r>
          </w:p>
        </w:tc>
      </w:tr>
      <w:tr w:rsidR="00B40966">
        <w:trPr>
          <w:cantSplit/>
        </w:trPr>
        <w:tc>
          <w:tcPr>
            <w:tcW w:w="3160" w:type="dxa"/>
          </w:tcPr>
          <w:p w:rsidR="00B40966" w:rsidRDefault="00B40966">
            <w:pPr>
              <w:pStyle w:val="TableText"/>
            </w:pPr>
            <w:r>
              <w:t>roller bandages, 2 inches (8)</w:t>
            </w:r>
          </w:p>
        </w:tc>
        <w:tc>
          <w:tcPr>
            <w:tcW w:w="3800" w:type="dxa"/>
          </w:tcPr>
          <w:p w:rsidR="00B40966" w:rsidRDefault="00B40966">
            <w:pPr>
              <w:pStyle w:val="TableText"/>
            </w:pPr>
            <w:r>
              <w:t>to be enclosed in a sealed envelope</w:t>
            </w:r>
          </w:p>
        </w:tc>
      </w:tr>
      <w:tr w:rsidR="00B40966">
        <w:trPr>
          <w:cantSplit/>
        </w:trPr>
        <w:tc>
          <w:tcPr>
            <w:tcW w:w="3160" w:type="dxa"/>
          </w:tcPr>
          <w:p w:rsidR="00B40966" w:rsidRDefault="00B40966">
            <w:pPr>
              <w:pStyle w:val="TableText"/>
            </w:pPr>
            <w:r>
              <w:t>triangular bandages</w:t>
            </w:r>
            <w:r>
              <w:rPr>
                <w:b/>
              </w:rPr>
              <w:t xml:space="preserve"> </w:t>
            </w:r>
            <w:r>
              <w:t>(6)</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tourniquet</w:t>
            </w:r>
            <w:r>
              <w:rPr>
                <w:b/>
              </w:rPr>
              <w:t xml:space="preserve"> </w:t>
            </w:r>
            <w:r>
              <w:t>(1)</w:t>
            </w:r>
          </w:p>
        </w:tc>
        <w:tc>
          <w:tcPr>
            <w:tcW w:w="3800" w:type="dxa"/>
          </w:tcPr>
          <w:p w:rsidR="00B40966" w:rsidRDefault="00B40966">
            <w:pPr>
              <w:pStyle w:val="TableText"/>
            </w:pPr>
            <w:r>
              <w:t>St. John’s</w:t>
            </w:r>
          </w:p>
        </w:tc>
      </w:tr>
      <w:tr w:rsidR="00B40966">
        <w:trPr>
          <w:cantSplit/>
        </w:trPr>
        <w:tc>
          <w:tcPr>
            <w:tcW w:w="3160" w:type="dxa"/>
          </w:tcPr>
          <w:p w:rsidR="00B40966" w:rsidRDefault="00B40966">
            <w:pPr>
              <w:pStyle w:val="TableText"/>
            </w:pPr>
            <w:r>
              <w:t>medicine glasses, 2 oz</w:t>
            </w:r>
            <w:r>
              <w:rPr>
                <w:b/>
              </w:rPr>
              <w:t xml:space="preserve"> </w:t>
            </w:r>
            <w:r>
              <w:t>(2)</w:t>
            </w:r>
          </w:p>
        </w:tc>
        <w:tc>
          <w:tcPr>
            <w:tcW w:w="3800" w:type="dxa"/>
          </w:tcPr>
          <w:p w:rsidR="00B40966" w:rsidRDefault="00B40966">
            <w:pPr>
              <w:pStyle w:val="TableText"/>
            </w:pPr>
            <w:r>
              <w:t>to be marked for teaspoon, dessertspoon and tablespoonful doses</w:t>
            </w:r>
          </w:p>
        </w:tc>
      </w:tr>
      <w:tr w:rsidR="00B40966">
        <w:trPr>
          <w:cantSplit/>
        </w:trPr>
        <w:tc>
          <w:tcPr>
            <w:tcW w:w="3160" w:type="dxa"/>
          </w:tcPr>
          <w:p w:rsidR="00B40966" w:rsidRDefault="00B40966">
            <w:pPr>
              <w:pStyle w:val="TableText"/>
            </w:pPr>
            <w:r>
              <w:t>enamel feeding cup (1)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eye bath</w:t>
            </w:r>
            <w:r>
              <w:rPr>
                <w:b/>
              </w:rPr>
              <w:t xml:space="preserve"> </w:t>
            </w:r>
            <w:r>
              <w:t>(1)</w:t>
            </w:r>
          </w:p>
        </w:tc>
        <w:tc>
          <w:tcPr>
            <w:tcW w:w="3800" w:type="dxa"/>
          </w:tcPr>
          <w:p w:rsidR="00B40966" w:rsidRDefault="00B40966">
            <w:pPr>
              <w:pStyle w:val="TableText"/>
            </w:pPr>
            <w:r>
              <w:t>of 1st quality plastic</w:t>
            </w:r>
          </w:p>
        </w:tc>
      </w:tr>
      <w:tr w:rsidR="00B40966">
        <w:trPr>
          <w:cantSplit/>
        </w:trPr>
        <w:tc>
          <w:tcPr>
            <w:tcW w:w="3160" w:type="dxa"/>
          </w:tcPr>
          <w:p w:rsidR="00B40966" w:rsidRDefault="00B40966">
            <w:pPr>
              <w:pStyle w:val="TableText"/>
            </w:pPr>
            <w:r>
              <w:t>dressing forceps,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splinter forceps,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scissors, 5 inches (1 pr)</w:t>
            </w:r>
          </w:p>
        </w:tc>
        <w:tc>
          <w:tcPr>
            <w:tcW w:w="3800" w:type="dxa"/>
          </w:tcPr>
          <w:p w:rsidR="00B40966" w:rsidRDefault="00B40966">
            <w:pPr>
              <w:pStyle w:val="TableText"/>
            </w:pPr>
          </w:p>
        </w:tc>
      </w:tr>
      <w:tr w:rsidR="00B40966">
        <w:trPr>
          <w:cantSplit/>
        </w:trPr>
        <w:tc>
          <w:tcPr>
            <w:tcW w:w="3160" w:type="dxa"/>
          </w:tcPr>
          <w:p w:rsidR="00B40966" w:rsidRDefault="00B40966">
            <w:pPr>
              <w:pStyle w:val="TableText"/>
            </w:pPr>
            <w:r>
              <w:t>towels</w:t>
            </w:r>
            <w:r>
              <w:rPr>
                <w:b/>
              </w:rPr>
              <w:t xml:space="preserve"> </w:t>
            </w:r>
            <w:r>
              <w:t>(3)</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basin, 15 inches diam. (1)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safety pins</w:t>
            </w:r>
            <w:r>
              <w:rPr>
                <w:b/>
              </w:rPr>
              <w:t xml:space="preserve"> </w:t>
            </w:r>
            <w:r>
              <w:t>(36)</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enamel drinking mug</w:t>
            </w:r>
            <w:r>
              <w:rPr>
                <w:b/>
              </w:rPr>
              <w:t xml:space="preserve"> </w:t>
            </w:r>
            <w:r>
              <w:t>(1)</w:t>
            </w:r>
          </w:p>
        </w:tc>
        <w:tc>
          <w:tcPr>
            <w:tcW w:w="3800" w:type="dxa"/>
          </w:tcPr>
          <w:p w:rsidR="00B40966" w:rsidRDefault="00B40966">
            <w:pPr>
              <w:pStyle w:val="TableText"/>
            </w:pPr>
            <w:r>
              <w:t>of 1st quality</w:t>
            </w:r>
          </w:p>
        </w:tc>
      </w:tr>
      <w:tr w:rsidR="00B40966">
        <w:trPr>
          <w:cantSplit/>
        </w:trPr>
        <w:tc>
          <w:tcPr>
            <w:tcW w:w="3160" w:type="dxa"/>
          </w:tcPr>
          <w:p w:rsidR="00B40966" w:rsidRDefault="00B40966">
            <w:pPr>
              <w:pStyle w:val="TableText"/>
            </w:pPr>
            <w:r>
              <w:t>first-aid pamphlet</w:t>
            </w:r>
            <w:r>
              <w:rPr>
                <w:b/>
              </w:rPr>
              <w:t xml:space="preserve"> </w:t>
            </w:r>
            <w:r>
              <w:t>(1)</w:t>
            </w:r>
          </w:p>
        </w:tc>
        <w:tc>
          <w:tcPr>
            <w:tcW w:w="3800" w:type="dxa"/>
          </w:tcPr>
          <w:p w:rsidR="00B40966" w:rsidRDefault="00B40966">
            <w:pPr>
              <w:pStyle w:val="TableText"/>
            </w:pPr>
            <w:r>
              <w:t>Departmental ‘First-aid in Industry’.</w:t>
            </w:r>
          </w:p>
        </w:tc>
      </w:tr>
    </w:tbl>
    <w:p w:rsidR="00B40966" w:rsidRDefault="00B40966"/>
    <w:p w:rsidR="00B40966" w:rsidRDefault="00B40966">
      <w:pPr>
        <w:pStyle w:val="Amain"/>
      </w:pPr>
      <w:r>
        <w:tab/>
        <w:t>(4)</w:t>
      </w:r>
      <w:r>
        <w:tab/>
        <w:t>First-aid chests provided for this section may be constructed of wood or metal, but each chest so provided and constructed shall be dustproof, fitted with a lock and key, and shall be distinctively marked with a white cross on a green ground.</w:t>
      </w:r>
    </w:p>
    <w:p w:rsidR="00B40966" w:rsidRDefault="00B40966">
      <w:pPr>
        <w:pStyle w:val="Amain"/>
      </w:pPr>
      <w:r>
        <w:tab/>
        <w:t>(5)</w:t>
      </w:r>
      <w:r>
        <w:tab/>
        <w:t>First-aid chests shall properly accommodate their contents.</w:t>
      </w:r>
    </w:p>
    <w:p w:rsidR="00B40966" w:rsidRDefault="00B40966">
      <w:pPr>
        <w:pStyle w:val="Amain"/>
      </w:pPr>
      <w:r>
        <w:tab/>
        <w:t>(6)</w:t>
      </w:r>
      <w:r>
        <w:tab/>
        <w:t>Nothing except requisites or appliances for first-aid shall be kept in the first-aid chest, which shall always be readily accessible.</w:t>
      </w:r>
    </w:p>
    <w:p w:rsidR="00B40966" w:rsidRDefault="00B40966">
      <w:pPr>
        <w:pStyle w:val="Amain"/>
      </w:pPr>
      <w:r>
        <w:tab/>
        <w:t>(7)</w:t>
      </w:r>
      <w:r>
        <w:tab/>
        <w:t>If not more than 100 persons are employed, the first-aid chest shall be fitted with a carrying handle and so constructed and maintained that it can be easily carried from job to job.</w:t>
      </w:r>
    </w:p>
    <w:p w:rsidR="00B40966" w:rsidRDefault="00B40966">
      <w:pPr>
        <w:pStyle w:val="Amain"/>
      </w:pPr>
      <w:r>
        <w:tab/>
        <w:t>(8)</w:t>
      </w:r>
      <w:r>
        <w:tab/>
        <w:t>The first-aid chest shall normally be kept in the change room.</w:t>
      </w:r>
    </w:p>
    <w:p w:rsidR="00B40966" w:rsidRDefault="00B40966">
      <w:pPr>
        <w:pStyle w:val="Amain"/>
      </w:pPr>
      <w:r>
        <w:tab/>
        <w:t>(9)</w:t>
      </w:r>
      <w:r>
        <w:tab/>
        <w:t>If more than 100 persons are employed, a first-aid post shall be provided in a room set aside for the purpose and equipped with facilities for washing and for boiling water, and with a couch, blankets, a portable stretcher and also a first-aid chest as previously detailed.</w:t>
      </w:r>
    </w:p>
    <w:p w:rsidR="00B40966" w:rsidRDefault="00B40966">
      <w:pPr>
        <w:pStyle w:val="Amain"/>
      </w:pPr>
      <w:r>
        <w:tab/>
        <w:t>(10)</w:t>
      </w:r>
      <w:r>
        <w:tab/>
        <w:t>Each first-aid chest and first-aid post shall be placed under the charge of a responsible person or persons, who or 1 of whom shall always be readily available during working hours.</w:t>
      </w:r>
    </w:p>
    <w:p w:rsidR="00B40966" w:rsidRDefault="00B40966">
      <w:pPr>
        <w:pStyle w:val="Amain"/>
      </w:pPr>
      <w:r>
        <w:tab/>
        <w:t>(11)</w:t>
      </w:r>
      <w:r>
        <w:tab/>
        <w:t>The person or persons shall, if practicable, be the holder of a St. John’s Ambulance Medallion with current label.</w:t>
      </w:r>
    </w:p>
    <w:p w:rsidR="00B40966" w:rsidRDefault="00B40966">
      <w:pPr>
        <w:pStyle w:val="Amain"/>
      </w:pPr>
      <w:r>
        <w:tab/>
        <w:t>(12)</w:t>
      </w:r>
      <w:r>
        <w:tab/>
        <w:t>A notice shall be prominently attached in every change room and first-aid post where the first-aid chest is normally kept.</w:t>
      </w:r>
    </w:p>
    <w:p w:rsidR="00B40966" w:rsidRDefault="00B40966">
      <w:pPr>
        <w:pStyle w:val="Amain"/>
      </w:pPr>
      <w:r>
        <w:tab/>
        <w:t>(13)</w:t>
      </w:r>
      <w:r>
        <w:tab/>
        <w:t>This notice shall clearly state the name or names of the person or persons in charge of the first-aid chest.</w:t>
      </w:r>
    </w:p>
    <w:p w:rsidR="00B40966" w:rsidRDefault="00B40966">
      <w:pPr>
        <w:pStyle w:val="AH3Div"/>
      </w:pPr>
      <w:bookmarkStart w:id="211" w:name="_Toc87258067"/>
      <w:r>
        <w:rPr>
          <w:rStyle w:val="CharDivNo"/>
        </w:rPr>
        <w:t>Division 10.2</w:t>
      </w:r>
      <w:r>
        <w:rPr>
          <w:rStyle w:val="CharDivNo"/>
        </w:rPr>
        <w:tab/>
      </w:r>
      <w:r>
        <w:rPr>
          <w:rStyle w:val="CharDivText"/>
        </w:rPr>
        <w:t>Shelter, change and dining accommodation</w:t>
      </w:r>
      <w:bookmarkEnd w:id="211"/>
    </w:p>
    <w:p w:rsidR="00B40966" w:rsidRDefault="00B40966">
      <w:pPr>
        <w:pStyle w:val="AH5Sec"/>
      </w:pPr>
      <w:bookmarkStart w:id="212" w:name="_Toc87258068"/>
      <w:r>
        <w:rPr>
          <w:rStyle w:val="CharSectNo"/>
        </w:rPr>
        <w:t>120</w:t>
      </w:r>
      <w:bookmarkEnd w:id="212"/>
      <w:r>
        <w:tab/>
        <w:t xml:space="preserve">  </w:t>
      </w:r>
    </w:p>
    <w:p w:rsidR="00B40966" w:rsidRDefault="00B40966">
      <w:pPr>
        <w:pStyle w:val="Amain"/>
      </w:pPr>
      <w:r>
        <w:rPr>
          <w:b/>
        </w:rPr>
        <w:tab/>
      </w:r>
      <w:r>
        <w:t>(1)</w:t>
      </w:r>
      <w:r>
        <w:rPr>
          <w:b/>
        </w:rPr>
        <w:tab/>
      </w:r>
      <w:r>
        <w:t>In this section:</w:t>
      </w:r>
    </w:p>
    <w:p w:rsidR="00B40966" w:rsidRDefault="00B40966">
      <w:pPr>
        <w:pStyle w:val="aDef"/>
      </w:pPr>
      <w:r>
        <w:rPr>
          <w:rStyle w:val="charBoldItals"/>
          <w:rFonts w:ascii="Times" w:hAnsi="Times"/>
        </w:rPr>
        <w:t>work</w:t>
      </w:r>
      <w:r>
        <w:t xml:space="preserve"> means building work, compressed air work or excavation work.</w:t>
      </w:r>
    </w:p>
    <w:p w:rsidR="00B40966" w:rsidRDefault="00B40966">
      <w:pPr>
        <w:pStyle w:val="Assectheading"/>
        <w:rPr>
          <w:i w:val="0"/>
        </w:rPr>
      </w:pPr>
      <w:r>
        <w:rPr>
          <w:rStyle w:val="charItals"/>
          <w:i/>
        </w:rPr>
        <w:t>General—accommodation to be provided</w:t>
      </w:r>
    </w:p>
    <w:p w:rsidR="00B40966" w:rsidRDefault="00B40966">
      <w:pPr>
        <w:pStyle w:val="Amain"/>
      </w:pPr>
      <w:r>
        <w:tab/>
        <w:t>(2)</w:t>
      </w:r>
      <w:r>
        <w:tab/>
        <w:t>Immediately on beginning a work, suitable and adequate accommodation where persons employed can keep their clothes and personal belongings safe from damage and theft, eat their meals and shelter from the weather, shall be provided on the site.</w:t>
      </w:r>
    </w:p>
    <w:p w:rsidR="00B40966" w:rsidRDefault="00B40966">
      <w:pPr>
        <w:pStyle w:val="Assectheading"/>
        <w:rPr>
          <w:i w:val="0"/>
        </w:rPr>
      </w:pPr>
      <w:r>
        <w:rPr>
          <w:rStyle w:val="charItals"/>
          <w:i/>
        </w:rPr>
        <w:t>General—shelter shed on small works</w:t>
      </w:r>
    </w:p>
    <w:p w:rsidR="00B40966" w:rsidRDefault="00B40966">
      <w:pPr>
        <w:pStyle w:val="Amain"/>
      </w:pPr>
      <w:r>
        <w:tab/>
        <w:t>(3)</w:t>
      </w:r>
      <w:r>
        <w:tab/>
        <w:t>On works where less than 10 workers are employed at any one time a small shed of such dimensions as to provide not less than 10 square feet of floor area per person will meet the requirements of subsection (2).</w:t>
      </w:r>
    </w:p>
    <w:p w:rsidR="00B40966" w:rsidRDefault="00B40966">
      <w:pPr>
        <w:pStyle w:val="Amain"/>
      </w:pPr>
      <w:r>
        <w:tab/>
        <w:t>(4)</w:t>
      </w:r>
      <w:r>
        <w:tab/>
        <w:t>This shed may also be used for the storage of the workers’s tools but shall not be used for the storage of building material.</w:t>
      </w:r>
    </w:p>
    <w:p w:rsidR="00B40966" w:rsidRDefault="00B40966">
      <w:pPr>
        <w:pStyle w:val="Amain"/>
      </w:pPr>
      <w:r>
        <w:tab/>
        <w:t>(5)</w:t>
      </w:r>
      <w:r>
        <w:tab/>
        <w:t>When part of a building in course of construction has been made weatherproof and secure it may be made available to employees for the purposes of this section.</w:t>
      </w:r>
    </w:p>
    <w:p w:rsidR="00B40966" w:rsidRDefault="00B40966">
      <w:pPr>
        <w:pStyle w:val="Amain"/>
      </w:pPr>
      <w:r>
        <w:tab/>
        <w:t>(6)</w:t>
      </w:r>
      <w:r>
        <w:tab/>
        <w:t>On works where more than 10 workers are employed at any one time a shed or sheds shall be provided exclusively for the use of the workers.</w:t>
      </w:r>
    </w:p>
    <w:p w:rsidR="00B40966" w:rsidRDefault="00B40966">
      <w:pPr>
        <w:pStyle w:val="Amain"/>
      </w:pPr>
      <w:r>
        <w:tab/>
        <w:t>(7)</w:t>
      </w:r>
      <w:r>
        <w:tab/>
        <w:t>Each shed or sheds shall be of such dimensions as to provide in the aggregate not less than 10 square feet of floor area for every worker employed on the work at any one time.</w:t>
      </w:r>
    </w:p>
    <w:p w:rsidR="00B40966" w:rsidRDefault="00B40966">
      <w:pPr>
        <w:pStyle w:val="Amain"/>
      </w:pPr>
      <w:r>
        <w:tab/>
        <w:t>(8)</w:t>
      </w:r>
      <w:r>
        <w:tab/>
        <w:t>Any one shed shall not be used for the accommodation of more than 50 persons.</w:t>
      </w:r>
    </w:p>
    <w:p w:rsidR="00B40966" w:rsidRDefault="00B40966">
      <w:pPr>
        <w:pStyle w:val="Amain"/>
      </w:pPr>
      <w:r>
        <w:tab/>
        <w:t>(9)</w:t>
      </w:r>
      <w:r>
        <w:tab/>
        <w:t>All sheds shall be absolutely weatherproof, soundly constructed with a sufficient number of openable windows, shall be floored and shall be adequately ventilated and lighted.</w:t>
      </w:r>
    </w:p>
    <w:p w:rsidR="00B40966" w:rsidRDefault="00B40966">
      <w:pPr>
        <w:pStyle w:val="Amain"/>
      </w:pPr>
      <w:r>
        <w:tab/>
        <w:t>(10)</w:t>
      </w:r>
      <w:r>
        <w:tab/>
        <w:t>Every shed shall be kept clean and brooms, mops, buckets and cleaning compounds shall be provided for the purpose.</w:t>
      </w:r>
    </w:p>
    <w:p w:rsidR="00B40966" w:rsidRDefault="00B40966">
      <w:pPr>
        <w:pStyle w:val="Assectheading"/>
        <w:rPr>
          <w:i w:val="0"/>
        </w:rPr>
      </w:pPr>
      <w:r>
        <w:rPr>
          <w:rStyle w:val="charItals"/>
          <w:i/>
        </w:rPr>
        <w:t>Facilities to be provided in change and shelter sheds</w:t>
      </w:r>
      <w:r>
        <w:rPr>
          <w:i w:val="0"/>
        </w:rPr>
        <w:t>—</w:t>
      </w:r>
      <w:r>
        <w:rPr>
          <w:rStyle w:val="charItals"/>
          <w:i/>
        </w:rPr>
        <w:t>hat and coat hooks</w:t>
      </w:r>
    </w:p>
    <w:p w:rsidR="00B40966" w:rsidRDefault="00B40966">
      <w:pPr>
        <w:pStyle w:val="Amain"/>
      </w:pPr>
      <w:r>
        <w:tab/>
        <w:t>(11)</w:t>
      </w:r>
      <w:r>
        <w:tab/>
        <w:t>Hat and coat hooks spaced not less than 18 inches apart for hanging clothes shall be provided in each change shed.</w:t>
      </w:r>
    </w:p>
    <w:p w:rsidR="00B40966" w:rsidRDefault="00B40966">
      <w:pPr>
        <w:pStyle w:val="Assectheading"/>
        <w:rPr>
          <w:i w:val="0"/>
        </w:rPr>
      </w:pPr>
      <w:r>
        <w:rPr>
          <w:rStyle w:val="charItals"/>
          <w:i/>
        </w:rPr>
        <w:t>Facilities to be provided in change and shelter sheds</w:t>
      </w:r>
      <w:r>
        <w:rPr>
          <w:i w:val="0"/>
        </w:rPr>
        <w:t>—</w:t>
      </w:r>
      <w:r>
        <w:rPr>
          <w:rStyle w:val="charItals"/>
          <w:i/>
        </w:rPr>
        <w:t>seating accommodation</w:t>
      </w:r>
    </w:p>
    <w:p w:rsidR="00B40966" w:rsidRDefault="00B40966">
      <w:pPr>
        <w:pStyle w:val="Amain"/>
      </w:pPr>
      <w:r>
        <w:tab/>
        <w:t>(12)</w:t>
      </w:r>
      <w:r>
        <w:tab/>
        <w:t>Seating accommodation shall be provided in each change shed for the use of workers when changing boots and when sheltering from the rain.</w:t>
      </w:r>
    </w:p>
    <w:p w:rsidR="00B40966" w:rsidRDefault="00B40966">
      <w:pPr>
        <w:pStyle w:val="Amain"/>
      </w:pPr>
      <w:r>
        <w:tab/>
        <w:t>(13)</w:t>
      </w:r>
      <w:r>
        <w:tab/>
        <w:t>A bench not less than 16 inches wide and of such length as to provide not less than 18 inches for each worker will meet the requirements of subsection (12).</w:t>
      </w:r>
    </w:p>
    <w:p w:rsidR="00B40966" w:rsidRDefault="00B40966">
      <w:pPr>
        <w:pStyle w:val="Assectheading"/>
        <w:rPr>
          <w:i w:val="0"/>
        </w:rPr>
      </w:pPr>
      <w:r>
        <w:rPr>
          <w:rStyle w:val="charItals"/>
          <w:i/>
        </w:rPr>
        <w:t>Facilities to be provided in change and shelter sheds</w:t>
      </w:r>
      <w:r>
        <w:rPr>
          <w:i w:val="0"/>
        </w:rPr>
        <w:t>—</w:t>
      </w:r>
      <w:r>
        <w:rPr>
          <w:rStyle w:val="charItals"/>
          <w:i/>
        </w:rPr>
        <w:t>heating</w:t>
      </w:r>
    </w:p>
    <w:p w:rsidR="00B40966" w:rsidRDefault="00B40966">
      <w:pPr>
        <w:pStyle w:val="Amain"/>
      </w:pPr>
      <w:r>
        <w:tab/>
        <w:t>(14)</w:t>
      </w:r>
      <w:r>
        <w:tab/>
        <w:t>In wet or cold weather reasonable heating facilities, such as a portable coke stove with flue exhausting outside the shed, a kerosene heater, or electric radiator, shall be provided in every shelter and change shed for warmth and for drying clothes.</w:t>
      </w:r>
    </w:p>
    <w:p w:rsidR="00B40966" w:rsidRDefault="00B40966">
      <w:pPr>
        <w:pStyle w:val="Assectheading"/>
        <w:rPr>
          <w:i w:val="0"/>
        </w:rPr>
      </w:pPr>
      <w:r>
        <w:rPr>
          <w:rStyle w:val="charItals"/>
          <w:i/>
        </w:rPr>
        <w:t>Facilities to be provided in change and shelter sheds</w:t>
      </w:r>
      <w:r>
        <w:rPr>
          <w:i w:val="0"/>
        </w:rPr>
        <w:t>—</w:t>
      </w:r>
      <w:r>
        <w:rPr>
          <w:rStyle w:val="charItals"/>
          <w:i/>
        </w:rPr>
        <w:t>safekeeping of employees’ tool kits</w:t>
      </w:r>
    </w:p>
    <w:p w:rsidR="00B40966" w:rsidRDefault="00B40966">
      <w:pPr>
        <w:pStyle w:val="Amain"/>
      </w:pPr>
      <w:r>
        <w:tab/>
        <w:t>(15)</w:t>
      </w:r>
      <w:r>
        <w:tab/>
        <w:t>Provision for the safekeeping of employees’ tool kits when employees are not on the work shall be made.</w:t>
      </w:r>
    </w:p>
    <w:p w:rsidR="00B40966" w:rsidRDefault="00B40966">
      <w:pPr>
        <w:pStyle w:val="Amain"/>
      </w:pPr>
      <w:r>
        <w:tab/>
        <w:t>(16)</w:t>
      </w:r>
      <w:r>
        <w:tab/>
        <w:t>On works where less than 10 workers are employed at any one time this may be achieved by means of substantially constructed locked chests in the supervisor’s office or by provision of suitable accommodation in the change shed.</w:t>
      </w:r>
    </w:p>
    <w:p w:rsidR="00B40966" w:rsidRDefault="00B40966">
      <w:pPr>
        <w:pStyle w:val="Amain"/>
      </w:pPr>
      <w:r>
        <w:tab/>
        <w:t>(17)</w:t>
      </w:r>
      <w:r>
        <w:tab/>
        <w:t>On works where more than 10 workers are employed at any one time special storerooms equipped with racks shall be provided.</w:t>
      </w:r>
    </w:p>
    <w:p w:rsidR="00B40966" w:rsidRDefault="00B40966">
      <w:pPr>
        <w:pStyle w:val="Assectheading"/>
        <w:rPr>
          <w:i w:val="0"/>
        </w:rPr>
      </w:pPr>
      <w:r>
        <w:rPr>
          <w:rStyle w:val="charItals"/>
          <w:i/>
        </w:rPr>
        <w:t>Dining facilities</w:t>
      </w:r>
      <w:r>
        <w:rPr>
          <w:i w:val="0"/>
        </w:rPr>
        <w:t>—</w:t>
      </w:r>
      <w:r>
        <w:rPr>
          <w:rStyle w:val="charItals"/>
          <w:i/>
        </w:rPr>
        <w:t>tables and seating</w:t>
      </w:r>
    </w:p>
    <w:p w:rsidR="00B40966" w:rsidRDefault="00B40966">
      <w:pPr>
        <w:pStyle w:val="Amain"/>
      </w:pPr>
      <w:r>
        <w:tab/>
        <w:t>(18)</w:t>
      </w:r>
      <w:r>
        <w:tab/>
        <w:t>Adequate table and seating accommodation, in the proportion of not less than 22 inches run for each employee for use at meal period shall be provided in the change shed, or in a separate shed, provided that the accommodation need be provided only in relation to employees remaining on the site during meal period.</w:t>
      </w:r>
    </w:p>
    <w:p w:rsidR="00B40966" w:rsidRDefault="00B40966">
      <w:pPr>
        <w:pStyle w:val="Assectheading"/>
        <w:rPr>
          <w:i w:val="0"/>
        </w:rPr>
      </w:pPr>
      <w:r>
        <w:rPr>
          <w:rStyle w:val="charItals"/>
          <w:i/>
        </w:rPr>
        <w:t>Dining facilities</w:t>
      </w:r>
      <w:r>
        <w:rPr>
          <w:i w:val="0"/>
        </w:rPr>
        <w:t>—</w:t>
      </w:r>
      <w:r>
        <w:rPr>
          <w:rStyle w:val="charItals"/>
          <w:i/>
        </w:rPr>
        <w:t>storage of food</w:t>
      </w:r>
    </w:p>
    <w:p w:rsidR="00B40966" w:rsidRDefault="00B40966">
      <w:pPr>
        <w:pStyle w:val="Amain"/>
      </w:pPr>
      <w:r>
        <w:tab/>
        <w:t>(19)</w:t>
      </w:r>
      <w:r>
        <w:tab/>
        <w:t>Hygienic provision, such as a fly-proof ventilated cupboard fitted with shelves, shall be provided for storing employees’ food.</w:t>
      </w:r>
    </w:p>
    <w:p w:rsidR="00B40966" w:rsidRDefault="00B40966">
      <w:pPr>
        <w:pStyle w:val="Assectheading"/>
        <w:rPr>
          <w:i w:val="0"/>
        </w:rPr>
      </w:pPr>
      <w:r>
        <w:rPr>
          <w:rStyle w:val="charItals"/>
          <w:i/>
        </w:rPr>
        <w:t>Dining facilities</w:t>
      </w:r>
      <w:r>
        <w:rPr>
          <w:i w:val="0"/>
        </w:rPr>
        <w:t>—</w:t>
      </w:r>
      <w:r>
        <w:rPr>
          <w:rStyle w:val="charItals"/>
          <w:i/>
        </w:rPr>
        <w:t>supply of boiling water</w:t>
      </w:r>
    </w:p>
    <w:p w:rsidR="00B40966" w:rsidRDefault="00B40966">
      <w:pPr>
        <w:pStyle w:val="Amain"/>
      </w:pPr>
      <w:r>
        <w:tab/>
        <w:t>(20)</w:t>
      </w:r>
      <w:r>
        <w:tab/>
        <w:t>An ample supply of boiling water for tea making and for washing utensils shall be provided.</w:t>
      </w:r>
    </w:p>
    <w:p w:rsidR="00B40966" w:rsidRDefault="00B40966">
      <w:pPr>
        <w:pStyle w:val="Assectheading"/>
        <w:rPr>
          <w:i w:val="0"/>
        </w:rPr>
      </w:pPr>
      <w:r>
        <w:rPr>
          <w:rStyle w:val="charItals"/>
          <w:i/>
        </w:rPr>
        <w:t>Dining facilities</w:t>
      </w:r>
      <w:r>
        <w:rPr>
          <w:i w:val="0"/>
        </w:rPr>
        <w:t>—</w:t>
      </w:r>
      <w:r>
        <w:rPr>
          <w:rStyle w:val="charItals"/>
          <w:i/>
        </w:rPr>
        <w:t xml:space="preserve"> provision of garbage tins</w:t>
      </w:r>
    </w:p>
    <w:p w:rsidR="00B40966" w:rsidRDefault="00B40966">
      <w:pPr>
        <w:pStyle w:val="Amain"/>
      </w:pPr>
      <w:r>
        <w:tab/>
        <w:t>(21)</w:t>
      </w:r>
      <w:r>
        <w:tab/>
        <w:t>Garbage tins that are both rat-proof and fly-proof shall be provided and they shall be emptied each day.</w:t>
      </w:r>
    </w:p>
    <w:p w:rsidR="00B40966" w:rsidRDefault="00B40966">
      <w:pPr>
        <w:pStyle w:val="Assectheading"/>
      </w:pPr>
      <w:r>
        <w:rPr>
          <w:rStyle w:val="charItals"/>
          <w:i/>
        </w:rPr>
        <w:t>Dining facilities</w:t>
      </w:r>
      <w:r>
        <w:t>—drinking water</w:t>
      </w:r>
    </w:p>
    <w:p w:rsidR="00B40966" w:rsidRDefault="00B40966">
      <w:pPr>
        <w:pStyle w:val="Amain"/>
      </w:pPr>
      <w:r>
        <w:tab/>
        <w:t>(22)</w:t>
      </w:r>
      <w:r>
        <w:tab/>
        <w:t>An adequate supply of clean, cool and wholesome drinking water shall be provided on the site.</w:t>
      </w:r>
    </w:p>
    <w:p w:rsidR="00B40966" w:rsidRDefault="00B40966">
      <w:pPr>
        <w:pStyle w:val="AH3Div"/>
      </w:pPr>
      <w:bookmarkStart w:id="213" w:name="_Toc87258069"/>
      <w:r>
        <w:rPr>
          <w:rStyle w:val="CharDivNo"/>
        </w:rPr>
        <w:t>Division 10.3</w:t>
      </w:r>
      <w:r>
        <w:rPr>
          <w:rStyle w:val="CharDivNo"/>
        </w:rPr>
        <w:tab/>
      </w:r>
      <w:r>
        <w:rPr>
          <w:rStyle w:val="CharDivText"/>
        </w:rPr>
        <w:t>Sanitary conveniences and washing facilities</w:t>
      </w:r>
      <w:bookmarkEnd w:id="213"/>
    </w:p>
    <w:p w:rsidR="00B40966" w:rsidRDefault="00B40966">
      <w:pPr>
        <w:pStyle w:val="AH5Sec"/>
      </w:pPr>
      <w:bookmarkStart w:id="214" w:name="_Toc87258070"/>
      <w:r>
        <w:rPr>
          <w:rStyle w:val="CharSectNo"/>
        </w:rPr>
        <w:t>121</w:t>
      </w:r>
      <w:bookmarkEnd w:id="214"/>
      <w:r>
        <w:tab/>
        <w:t xml:space="preserve">  </w:t>
      </w:r>
    </w:p>
    <w:p w:rsidR="00B40966" w:rsidRDefault="00B40966">
      <w:pPr>
        <w:pStyle w:val="Assectheading"/>
      </w:pPr>
      <w:r>
        <w:t xml:space="preserve">Meaning of </w:t>
      </w:r>
      <w:r>
        <w:rPr>
          <w:b/>
        </w:rPr>
        <w:t>work</w:t>
      </w:r>
    </w:p>
    <w:p w:rsidR="00B40966" w:rsidRDefault="00B40966">
      <w:pPr>
        <w:pStyle w:val="Amain"/>
        <w:keepNext/>
      </w:pPr>
      <w:r>
        <w:tab/>
        <w:t>(1)</w:t>
      </w:r>
      <w:r>
        <w:rPr>
          <w:b/>
        </w:rPr>
        <w:tab/>
      </w:r>
      <w:r>
        <w:t>In this section:</w:t>
      </w:r>
    </w:p>
    <w:p w:rsidR="00B40966" w:rsidRDefault="00B40966">
      <w:pPr>
        <w:pStyle w:val="aDef"/>
      </w:pPr>
      <w:r>
        <w:rPr>
          <w:rStyle w:val="charBoldItals"/>
        </w:rPr>
        <w:t>work</w:t>
      </w:r>
      <w:r>
        <w:t xml:space="preserve"> means, building work, excavation work, or compressed air work.</w:t>
      </w:r>
    </w:p>
    <w:p w:rsidR="00B40966" w:rsidRDefault="00B40966">
      <w:pPr>
        <w:pStyle w:val="Assectheading"/>
        <w:rPr>
          <w:i w:val="0"/>
        </w:rPr>
      </w:pPr>
      <w:r>
        <w:rPr>
          <w:rStyle w:val="charItals"/>
          <w:i/>
        </w:rPr>
        <w:t>Number to be provided</w:t>
      </w:r>
    </w:p>
    <w:p w:rsidR="00B40966" w:rsidRDefault="00B40966">
      <w:pPr>
        <w:pStyle w:val="Amain"/>
      </w:pPr>
      <w:r>
        <w:tab/>
        <w:t>(2)</w:t>
      </w:r>
      <w:r>
        <w:tab/>
        <w:t>One closet shall be provided on every work where not more than 10 men employed at the one time and 1 for every 10 women employed at the one time, and 1 for any number less than 10 such men or women, as the case requires.</w:t>
      </w:r>
    </w:p>
    <w:p w:rsidR="00B40966" w:rsidRDefault="00B40966">
      <w:pPr>
        <w:pStyle w:val="Assectheading"/>
        <w:rPr>
          <w:i w:val="0"/>
        </w:rPr>
      </w:pPr>
      <w:r>
        <w:rPr>
          <w:rStyle w:val="charItals"/>
          <w:i/>
        </w:rPr>
        <w:t>Location</w:t>
      </w:r>
    </w:p>
    <w:p w:rsidR="00B40966" w:rsidRDefault="00B40966">
      <w:pPr>
        <w:pStyle w:val="Amain"/>
      </w:pPr>
      <w:r>
        <w:tab/>
        <w:t>(3)</w:t>
      </w:r>
      <w:r>
        <w:tab/>
        <w:t>The closet accommodation shall be located so as to be readily accessible from the place where men or women are working, but shall be far enough removed to avoid nuisance.</w:t>
      </w:r>
    </w:p>
    <w:p w:rsidR="00B40966" w:rsidRDefault="00B40966">
      <w:pPr>
        <w:pStyle w:val="Assectheading"/>
        <w:rPr>
          <w:i w:val="0"/>
        </w:rPr>
      </w:pPr>
      <w:r>
        <w:rPr>
          <w:rStyle w:val="charItals"/>
          <w:i/>
        </w:rPr>
        <w:t>Construction</w:t>
      </w:r>
    </w:p>
    <w:p w:rsidR="00B40966" w:rsidRDefault="00B40966">
      <w:pPr>
        <w:pStyle w:val="Amain"/>
      </w:pPr>
      <w:r>
        <w:tab/>
        <w:t>(4)</w:t>
      </w:r>
      <w:r>
        <w:tab/>
        <w:t>All closets shall be soundly constructed and roofed with weatherproof material.</w:t>
      </w:r>
    </w:p>
    <w:p w:rsidR="00B40966" w:rsidRDefault="00B40966">
      <w:pPr>
        <w:pStyle w:val="Amain"/>
      </w:pPr>
      <w:r>
        <w:tab/>
        <w:t>(5)</w:t>
      </w:r>
      <w:r>
        <w:tab/>
        <w:t>The floor of each closet shall be well drained and constructed of concrete, bricks and cement or of other approved material that shall be impervious to water.</w:t>
      </w:r>
    </w:p>
    <w:p w:rsidR="00B40966" w:rsidRDefault="00B40966">
      <w:pPr>
        <w:pStyle w:val="Amain"/>
      </w:pPr>
      <w:r>
        <w:tab/>
        <w:t>(6)</w:t>
      </w:r>
      <w:r>
        <w:tab/>
        <w:t>Every closet shall be well lighted by natural or artificial light and shall be well ventilated.</w:t>
      </w:r>
    </w:p>
    <w:p w:rsidR="00B40966" w:rsidRDefault="00B40966">
      <w:pPr>
        <w:pStyle w:val="Amain"/>
      </w:pPr>
      <w:r>
        <w:tab/>
        <w:t>(7)</w:t>
      </w:r>
      <w:r>
        <w:tab/>
        <w:t>Each closet shall have a hinged door capable of being fastened both on the inside and on the outside.</w:t>
      </w:r>
    </w:p>
    <w:p w:rsidR="00B40966" w:rsidRDefault="00B40966">
      <w:pPr>
        <w:pStyle w:val="Assectheading"/>
        <w:rPr>
          <w:i w:val="0"/>
        </w:rPr>
      </w:pPr>
      <w:r>
        <w:rPr>
          <w:rStyle w:val="charItals"/>
          <w:i/>
        </w:rPr>
        <w:t>Closets to be kept clean</w:t>
      </w:r>
    </w:p>
    <w:p w:rsidR="00B40966" w:rsidRDefault="00B40966">
      <w:pPr>
        <w:pStyle w:val="Amain"/>
      </w:pPr>
      <w:r>
        <w:tab/>
        <w:t>(8)</w:t>
      </w:r>
      <w:r>
        <w:tab/>
        <w:t>Closets shall be maintained in a clean condition.</w:t>
      </w:r>
    </w:p>
    <w:p w:rsidR="00B40966" w:rsidRDefault="00B40966">
      <w:pPr>
        <w:pStyle w:val="Assectheading"/>
        <w:rPr>
          <w:i w:val="0"/>
        </w:rPr>
      </w:pPr>
      <w:r>
        <w:rPr>
          <w:rStyle w:val="charItals"/>
          <w:i/>
        </w:rPr>
        <w:t>Washing facilities</w:t>
      </w:r>
      <w:r>
        <w:rPr>
          <w:i w:val="0"/>
        </w:rPr>
        <w:t>—</w:t>
      </w:r>
      <w:r>
        <w:rPr>
          <w:rStyle w:val="charItals"/>
          <w:i/>
        </w:rPr>
        <w:t>number of basins</w:t>
      </w:r>
    </w:p>
    <w:p w:rsidR="00B40966" w:rsidRDefault="00B40966">
      <w:pPr>
        <w:pStyle w:val="Amain"/>
      </w:pPr>
      <w:r>
        <w:tab/>
        <w:t>(9)</w:t>
      </w:r>
      <w:r>
        <w:tab/>
        <w:t>One wash basin shall be provided on every work where not more than 20 persons are employed at the one time, and 1 additional wash basin for each additional 20 persons or part of 20 persons so employed.</w:t>
      </w:r>
    </w:p>
    <w:p w:rsidR="00B40966" w:rsidRDefault="00B40966">
      <w:pPr>
        <w:pStyle w:val="Assectheading"/>
        <w:rPr>
          <w:i w:val="0"/>
        </w:rPr>
      </w:pPr>
      <w:r>
        <w:rPr>
          <w:rStyle w:val="charItals"/>
          <w:i/>
        </w:rPr>
        <w:t>Washing facilities</w:t>
      </w:r>
      <w:r>
        <w:rPr>
          <w:i w:val="0"/>
        </w:rPr>
        <w:t>—</w:t>
      </w:r>
      <w:r>
        <w:rPr>
          <w:rStyle w:val="charItals"/>
          <w:i/>
        </w:rPr>
        <w:t>location</w:t>
      </w:r>
    </w:p>
    <w:p w:rsidR="00B40966" w:rsidRDefault="00B40966">
      <w:pPr>
        <w:pStyle w:val="Amain"/>
      </w:pPr>
      <w:r>
        <w:tab/>
        <w:t>(10)</w:t>
      </w:r>
      <w:r>
        <w:tab/>
        <w:t>Washing facilities shall be located under cover and conveniently close to the change shed.</w:t>
      </w:r>
    </w:p>
    <w:p w:rsidR="00B40966" w:rsidRDefault="00B40966">
      <w:pPr>
        <w:pStyle w:val="Assectheading"/>
        <w:rPr>
          <w:i w:val="0"/>
        </w:rPr>
      </w:pPr>
      <w:r>
        <w:rPr>
          <w:rStyle w:val="charItals"/>
          <w:i/>
        </w:rPr>
        <w:t>Washing facilities</w:t>
      </w:r>
      <w:r>
        <w:rPr>
          <w:i w:val="0"/>
        </w:rPr>
        <w:t>—</w:t>
      </w:r>
      <w:r>
        <w:rPr>
          <w:rStyle w:val="charItals"/>
          <w:i/>
        </w:rPr>
        <w:t>water supply</w:t>
      </w:r>
    </w:p>
    <w:p w:rsidR="00B40966" w:rsidRDefault="00B40966">
      <w:pPr>
        <w:pStyle w:val="Amain"/>
      </w:pPr>
      <w:r>
        <w:tab/>
        <w:t>(11)</w:t>
      </w:r>
      <w:r>
        <w:tab/>
        <w:t>Clean cold and hot water and soap shall be provided on every work.</w:t>
      </w:r>
    </w:p>
    <w:p w:rsidR="00B40966" w:rsidRDefault="00B40966">
      <w:pPr>
        <w:pStyle w:val="Amain"/>
      </w:pPr>
      <w:r>
        <w:tab/>
        <w:t>(12)</w:t>
      </w:r>
      <w:r>
        <w:tab/>
        <w:t>Cold water shall be readily available in sufficient quantities from a cock close to the wash basins.</w:t>
      </w:r>
    </w:p>
    <w:p w:rsidR="00B40966" w:rsidRDefault="00B40966">
      <w:pPr>
        <w:pStyle w:val="Amain"/>
      </w:pPr>
      <w:r>
        <w:tab/>
        <w:t>(13)</w:t>
      </w:r>
      <w:r>
        <w:tab/>
        <w:t>Hot water may be supplied from the same source as that used for tea making.</w:t>
      </w:r>
    </w:p>
    <w:p w:rsidR="00B40966" w:rsidRDefault="00B40966">
      <w:pPr>
        <w:pStyle w:val="Assectheading"/>
        <w:rPr>
          <w:i w:val="0"/>
        </w:rPr>
      </w:pPr>
      <w:r>
        <w:rPr>
          <w:rStyle w:val="charItals"/>
          <w:i/>
        </w:rPr>
        <w:t>Washing facilities</w:t>
      </w:r>
      <w:r>
        <w:rPr>
          <w:i w:val="0"/>
        </w:rPr>
        <w:t>—</w:t>
      </w:r>
      <w:r>
        <w:rPr>
          <w:rStyle w:val="charItals"/>
          <w:i/>
        </w:rPr>
        <w:t>drainage</w:t>
      </w:r>
    </w:p>
    <w:p w:rsidR="00B40966" w:rsidRDefault="00B40966">
      <w:pPr>
        <w:pStyle w:val="Amain"/>
      </w:pPr>
      <w:r>
        <w:tab/>
        <w:t>(14)</w:t>
      </w:r>
      <w:r>
        <w:tab/>
        <w:t>Drainage shall be provided for the disposal of waste water.</w:t>
      </w:r>
    </w:p>
    <w:p w:rsidR="00B40966" w:rsidRDefault="00B40966">
      <w:pPr>
        <w:pStyle w:val="Assectheading"/>
        <w:rPr>
          <w:i w:val="0"/>
        </w:rPr>
      </w:pPr>
      <w:r>
        <w:rPr>
          <w:rStyle w:val="charItals"/>
          <w:i/>
        </w:rPr>
        <w:t>Washing facilities</w:t>
      </w:r>
      <w:r>
        <w:rPr>
          <w:i w:val="0"/>
        </w:rPr>
        <w:t>—</w:t>
      </w:r>
      <w:r>
        <w:rPr>
          <w:rStyle w:val="charItals"/>
          <w:i/>
        </w:rPr>
        <w:t>duckboards</w:t>
      </w:r>
    </w:p>
    <w:p w:rsidR="00B40966" w:rsidRDefault="00B40966">
      <w:pPr>
        <w:pStyle w:val="Amain"/>
      </w:pPr>
      <w:r>
        <w:tab/>
        <w:t>(15)</w:t>
      </w:r>
      <w:r>
        <w:tab/>
        <w:t>Duckboards shall be provided underfoot if necessary or desirable.</w:t>
      </w:r>
    </w:p>
    <w:p w:rsidR="00B40966" w:rsidRDefault="00B40966">
      <w:pPr>
        <w:pStyle w:val="Assectheading"/>
        <w:rPr>
          <w:i w:val="0"/>
        </w:rPr>
      </w:pPr>
      <w:r>
        <w:rPr>
          <w:rStyle w:val="charItals"/>
          <w:i/>
        </w:rPr>
        <w:t>Washing facilities</w:t>
      </w:r>
      <w:r>
        <w:rPr>
          <w:i w:val="0"/>
        </w:rPr>
        <w:t>—</w:t>
      </w:r>
      <w:r>
        <w:rPr>
          <w:rStyle w:val="charItals"/>
          <w:i/>
        </w:rPr>
        <w:t>washing facilities to be kept clean</w:t>
      </w:r>
    </w:p>
    <w:p w:rsidR="00B40966" w:rsidRDefault="00B40966">
      <w:pPr>
        <w:pStyle w:val="Amain"/>
      </w:pPr>
      <w:r>
        <w:tab/>
        <w:t>(16)</w:t>
      </w:r>
      <w:r>
        <w:tab/>
        <w:t>Washing facilities shall be kept clean.</w:t>
      </w:r>
    </w:p>
    <w:p w:rsidR="00B40966" w:rsidRDefault="00B40966">
      <w:pPr>
        <w:pStyle w:val="02Text"/>
        <w:sectPr w:rsidR="00B40966">
          <w:headerReference w:type="even" r:id="rId36"/>
          <w:headerReference w:type="default" r:id="rId37"/>
          <w:footerReference w:type="even" r:id="rId38"/>
          <w:footerReference w:type="default" r:id="rId39"/>
          <w:footerReference w:type="first" r:id="rId40"/>
          <w:pgSz w:w="11907" w:h="16839" w:code="9"/>
          <w:pgMar w:top="3000" w:right="1900" w:bottom="2500" w:left="2300" w:header="2480" w:footer="2100" w:gutter="0"/>
          <w:cols w:space="720"/>
          <w:docGrid w:linePitch="254"/>
        </w:sectPr>
      </w:pPr>
    </w:p>
    <w:p w:rsidR="00B40966" w:rsidRDefault="00B40966">
      <w:pPr>
        <w:pStyle w:val="AH2Part"/>
      </w:pPr>
      <w:bookmarkStart w:id="215" w:name="_Toc87258071"/>
      <w:r>
        <w:rPr>
          <w:rStyle w:val="CharPartNo"/>
        </w:rPr>
        <w:t>Part 11</w:t>
      </w:r>
      <w:r>
        <w:tab/>
      </w:r>
      <w:r>
        <w:rPr>
          <w:rStyle w:val="CharPartText"/>
        </w:rPr>
        <w:t>Basic requirements about design and construction, erection, use, maintenance, inspection and testing with particular reference to cranes, lifts, hoists, scaffolding and plant</w:t>
      </w:r>
      <w:bookmarkEnd w:id="215"/>
    </w:p>
    <w:p w:rsidR="00B40966" w:rsidRDefault="00B40966">
      <w:pPr>
        <w:pStyle w:val="Placeholder"/>
      </w:pPr>
      <w:r>
        <w:rPr>
          <w:rStyle w:val="CharDivNo"/>
        </w:rPr>
        <w:t xml:space="preserve">  </w:t>
      </w:r>
      <w:r>
        <w:rPr>
          <w:rStyle w:val="CharDivText"/>
        </w:rPr>
        <w:t xml:space="preserve">  </w:t>
      </w:r>
    </w:p>
    <w:p w:rsidR="00B40966" w:rsidRDefault="00B40966">
      <w:pPr>
        <w:pStyle w:val="AH5Sec"/>
      </w:pPr>
      <w:bookmarkStart w:id="216" w:name="_Toc87258072"/>
      <w:r>
        <w:rPr>
          <w:rStyle w:val="CharSectNo"/>
        </w:rPr>
        <w:t>122</w:t>
      </w:r>
      <w:bookmarkEnd w:id="216"/>
      <w:r>
        <w:tab/>
        <w:t xml:space="preserve">  </w:t>
      </w:r>
    </w:p>
    <w:p w:rsidR="00B40966" w:rsidRDefault="00B40966">
      <w:pPr>
        <w:pStyle w:val="Amain"/>
      </w:pPr>
      <w:r>
        <w:rPr>
          <w:b/>
        </w:rPr>
        <w:tab/>
      </w:r>
      <w:r>
        <w:t>(1)</w:t>
      </w:r>
      <w:r>
        <w:tab/>
        <w:t>Every crane, lift, hoist, plant, scaffolding, and all gear shall be so designed, constructed and maintained that after taking into full account the magnitude, incidence, conditions, and way of all loadings and forces, the proportioning of each member, component, part and attachment of it or to it is such that the maximum stress imposed or developed in it is less than 75% of the minimum stress liable by repetition or otherwise to impair its elastic properties.</w:t>
      </w:r>
    </w:p>
    <w:p w:rsidR="00B40966" w:rsidRDefault="00B40966">
      <w:pPr>
        <w:pStyle w:val="Amain"/>
      </w:pPr>
      <w:r>
        <w:tab/>
        <w:t>(2)</w:t>
      </w:r>
      <w:r>
        <w:tab/>
        <w:t>Every member, component, part and attachment shall be robust and so proportioned that it functions without excessive elastic action, deflection, vibration, movement, or distortion and without undue or untimely deterioration.</w:t>
      </w:r>
    </w:p>
    <w:p w:rsidR="00B40966" w:rsidRDefault="00B40966">
      <w:pPr>
        <w:pStyle w:val="Amain"/>
      </w:pPr>
      <w:r>
        <w:tab/>
        <w:t>(3)</w:t>
      </w:r>
      <w:r>
        <w:tab/>
        <w:t>Subsections (1) and (2) shall not be construed as allowing any greater stress or deflection, or any less provision in relation to wind loads, sideloads or dynamic effects than may be more specifically prescribed in this regulation.</w:t>
      </w:r>
    </w:p>
    <w:p w:rsidR="00B40966" w:rsidRDefault="00B40966">
      <w:pPr>
        <w:pStyle w:val="Amain"/>
      </w:pPr>
      <w:r>
        <w:tab/>
        <w:t>(4)</w:t>
      </w:r>
      <w:r>
        <w:tab/>
        <w:t>Unless more specifically prescribed elsewhere in this regulation, the minimum stress liable by repetition or otherwise to impair the elastic properties of a material shall be deemed equal to the least of the following stresses:</w:t>
      </w:r>
    </w:p>
    <w:p w:rsidR="00B40966" w:rsidRDefault="00B40966">
      <w:pPr>
        <w:pStyle w:val="Apara"/>
      </w:pPr>
      <w:r>
        <w:tab/>
        <w:t>(a)</w:t>
      </w:r>
      <w:r>
        <w:tab/>
        <w:t xml:space="preserve">the </w:t>
      </w:r>
      <w:r>
        <w:rPr>
          <w:position w:val="6"/>
          <w:sz w:val="18"/>
        </w:rPr>
        <w:t>1</w:t>
      </w:r>
      <w:r>
        <w:t>/</w:t>
      </w:r>
      <w:r>
        <w:rPr>
          <w:sz w:val="18"/>
        </w:rPr>
        <w:t>10</w:t>
      </w:r>
      <w:r>
        <w:t xml:space="preserve"> of 1% proof stress for such material when tested in a way productive of the same type and character of stress as that under consideration (namely, tensile, compressive or shearing stress); or</w:t>
      </w:r>
    </w:p>
    <w:p w:rsidR="00B40966" w:rsidRDefault="00B40966">
      <w:pPr>
        <w:pStyle w:val="Apara"/>
      </w:pPr>
      <w:r>
        <w:tab/>
        <w:t>(b)</w:t>
      </w:r>
      <w:r>
        <w:tab/>
        <w:t xml:space="preserve">the stress applied as an average stress by an approved authority during endurance tests, plus </w:t>
      </w:r>
      <w:r>
        <w:rPr>
          <w:position w:val="6"/>
          <w:sz w:val="18"/>
        </w:rPr>
        <w:t>1</w:t>
      </w:r>
      <w:r>
        <w:t>/</w:t>
      </w:r>
      <w:r>
        <w:rPr>
          <w:sz w:val="18"/>
        </w:rPr>
        <w:t>2</w:t>
      </w:r>
      <w:r>
        <w:t xml:space="preserve"> of the endurance range, coincident to it, as determined by the authority on a 10 million cycle basis, provided that the stress thus determined is of the same type and character as that under consideration (namely, transverse, tensile, compressive or shearing stress) and that, unless the chief inspector specifically approves otherwise, the average stress shall be assumed to be zero.</w:t>
      </w:r>
    </w:p>
    <w:p w:rsidR="00B40966" w:rsidRDefault="00B40966">
      <w:pPr>
        <w:pStyle w:val="Amain"/>
      </w:pPr>
      <w:r>
        <w:tab/>
        <w:t>(5)</w:t>
      </w:r>
      <w:r>
        <w:tab/>
        <w:t>If it can be estimated with reasonable certainty that the stress cannot be imposed or developed in whole or in part more than 2 million times during the working life of the material, the stress prescribed by subsection (4) (b) may be disregarded.</w:t>
      </w:r>
    </w:p>
    <w:p w:rsidR="00B40966" w:rsidRDefault="00B40966">
      <w:pPr>
        <w:pStyle w:val="Amain"/>
      </w:pPr>
      <w:r>
        <w:tab/>
        <w:t>(6)</w:t>
      </w:r>
      <w:r>
        <w:tab/>
        <w:t xml:space="preserve">If a material is subject to solely transverse or torsional stress (or both), and if the </w:t>
      </w:r>
      <w:r>
        <w:rPr>
          <w:position w:val="6"/>
          <w:sz w:val="18"/>
        </w:rPr>
        <w:t>1</w:t>
      </w:r>
      <w:r>
        <w:t>/</w:t>
      </w:r>
      <w:r>
        <w:rPr>
          <w:sz w:val="18"/>
        </w:rPr>
        <w:t>10</w:t>
      </w:r>
      <w:r>
        <w:t xml:space="preserve"> of 1% proof stress is less than </w:t>
      </w:r>
      <w:r>
        <w:rPr>
          <w:position w:val="6"/>
          <w:sz w:val="18"/>
        </w:rPr>
        <w:t>1</w:t>
      </w:r>
      <w:r>
        <w:t>/</w:t>
      </w:r>
      <w:r>
        <w:rPr>
          <w:sz w:val="18"/>
        </w:rPr>
        <w:t>2</w:t>
      </w:r>
      <w:r>
        <w:t xml:space="preserve"> of the endurance range mentioned in subsection (4), the stress prescribed by subsection (4) (a) may be disregarded.</w:t>
      </w:r>
    </w:p>
    <w:p w:rsidR="00B40966" w:rsidRDefault="00B40966">
      <w:pPr>
        <w:pStyle w:val="Amain"/>
      </w:pPr>
      <w:r>
        <w:tab/>
        <w:t>(7)</w:t>
      </w:r>
      <w:r>
        <w:tab/>
        <w:t>For the purpose of estimating the numbers of stress repetitions to which any member, component, part or attachment of any crane, lift, hoist, scaffolding, plant or gear is liable, the working life of the crane, lift, hoist, scaffolding, plant or gear shall, unless the chief inspector otherwise approves, be deemed to be at least 80 thousand hours.</w:t>
      </w:r>
    </w:p>
    <w:p w:rsidR="00B40966" w:rsidRDefault="00B40966">
      <w:pPr>
        <w:pStyle w:val="Amain"/>
      </w:pPr>
      <w:r>
        <w:tab/>
        <w:t>(8)</w:t>
      </w:r>
      <w:r>
        <w:tab/>
        <w:t>Except as may be otherwise prescribed in this regulation—</w:t>
      </w:r>
    </w:p>
    <w:p w:rsidR="00B40966" w:rsidRDefault="00B40966">
      <w:pPr>
        <w:pStyle w:val="Apara"/>
      </w:pPr>
      <w:r>
        <w:tab/>
        <w:t>(a)</w:t>
      </w:r>
      <w:r>
        <w:tab/>
        <w:t>every crane or hoist and the parts of it and all gear shall be classified numerically in conformity with the following table, according to its working period, effective load and the dynamic effects to which it is subjected taking into consideration all of the circumstances and conditions under which it is to work and to which it is to be exposed, as also all of the functions it is to perform, and, in the event of uncertainty or dispute, the classification may be determined by the chief inspector; and</w:t>
      </w:r>
    </w:p>
    <w:p w:rsidR="00B40966" w:rsidRDefault="00B40966">
      <w:pPr>
        <w:pStyle w:val="Apara"/>
      </w:pPr>
      <w:r>
        <w:tab/>
        <w:t>(b)</w:t>
      </w:r>
      <w:r>
        <w:tab/>
        <w:t>every scaffolding shall be deemed to be within classification 3, except that the timbers of it may be deemed within classification 2; and</w:t>
      </w:r>
    </w:p>
    <w:p w:rsidR="00B40966" w:rsidRDefault="00B40966">
      <w:pPr>
        <w:pStyle w:val="Apara"/>
      </w:pPr>
      <w:r>
        <w:tab/>
        <w:t>(c)</w:t>
      </w:r>
      <w:r>
        <w:tab/>
        <w:t>every lift and every hoist used for raising or lowering workers shall be deemed to be within classification 4; and</w:t>
      </w:r>
    </w:p>
    <w:p w:rsidR="00B40966" w:rsidRDefault="00B40966">
      <w:pPr>
        <w:pStyle w:val="Apara"/>
      </w:pPr>
      <w:r>
        <w:tab/>
        <w:t>(d)</w:t>
      </w:r>
      <w:r>
        <w:tab/>
        <w:t>for the purpose of determining stresses in timbers, cranes and hoists and their supporting structures, they shall be deemed to be within classification 1 if indoor, and classification 2 if outdoor; and</w:t>
      </w:r>
    </w:p>
    <w:p w:rsidR="00B40966" w:rsidRDefault="00B40966">
      <w:pPr>
        <w:pStyle w:val="Apara"/>
      </w:pPr>
      <w:r>
        <w:tab/>
        <w:t>(e)</w:t>
      </w:r>
      <w:r>
        <w:tab/>
        <w:t>no person shall cause or effect any change in the circumstances or conditions under which any crane, lift, hoist, scaffolding, plant or gear is to work, or to which it is to be exposed, or in the functions it is to perform, unless after the change the classification of the crane, lift, hoist, scaffolding, plant, or gear would on reconsideration remain unaltered or revert to a numerically lower order; and</w:t>
      </w:r>
    </w:p>
    <w:p w:rsidR="00B40966" w:rsidRDefault="00B40966">
      <w:pPr>
        <w:pStyle w:val="Apara"/>
      </w:pPr>
      <w:r>
        <w:tab/>
        <w:t>(f)</w:t>
      </w:r>
      <w:r>
        <w:tab/>
        <w:t>no person shall use a crane, lift, hoist, scaffolding, plant, or gear after such change unless the classification of it would on reconsideration remain unaltered or revert to a numerically lower order; and</w:t>
      </w:r>
    </w:p>
    <w:p w:rsidR="00B40966" w:rsidRDefault="00B40966">
      <w:pPr>
        <w:pStyle w:val="Apara"/>
      </w:pPr>
      <w:r>
        <w:tab/>
        <w:t>(g)</w:t>
      </w:r>
      <w:r>
        <w:tab/>
        <w:t>nothing in this subsection shall prevent any person from designing, constructing, erecting or using a crane, lift, hoist, scaffolding, plant, or gear of greater safety, strength, and stability than that prescribed in this subsection.</w:t>
      </w:r>
    </w:p>
    <w:p w:rsidR="00B40966" w:rsidRDefault="00B40966">
      <w:pPr>
        <w:pStyle w:val="TableHd"/>
      </w:pPr>
      <w:r>
        <w:t>Table 122.1</w:t>
      </w:r>
      <w:r>
        <w:tab/>
        <w:t>Classification of cranes and hoists and gear for purposes of design, construction and use</w:t>
      </w:r>
    </w:p>
    <w:tbl>
      <w:tblPr>
        <w:tblW w:w="6840" w:type="dxa"/>
        <w:tblInd w:w="137" w:type="dxa"/>
        <w:tblLayout w:type="fixed"/>
        <w:tblCellMar>
          <w:left w:w="80" w:type="dxa"/>
          <w:right w:w="80" w:type="dxa"/>
        </w:tblCellMar>
        <w:tblLook w:val="0000" w:firstRow="0" w:lastRow="0" w:firstColumn="0" w:lastColumn="0" w:noHBand="0" w:noVBand="0"/>
      </w:tblPr>
      <w:tblGrid>
        <w:gridCol w:w="1425"/>
        <w:gridCol w:w="2109"/>
        <w:gridCol w:w="1596"/>
        <w:gridCol w:w="1710"/>
      </w:tblGrid>
      <w:tr w:rsidR="00B40966">
        <w:trPr>
          <w:cantSplit/>
          <w:tblHeader/>
        </w:trPr>
        <w:tc>
          <w:tcPr>
            <w:tcW w:w="1425" w:type="dxa"/>
            <w:tcBorders>
              <w:bottom w:val="single" w:sz="4" w:space="0" w:color="auto"/>
            </w:tcBorders>
          </w:tcPr>
          <w:p w:rsidR="00B40966" w:rsidRDefault="00B40966">
            <w:pPr>
              <w:pStyle w:val="TableColHd"/>
            </w:pPr>
            <w:r>
              <w:t>classification</w:t>
            </w:r>
          </w:p>
        </w:tc>
        <w:tc>
          <w:tcPr>
            <w:tcW w:w="2109" w:type="dxa"/>
            <w:tcBorders>
              <w:bottom w:val="single" w:sz="4" w:space="0" w:color="auto"/>
            </w:tcBorders>
          </w:tcPr>
          <w:p w:rsidR="00B40966" w:rsidRDefault="00B40966">
            <w:pPr>
              <w:pStyle w:val="TableColHd"/>
            </w:pPr>
            <w:r>
              <w:t>working period</w:t>
            </w:r>
          </w:p>
        </w:tc>
        <w:tc>
          <w:tcPr>
            <w:tcW w:w="1596" w:type="dxa"/>
            <w:tcBorders>
              <w:bottom w:val="single" w:sz="4" w:space="0" w:color="auto"/>
            </w:tcBorders>
          </w:tcPr>
          <w:p w:rsidR="00B40966" w:rsidRDefault="00B40966">
            <w:pPr>
              <w:pStyle w:val="TableColHd"/>
            </w:pPr>
            <w:r>
              <w:t>effective load</w:t>
            </w:r>
          </w:p>
        </w:tc>
        <w:tc>
          <w:tcPr>
            <w:tcW w:w="1710" w:type="dxa"/>
            <w:tcBorders>
              <w:bottom w:val="single" w:sz="4" w:space="0" w:color="auto"/>
            </w:tcBorders>
          </w:tcPr>
          <w:p w:rsidR="00B40966" w:rsidRDefault="00B40966">
            <w:pPr>
              <w:pStyle w:val="TableColHd"/>
            </w:pPr>
            <w:r>
              <w:t>dynamic effects</w:t>
            </w:r>
          </w:p>
        </w:tc>
      </w:tr>
      <w:tr w:rsidR="00B40966">
        <w:trPr>
          <w:cantSplit/>
        </w:trPr>
        <w:tc>
          <w:tcPr>
            <w:tcW w:w="1425" w:type="dxa"/>
            <w:tcBorders>
              <w:top w:val="single" w:sz="4" w:space="0" w:color="auto"/>
            </w:tcBorders>
          </w:tcPr>
          <w:p w:rsidR="00B40966" w:rsidRDefault="00B40966">
            <w:pPr>
              <w:pStyle w:val="TableText"/>
              <w:keepNext/>
            </w:pPr>
            <w:r>
              <w:t>1</w:t>
            </w:r>
          </w:p>
        </w:tc>
        <w:tc>
          <w:tcPr>
            <w:tcW w:w="2109" w:type="dxa"/>
            <w:tcBorders>
              <w:top w:val="single" w:sz="4" w:space="0" w:color="auto"/>
            </w:tcBorders>
          </w:tcPr>
          <w:p w:rsidR="00B40966" w:rsidRDefault="00B40966">
            <w:pPr>
              <w:pStyle w:val="TableText"/>
              <w:keepNext/>
            </w:pPr>
            <w:r>
              <w:t>short</w:t>
            </w:r>
          </w:p>
        </w:tc>
        <w:tc>
          <w:tcPr>
            <w:tcW w:w="1596" w:type="dxa"/>
            <w:tcBorders>
              <w:top w:val="single" w:sz="4" w:space="0" w:color="auto"/>
            </w:tcBorders>
          </w:tcPr>
          <w:p w:rsidR="00B40966" w:rsidRDefault="00B40966">
            <w:pPr>
              <w:pStyle w:val="TableText"/>
              <w:keepNext/>
            </w:pPr>
            <w:r>
              <w:t>low</w:t>
            </w:r>
          </w:p>
        </w:tc>
        <w:tc>
          <w:tcPr>
            <w:tcW w:w="1710" w:type="dxa"/>
            <w:tcBorders>
              <w:top w:val="single" w:sz="4" w:space="0" w:color="auto"/>
            </w:tcBorders>
          </w:tcPr>
          <w:p w:rsidR="00B40966" w:rsidRDefault="00B40966">
            <w:pPr>
              <w:pStyle w:val="TableText"/>
              <w:keepNext/>
            </w:pPr>
            <w:r>
              <w:t>low</w:t>
            </w:r>
          </w:p>
        </w:tc>
      </w:tr>
      <w:tr w:rsidR="00B40966">
        <w:trPr>
          <w:cantSplit/>
        </w:trPr>
        <w:tc>
          <w:tcPr>
            <w:tcW w:w="1425" w:type="dxa"/>
          </w:tcPr>
          <w:p w:rsidR="00B40966" w:rsidRDefault="00B40966">
            <w:pPr>
              <w:pStyle w:val="TableText"/>
            </w:pPr>
            <w:r>
              <w:t>2</w:t>
            </w:r>
          </w:p>
        </w:tc>
        <w:tc>
          <w:tcPr>
            <w:tcW w:w="2109" w:type="dxa"/>
          </w:tcPr>
          <w:p w:rsidR="00B40966" w:rsidRDefault="00B40966">
            <w:pPr>
              <w:pStyle w:val="TableText"/>
            </w:pPr>
            <w:r>
              <w:t>long</w:t>
            </w:r>
          </w:p>
          <w:p w:rsidR="00B40966" w:rsidRDefault="00B40966">
            <w:pPr>
              <w:pStyle w:val="TableText"/>
            </w:pPr>
            <w:r>
              <w:t>short</w:t>
            </w:r>
          </w:p>
          <w:p w:rsidR="00B40966" w:rsidRDefault="00B40966">
            <w:pPr>
              <w:pStyle w:val="TableText"/>
            </w:pPr>
            <w:r>
              <w:t>short</w:t>
            </w:r>
          </w:p>
        </w:tc>
        <w:tc>
          <w:tcPr>
            <w:tcW w:w="1596" w:type="dxa"/>
          </w:tcPr>
          <w:p w:rsidR="00B40966" w:rsidRDefault="00B40966">
            <w:pPr>
              <w:pStyle w:val="TableText"/>
            </w:pPr>
            <w:r>
              <w:t>low</w:t>
            </w:r>
          </w:p>
          <w:p w:rsidR="00B40966" w:rsidRDefault="00B40966">
            <w:pPr>
              <w:pStyle w:val="TableText"/>
            </w:pPr>
            <w:r>
              <w:t>high</w:t>
            </w:r>
          </w:p>
          <w:p w:rsidR="00B40966" w:rsidRDefault="00B40966">
            <w:pPr>
              <w:pStyle w:val="TableText"/>
            </w:pPr>
            <w:r>
              <w:t>low</w:t>
            </w:r>
          </w:p>
        </w:tc>
        <w:tc>
          <w:tcPr>
            <w:tcW w:w="1710" w:type="dxa"/>
          </w:tcPr>
          <w:p w:rsidR="00B40966" w:rsidRDefault="00B40966">
            <w:pPr>
              <w:pStyle w:val="TableText"/>
            </w:pPr>
            <w:r>
              <w:t>low</w:t>
            </w:r>
          </w:p>
          <w:p w:rsidR="00B40966" w:rsidRDefault="00B40966">
            <w:pPr>
              <w:pStyle w:val="TableText"/>
            </w:pPr>
            <w:r>
              <w:t>low</w:t>
            </w:r>
          </w:p>
          <w:p w:rsidR="00B40966" w:rsidRDefault="00B40966">
            <w:pPr>
              <w:pStyle w:val="TableText"/>
            </w:pPr>
            <w:r>
              <w:t>high</w:t>
            </w:r>
          </w:p>
        </w:tc>
      </w:tr>
      <w:tr w:rsidR="00B40966">
        <w:trPr>
          <w:cantSplit/>
        </w:trPr>
        <w:tc>
          <w:tcPr>
            <w:tcW w:w="1425" w:type="dxa"/>
          </w:tcPr>
          <w:p w:rsidR="00B40966" w:rsidRDefault="00B40966">
            <w:pPr>
              <w:pStyle w:val="TableText"/>
            </w:pPr>
            <w:r>
              <w:t>3</w:t>
            </w:r>
          </w:p>
        </w:tc>
        <w:tc>
          <w:tcPr>
            <w:tcW w:w="2109" w:type="dxa"/>
          </w:tcPr>
          <w:p w:rsidR="00B40966" w:rsidRDefault="00B40966">
            <w:pPr>
              <w:pStyle w:val="TableText"/>
            </w:pPr>
            <w:r>
              <w:t>long</w:t>
            </w:r>
          </w:p>
          <w:p w:rsidR="00B40966" w:rsidRDefault="00B40966">
            <w:pPr>
              <w:pStyle w:val="TableText"/>
            </w:pPr>
            <w:r>
              <w:t>long</w:t>
            </w:r>
          </w:p>
          <w:p w:rsidR="00B40966" w:rsidRDefault="00B40966">
            <w:pPr>
              <w:pStyle w:val="TableText"/>
            </w:pPr>
            <w:r>
              <w:t>short</w:t>
            </w:r>
          </w:p>
        </w:tc>
        <w:tc>
          <w:tcPr>
            <w:tcW w:w="1596" w:type="dxa"/>
          </w:tcPr>
          <w:p w:rsidR="00B40966" w:rsidRDefault="00B40966">
            <w:pPr>
              <w:pStyle w:val="TableText"/>
            </w:pPr>
            <w:r>
              <w:t>high</w:t>
            </w:r>
          </w:p>
          <w:p w:rsidR="00B40966" w:rsidRDefault="00B40966">
            <w:pPr>
              <w:pStyle w:val="TableText"/>
            </w:pPr>
            <w:r>
              <w:t>low</w:t>
            </w:r>
          </w:p>
          <w:p w:rsidR="00B40966" w:rsidRDefault="00B40966">
            <w:pPr>
              <w:pStyle w:val="TableText"/>
            </w:pPr>
            <w:r>
              <w:t>high</w:t>
            </w:r>
          </w:p>
        </w:tc>
        <w:tc>
          <w:tcPr>
            <w:tcW w:w="1710" w:type="dxa"/>
          </w:tcPr>
          <w:p w:rsidR="00B40966" w:rsidRDefault="00B40966">
            <w:pPr>
              <w:pStyle w:val="TableText"/>
            </w:pPr>
            <w:r>
              <w:t>low</w:t>
            </w:r>
          </w:p>
          <w:p w:rsidR="00B40966" w:rsidRDefault="00B40966">
            <w:pPr>
              <w:pStyle w:val="TableText"/>
            </w:pPr>
            <w:r>
              <w:t>high</w:t>
            </w:r>
          </w:p>
          <w:p w:rsidR="00B40966" w:rsidRDefault="00B40966">
            <w:pPr>
              <w:pStyle w:val="TableText"/>
            </w:pPr>
            <w:r>
              <w:t>high</w:t>
            </w:r>
          </w:p>
        </w:tc>
      </w:tr>
      <w:tr w:rsidR="00B40966">
        <w:trPr>
          <w:cantSplit/>
        </w:trPr>
        <w:tc>
          <w:tcPr>
            <w:tcW w:w="1425" w:type="dxa"/>
          </w:tcPr>
          <w:p w:rsidR="00B40966" w:rsidRDefault="00B40966">
            <w:pPr>
              <w:pStyle w:val="TableText"/>
            </w:pPr>
            <w:r>
              <w:t>4</w:t>
            </w:r>
          </w:p>
        </w:tc>
        <w:tc>
          <w:tcPr>
            <w:tcW w:w="2109" w:type="dxa"/>
          </w:tcPr>
          <w:p w:rsidR="00B40966" w:rsidRDefault="00B40966">
            <w:pPr>
              <w:pStyle w:val="TableText"/>
            </w:pPr>
            <w:r>
              <w:t>long</w:t>
            </w:r>
          </w:p>
        </w:tc>
        <w:tc>
          <w:tcPr>
            <w:tcW w:w="1596" w:type="dxa"/>
          </w:tcPr>
          <w:p w:rsidR="00B40966" w:rsidRDefault="00B40966">
            <w:pPr>
              <w:pStyle w:val="TableText"/>
            </w:pPr>
            <w:r>
              <w:t>high</w:t>
            </w:r>
          </w:p>
        </w:tc>
        <w:tc>
          <w:tcPr>
            <w:tcW w:w="1710" w:type="dxa"/>
          </w:tcPr>
          <w:p w:rsidR="00B40966" w:rsidRDefault="00B40966">
            <w:pPr>
              <w:pStyle w:val="TableText"/>
            </w:pPr>
            <w:r>
              <w:t>high</w:t>
            </w:r>
          </w:p>
        </w:tc>
      </w:tr>
    </w:tbl>
    <w:p w:rsidR="00B40966" w:rsidRDefault="00B40966"/>
    <w:p w:rsidR="00B40966" w:rsidRDefault="00B40966">
      <w:pPr>
        <w:pStyle w:val="Amain"/>
      </w:pPr>
      <w:r>
        <w:tab/>
        <w:t>(9)</w:t>
      </w:r>
      <w:r>
        <w:tab/>
        <w:t>In applying table 122.1 the following subsections apply.</w:t>
      </w:r>
    </w:p>
    <w:p w:rsidR="00B40966" w:rsidRDefault="00B40966">
      <w:pPr>
        <w:pStyle w:val="Amain"/>
      </w:pPr>
      <w:r>
        <w:tab/>
        <w:t>(10)</w:t>
      </w:r>
      <w:r>
        <w:tab/>
        <w:t>The working period of any crane, hoist, or gear shall be considered to be short if it operates or may reasonably be expected to operate for less than 500 hours per annum, or long if it operates or may reasonably be expected to operate for more than 500 hours per annum.</w:t>
      </w:r>
    </w:p>
    <w:p w:rsidR="00B40966" w:rsidRDefault="00B40966">
      <w:pPr>
        <w:pStyle w:val="Amain"/>
      </w:pPr>
      <w:r>
        <w:tab/>
        <w:t>(11)</w:t>
      </w:r>
      <w:r>
        <w:tab/>
        <w:t xml:space="preserve">The effective load of any crane, hoist or gear shall be considered to be low unless it lifts or may reasonably be expected to lift loads greater than </w:t>
      </w:r>
      <w:r>
        <w:rPr>
          <w:position w:val="6"/>
          <w:sz w:val="18"/>
        </w:rPr>
        <w:t>2</w:t>
      </w:r>
      <w:r>
        <w:t>/</w:t>
      </w:r>
      <w:r>
        <w:rPr>
          <w:sz w:val="18"/>
        </w:rPr>
        <w:t>3</w:t>
      </w:r>
      <w:r>
        <w:t xml:space="preserve"> of its safe working load on more than 1 000 occasions per annum.</w:t>
      </w:r>
    </w:p>
    <w:p w:rsidR="00B40966" w:rsidRDefault="00B40966">
      <w:pPr>
        <w:pStyle w:val="Amain"/>
      </w:pPr>
      <w:r>
        <w:tab/>
        <w:t>(12)</w:t>
      </w:r>
      <w:r>
        <w:tab/>
        <w:t>The effective load shall otherwise be considered to be high.</w:t>
      </w:r>
    </w:p>
    <w:p w:rsidR="00B40966" w:rsidRDefault="00B40966">
      <w:pPr>
        <w:pStyle w:val="Amain"/>
      </w:pPr>
      <w:r>
        <w:tab/>
        <w:t>(13)</w:t>
      </w:r>
      <w:r>
        <w:tab/>
        <w:t>Dynamic effects may be considered low if the speed of travelling of both crab and crane or hoist are each less than 300 feet per minute, or 400 feet per minute if the active surfaces of the respective track rails are uninterrupted by gaps or joints.</w:t>
      </w:r>
    </w:p>
    <w:p w:rsidR="00B40966" w:rsidRDefault="00B40966">
      <w:pPr>
        <w:pStyle w:val="Amain"/>
      </w:pPr>
      <w:r>
        <w:tab/>
        <w:t>(14)</w:t>
      </w:r>
      <w:r>
        <w:tab/>
        <w:t>Dynamic effects shall be considered high if the crane, hoist or gear or any part or motion of it is used for any purpose, or in any way likely to produce greater shock effects than those caused by travelling on steel track rails at the speeds mentioned in subsection (13).</w:t>
      </w:r>
    </w:p>
    <w:p w:rsidR="00B40966" w:rsidRDefault="00B40966">
      <w:pPr>
        <w:pStyle w:val="Amain"/>
      </w:pPr>
      <w:r>
        <w:tab/>
        <w:t>(15)</w:t>
      </w:r>
      <w:r>
        <w:tab/>
        <w:t>Dynamic effects may be considered low for mobile cranes or mobile hoists having well-sprung road wheels and travelling at moderate speeds on surfaces not less regular than closely laid decking of sawn timber.</w:t>
      </w:r>
    </w:p>
    <w:p w:rsidR="00B40966" w:rsidRDefault="00B40966">
      <w:pPr>
        <w:pStyle w:val="Amain"/>
      </w:pPr>
      <w:r>
        <w:tab/>
        <w:t>(16)</w:t>
      </w:r>
      <w:r>
        <w:tab/>
        <w:t>Road wheels having approved pneumatic balloon tyres of the ‘off</w:t>
      </w:r>
      <w:r>
        <w:noBreakHyphen/>
        <w:t>the-road’ type may be considered equivalent to well-sprung road wheels.</w:t>
      </w:r>
    </w:p>
    <w:p w:rsidR="00B40966" w:rsidRDefault="00B40966">
      <w:pPr>
        <w:pStyle w:val="Amain"/>
      </w:pPr>
      <w:r>
        <w:tab/>
        <w:t>(17)</w:t>
      </w:r>
      <w:r>
        <w:tab/>
        <w:t>Dynamic effects shall be considered high for other mobile cranes or mobile hoists.</w:t>
      </w:r>
    </w:p>
    <w:p w:rsidR="00B40966" w:rsidRDefault="00B40966">
      <w:pPr>
        <w:pStyle w:val="Amain"/>
      </w:pPr>
      <w:r>
        <w:tab/>
        <w:t>(18)</w:t>
      </w:r>
      <w:r>
        <w:tab/>
        <w:t>Reference should also be made to examples given in table 122.2 and table 122.3, in determining the classification of a crane or hoist, or gear, or part of it.</w:t>
      </w:r>
    </w:p>
    <w:p w:rsidR="00B40966" w:rsidRDefault="00B40966">
      <w:pPr>
        <w:pStyle w:val="Amain"/>
      </w:pPr>
      <w:r>
        <w:tab/>
        <w:t>(19)</w:t>
      </w:r>
      <w:r>
        <w:tab/>
        <w:t>If any single crane or hoist travelling in relation to its supporting structure, does not cause the major loadings to recur principally on portions only of the supporting structure, the structure if supporting a crane or hoist within classifications 2, 3 or 4, may be deemed to be within the next lower classification to that of the crane or hoist.</w:t>
      </w:r>
    </w:p>
    <w:p w:rsidR="00B40966" w:rsidRDefault="00B40966">
      <w:pPr>
        <w:pStyle w:val="Amain"/>
      </w:pPr>
      <w:r>
        <w:tab/>
        <w:t>(20)</w:t>
      </w:r>
      <w:r>
        <w:tab/>
        <w:t>However, this shall not apply to supporting structures constructed of timber.</w:t>
      </w:r>
    </w:p>
    <w:p w:rsidR="00B40966" w:rsidRDefault="00B40966">
      <w:pPr>
        <w:pStyle w:val="Amain"/>
        <w:keepNext/>
      </w:pPr>
      <w:r>
        <w:tab/>
        <w:t>(21)</w:t>
      </w:r>
      <w:r>
        <w:tab/>
        <w:t>Table 122.2 is for reference in classifying crane and hoist frame and supporting structures in the respective groups shown in table 122.1.</w:t>
      </w:r>
    </w:p>
    <w:p w:rsidR="00B40966" w:rsidRDefault="00B40966">
      <w:pPr>
        <w:pStyle w:val="TableHd"/>
      </w:pPr>
      <w:r>
        <w:t>Table 122.2</w:t>
      </w:r>
    </w:p>
    <w:tbl>
      <w:tblPr>
        <w:tblW w:w="7809" w:type="dxa"/>
        <w:tblInd w:w="80" w:type="dxa"/>
        <w:tblLayout w:type="fixed"/>
        <w:tblCellMar>
          <w:left w:w="80" w:type="dxa"/>
          <w:right w:w="80" w:type="dxa"/>
        </w:tblCellMar>
        <w:tblLook w:val="0000" w:firstRow="0" w:lastRow="0" w:firstColumn="0" w:lastColumn="0" w:noHBand="0" w:noVBand="0"/>
      </w:tblPr>
      <w:tblGrid>
        <w:gridCol w:w="4788"/>
        <w:gridCol w:w="1368"/>
        <w:gridCol w:w="1653"/>
      </w:tblGrid>
      <w:tr w:rsidR="00B40966">
        <w:trPr>
          <w:cantSplit/>
          <w:tblHeader/>
        </w:trPr>
        <w:tc>
          <w:tcPr>
            <w:tcW w:w="4788" w:type="dxa"/>
            <w:tcBorders>
              <w:bottom w:val="single" w:sz="2" w:space="0" w:color="auto"/>
            </w:tcBorders>
          </w:tcPr>
          <w:p w:rsidR="00B40966" w:rsidRDefault="00B40966">
            <w:pPr>
              <w:pStyle w:val="TableColHd"/>
            </w:pPr>
            <w:r>
              <w:t>type of crane</w:t>
            </w:r>
          </w:p>
        </w:tc>
        <w:tc>
          <w:tcPr>
            <w:tcW w:w="1368" w:type="dxa"/>
            <w:tcBorders>
              <w:bottom w:val="single" w:sz="2" w:space="0" w:color="auto"/>
            </w:tcBorders>
          </w:tcPr>
          <w:p w:rsidR="00B40966" w:rsidRDefault="00B40966">
            <w:pPr>
              <w:pStyle w:val="TableColHd"/>
            </w:pPr>
            <w:r>
              <w:t>classification</w:t>
            </w:r>
          </w:p>
        </w:tc>
        <w:tc>
          <w:tcPr>
            <w:tcW w:w="1653" w:type="dxa"/>
            <w:tcBorders>
              <w:bottom w:val="single" w:sz="2" w:space="0" w:color="auto"/>
            </w:tcBorders>
          </w:tcPr>
          <w:p w:rsidR="00B40966" w:rsidRDefault="00B40966">
            <w:pPr>
              <w:pStyle w:val="TableColHd"/>
            </w:pPr>
            <w:r>
              <w:t>explanatory note</w:t>
            </w:r>
          </w:p>
        </w:tc>
      </w:tr>
      <w:tr w:rsidR="00B40966">
        <w:trPr>
          <w:cantSplit/>
        </w:trPr>
        <w:tc>
          <w:tcPr>
            <w:tcW w:w="4788" w:type="dxa"/>
            <w:tcBorders>
              <w:top w:val="single" w:sz="2" w:space="0" w:color="auto"/>
            </w:tcBorders>
          </w:tcPr>
          <w:p w:rsidR="00B40966" w:rsidRDefault="00B40966">
            <w:pPr>
              <w:pStyle w:val="TableText"/>
            </w:pPr>
            <w:r>
              <w:t>hand cranes (except vehicular types)</w:t>
            </w:r>
          </w:p>
          <w:p w:rsidR="00B40966" w:rsidRDefault="00B40966">
            <w:pPr>
              <w:pStyle w:val="TableText"/>
            </w:pPr>
            <w:r>
              <w:t>conveyors (belt, tyne, slat, scraper, tray, chain, etc, but not bucket)</w:t>
            </w:r>
          </w:p>
          <w:p w:rsidR="00B40966" w:rsidRDefault="00B40966">
            <w:pPr>
              <w:pStyle w:val="TableText"/>
            </w:pPr>
            <w:r>
              <w:t>engine house cranes</w:t>
            </w:r>
          </w:p>
          <w:p w:rsidR="00B40966" w:rsidRDefault="00B40966">
            <w:pPr>
              <w:pStyle w:val="TableText"/>
            </w:pPr>
            <w:r>
              <w:t>cranes for occasional use only, in commission not more than 500 hours per annum</w:t>
            </w:r>
          </w:p>
          <w:p w:rsidR="00B40966" w:rsidRDefault="00B40966">
            <w:pPr>
              <w:pStyle w:val="TableText"/>
            </w:pPr>
            <w:r>
              <w:t>single and twin derrick poles</w:t>
            </w:r>
          </w:p>
        </w:tc>
        <w:tc>
          <w:tcPr>
            <w:tcW w:w="1368" w:type="dxa"/>
            <w:tcBorders>
              <w:top w:val="single" w:sz="2" w:space="0" w:color="auto"/>
            </w:tcBorders>
          </w:tcPr>
          <w:p w:rsidR="00B40966" w:rsidRDefault="00B40966">
            <w:pPr>
              <w:pStyle w:val="TableText"/>
              <w:jc w:val="center"/>
            </w:pPr>
            <w:r>
              <w:t>1</w:t>
            </w:r>
          </w:p>
        </w:tc>
        <w:tc>
          <w:tcPr>
            <w:tcW w:w="1653" w:type="dxa"/>
            <w:tcBorders>
              <w:top w:val="single" w:sz="2" w:space="0" w:color="auto"/>
            </w:tcBorders>
          </w:tcPr>
          <w:p w:rsidR="00B40966" w:rsidRDefault="00B40966">
            <w:pPr>
              <w:pStyle w:val="TableText"/>
            </w:pPr>
          </w:p>
        </w:tc>
      </w:tr>
      <w:tr w:rsidR="00B40966">
        <w:trPr>
          <w:cantSplit/>
        </w:trPr>
        <w:tc>
          <w:tcPr>
            <w:tcW w:w="4788" w:type="dxa"/>
            <w:tcBorders>
              <w:top w:val="single" w:sz="2" w:space="0" w:color="auto"/>
              <w:bottom w:val="single" w:sz="2" w:space="0" w:color="auto"/>
            </w:tcBorders>
          </w:tcPr>
          <w:p w:rsidR="00B40966" w:rsidRDefault="00B40966">
            <w:pPr>
              <w:pStyle w:val="TableText"/>
            </w:pPr>
            <w:r>
              <w:t>bucket conveyors</w:t>
            </w:r>
          </w:p>
          <w:p w:rsidR="00B40966" w:rsidRDefault="00B40966">
            <w:pPr>
              <w:pStyle w:val="TableText"/>
            </w:pPr>
            <w:r>
              <w:t>*slings, yokes and general lifting gear used in medium factories and workshops for moderate work (but not used in handling hot articles, apparatus or materials, or substances or liquids injurious to human life or limb)</w:t>
            </w:r>
          </w:p>
        </w:tc>
        <w:tc>
          <w:tcPr>
            <w:tcW w:w="1368" w:type="dxa"/>
            <w:tcBorders>
              <w:top w:val="single" w:sz="2" w:space="0" w:color="auto"/>
              <w:bottom w:val="single" w:sz="2" w:space="0" w:color="auto"/>
            </w:tcBorders>
          </w:tcPr>
          <w:p w:rsidR="00B40966" w:rsidRDefault="00B40966">
            <w:pPr>
              <w:pStyle w:val="TableText"/>
              <w:jc w:val="center"/>
            </w:pPr>
            <w:r>
              <w:t>2</w:t>
            </w:r>
          </w:p>
        </w:tc>
        <w:tc>
          <w:tcPr>
            <w:tcW w:w="1653" w:type="dxa"/>
            <w:tcBorders>
              <w:top w:val="single" w:sz="2" w:space="0" w:color="auto"/>
              <w:bottom w:val="single" w:sz="2" w:space="0" w:color="auto"/>
            </w:tcBorders>
          </w:tcPr>
          <w:p w:rsidR="00B40966" w:rsidRDefault="00B40966">
            <w:pPr>
              <w:pStyle w:val="TableText"/>
            </w:pPr>
          </w:p>
        </w:tc>
      </w:tr>
      <w:tr w:rsidR="00B40966">
        <w:tc>
          <w:tcPr>
            <w:tcW w:w="4788" w:type="dxa"/>
            <w:tcBorders>
              <w:bottom w:val="single" w:sz="2" w:space="0" w:color="auto"/>
            </w:tcBorders>
          </w:tcPr>
          <w:p w:rsidR="00B40966" w:rsidRDefault="00B40966">
            <w:pPr>
              <w:pStyle w:val="TableText"/>
            </w:pPr>
            <w:r>
              <w:t>tower and portal cranes and hammer-headed cranes</w:t>
            </w:r>
          </w:p>
          <w:p w:rsidR="00B40966" w:rsidRDefault="00B40966">
            <w:pPr>
              <w:pStyle w:val="TableText"/>
            </w:pPr>
            <w:r>
              <w:t>cupola hoists for light and medium foundries</w:t>
            </w:r>
          </w:p>
          <w:p w:rsidR="00B40966" w:rsidRDefault="00B40966">
            <w:pPr>
              <w:pStyle w:val="TableText"/>
            </w:pPr>
            <w:r>
              <w:t>floating cranes</w:t>
            </w:r>
          </w:p>
          <w:p w:rsidR="00B40966" w:rsidRDefault="00B40966">
            <w:pPr>
              <w:pStyle w:val="TableText"/>
            </w:pPr>
            <w:r>
              <w:t>stacking machines</w:t>
            </w:r>
          </w:p>
          <w:p w:rsidR="00B40966" w:rsidRDefault="00B40966">
            <w:pPr>
              <w:pStyle w:val="TableText"/>
            </w:pPr>
            <w:r>
              <w:t>overbraced or underbraced jib cranes (except blacksmiths, boilermakers, welders)</w:t>
            </w:r>
          </w:p>
          <w:p w:rsidR="00B40966" w:rsidRDefault="00B40966">
            <w:pPr>
              <w:pStyle w:val="TableText"/>
            </w:pPr>
            <w:r>
              <w:t>giant cranes and fixed and travelling gantries</w:t>
            </w:r>
          </w:p>
          <w:p w:rsidR="00B40966" w:rsidRDefault="00B40966">
            <w:pPr>
              <w:pStyle w:val="TableText"/>
            </w:pPr>
            <w:r>
              <w:t>ice works cranes</w:t>
            </w:r>
          </w:p>
          <w:p w:rsidR="00B40966" w:rsidRDefault="00B40966">
            <w:pPr>
              <w:pStyle w:val="TableText"/>
            </w:pPr>
            <w:r>
              <w:t>light duty cranes in commission not more than 750 hours per annum</w:t>
            </w:r>
          </w:p>
          <w:p w:rsidR="00B40966" w:rsidRDefault="00B40966">
            <w:pPr>
              <w:pStyle w:val="TableText"/>
            </w:pPr>
            <w:r>
              <w:t>hand cranes mounted on vehicles</w:t>
            </w:r>
          </w:p>
          <w:p w:rsidR="00B40966" w:rsidRDefault="00B40966">
            <w:pPr>
              <w:pStyle w:val="TableText"/>
            </w:pPr>
            <w:r>
              <w:t>derrick cranes</w:t>
            </w:r>
          </w:p>
          <w:p w:rsidR="00B40966" w:rsidRDefault="00B40966">
            <w:pPr>
              <w:pStyle w:val="TableText"/>
            </w:pPr>
            <w:r>
              <w:t>winches or hoists used in building and constructional works</w:t>
            </w:r>
          </w:p>
          <w:p w:rsidR="00B40966" w:rsidRDefault="00B40966">
            <w:pPr>
              <w:pStyle w:val="TableText"/>
            </w:pPr>
            <w:r>
              <w:t>sheerlegs and gallows frames</w:t>
            </w:r>
          </w:p>
          <w:p w:rsidR="00B40966" w:rsidRDefault="00B40966">
            <w:pPr>
              <w:pStyle w:val="TableText"/>
            </w:pPr>
            <w:r>
              <w:t>sprung mobile cranes (other than vehicular used in building and constructional works)</w:t>
            </w:r>
          </w:p>
          <w:p w:rsidR="00B40966" w:rsidRDefault="00B40966">
            <w:pPr>
              <w:pStyle w:val="TableText"/>
            </w:pPr>
            <w:r>
              <w:t>shipbuilding cranes</w:t>
            </w:r>
          </w:p>
          <w:p w:rsidR="00B40966" w:rsidRDefault="00B40966">
            <w:pPr>
              <w:pStyle w:val="TableText"/>
            </w:pPr>
            <w:r>
              <w:t>machine shop secondary cranes</w:t>
            </w:r>
          </w:p>
          <w:p w:rsidR="00B40966" w:rsidRDefault="00B40966">
            <w:pPr>
              <w:pStyle w:val="TableText"/>
            </w:pPr>
            <w:r>
              <w:t>pile-drivers and pile-tilters</w:t>
            </w:r>
          </w:p>
          <w:p w:rsidR="00B40966" w:rsidRDefault="00B40966">
            <w:pPr>
              <w:pStyle w:val="TableText"/>
            </w:pPr>
            <w:r>
              <w:t>monorail runway hoists</w:t>
            </w:r>
          </w:p>
        </w:tc>
        <w:tc>
          <w:tcPr>
            <w:tcW w:w="1368" w:type="dxa"/>
            <w:tcBorders>
              <w:bottom w:val="single" w:sz="2" w:space="0" w:color="auto"/>
            </w:tcBorders>
          </w:tcPr>
          <w:p w:rsidR="00B40966" w:rsidRDefault="00B40966">
            <w:pPr>
              <w:pStyle w:val="TableText"/>
              <w:jc w:val="center"/>
            </w:pPr>
            <w:r>
              <w:t>2</w:t>
            </w:r>
          </w:p>
        </w:tc>
        <w:tc>
          <w:tcPr>
            <w:tcW w:w="1653" w:type="dxa"/>
            <w:tcBorders>
              <w:bottom w:val="single" w:sz="2" w:space="0" w:color="auto"/>
            </w:tcBorders>
          </w:tcPr>
          <w:p w:rsidR="00B40966" w:rsidRDefault="00B40966">
            <w:pPr>
              <w:pStyle w:val="TableText"/>
            </w:pPr>
          </w:p>
        </w:tc>
      </w:tr>
      <w:tr w:rsidR="00B40966">
        <w:tc>
          <w:tcPr>
            <w:tcW w:w="4788" w:type="dxa"/>
            <w:tcBorders>
              <w:bottom w:val="single" w:sz="2" w:space="0" w:color="auto"/>
            </w:tcBorders>
          </w:tcPr>
          <w:p w:rsidR="00B40966" w:rsidRDefault="00B40966">
            <w:pPr>
              <w:pStyle w:val="TableText"/>
            </w:pPr>
            <w:r>
              <w:t>locomotive cranes</w:t>
            </w:r>
          </w:p>
          <w:p w:rsidR="00B40966" w:rsidRDefault="00B40966">
            <w:pPr>
              <w:pStyle w:val="TableText"/>
            </w:pPr>
            <w:r>
              <w:t>overbraced or underbraced jib cranes used in blacksmithing, boilermaking or welding, or analogous duties</w:t>
            </w:r>
          </w:p>
          <w:p w:rsidR="00B40966" w:rsidRDefault="00B40966">
            <w:pPr>
              <w:pStyle w:val="TableText"/>
            </w:pPr>
            <w:r>
              <w:t>cupola hoists for heavy foundries</w:t>
            </w:r>
          </w:p>
          <w:p w:rsidR="00B40966" w:rsidRDefault="00B40966">
            <w:pPr>
              <w:pStyle w:val="TableText"/>
            </w:pPr>
            <w:r>
              <w:t>cranes used for pulling piles or sheet piling</w:t>
            </w:r>
          </w:p>
          <w:p w:rsidR="00B40966" w:rsidRDefault="00B40966">
            <w:pPr>
              <w:pStyle w:val="TableText"/>
            </w:pPr>
            <w:r>
              <w:t>overhead traveller cranes not elsewhere included</w:t>
            </w:r>
          </w:p>
          <w:p w:rsidR="00B40966" w:rsidRDefault="00B40966">
            <w:pPr>
              <w:pStyle w:val="TableText"/>
            </w:pPr>
            <w:r>
              <w:t>magnet cranes not handling scrap</w:t>
            </w:r>
          </w:p>
          <w:p w:rsidR="00B40966" w:rsidRDefault="00B40966">
            <w:pPr>
              <w:pStyle w:val="TableText"/>
            </w:pPr>
            <w:r>
              <w:t>derrick and other cranes having grabs, lifting magnets, or light skull breaker devices</w:t>
            </w:r>
          </w:p>
          <w:p w:rsidR="00B40966" w:rsidRDefault="00B40966">
            <w:pPr>
              <w:pStyle w:val="TableText"/>
            </w:pPr>
            <w:r>
              <w:t>travelling gantry derrick cranes</w:t>
            </w:r>
          </w:p>
          <w:p w:rsidR="00B40966" w:rsidRDefault="00B40966">
            <w:pPr>
              <w:pStyle w:val="TableText"/>
            </w:pPr>
            <w:r>
              <w:t>caterpillar cranes</w:t>
            </w:r>
          </w:p>
          <w:p w:rsidR="00B40966" w:rsidRDefault="00B40966">
            <w:pPr>
              <w:pStyle w:val="TableText"/>
            </w:pPr>
            <w:r>
              <w:t>(power) vehicular cranes used in building and construction works</w:t>
            </w:r>
          </w:p>
          <w:p w:rsidR="00B40966" w:rsidRDefault="00B40966">
            <w:pPr>
              <w:pStyle w:val="TableText"/>
            </w:pPr>
            <w:r>
              <w:t>concentrates, ore, coal or cargo</w:t>
            </w:r>
            <w:r>
              <w:noBreakHyphen/>
              <w:t>handling cranes</w:t>
            </w:r>
          </w:p>
          <w:p w:rsidR="00B40966" w:rsidRDefault="00B40966">
            <w:pPr>
              <w:pStyle w:val="TableText"/>
            </w:pPr>
            <w:r>
              <w:t>unsprung mobile cranes</w:t>
            </w:r>
          </w:p>
          <w:p w:rsidR="00B40966" w:rsidRDefault="00B40966">
            <w:pPr>
              <w:pStyle w:val="aNote"/>
              <w:tabs>
                <w:tab w:val="left" w:pos="775"/>
              </w:tabs>
              <w:ind w:hanging="1866"/>
            </w:pPr>
            <w:r>
              <w:rPr>
                <w:i/>
              </w:rPr>
              <w:t>Note</w:t>
            </w:r>
            <w:r>
              <w:tab/>
              <w:t>See ss (13) to (17).</w:t>
            </w:r>
          </w:p>
          <w:p w:rsidR="00B40966" w:rsidRDefault="00B40966">
            <w:pPr>
              <w:pStyle w:val="TableText"/>
            </w:pPr>
            <w:r>
              <w:t>logging cranes and logging winches</w:t>
            </w:r>
          </w:p>
          <w:p w:rsidR="00B40966" w:rsidRDefault="00B40966">
            <w:pPr>
              <w:pStyle w:val="TableText"/>
            </w:pPr>
            <w:r>
              <w:t>back-end and front end-loaders</w:t>
            </w:r>
          </w:p>
          <w:p w:rsidR="00B40966" w:rsidRDefault="00B40966">
            <w:pPr>
              <w:pStyle w:val="TableText"/>
            </w:pPr>
            <w:r>
              <w:t>*slings yokes and general lifting gear used in building or constructional works or on wharfs or in medium foundries</w:t>
            </w:r>
          </w:p>
          <w:p w:rsidR="00B40966" w:rsidRDefault="00B40966">
            <w:pPr>
              <w:pStyle w:val="TableText"/>
            </w:pPr>
            <w:r>
              <w:t>fork-lift trucks</w:t>
            </w:r>
          </w:p>
        </w:tc>
        <w:tc>
          <w:tcPr>
            <w:tcW w:w="1368" w:type="dxa"/>
            <w:tcBorders>
              <w:bottom w:val="single" w:sz="2" w:space="0" w:color="auto"/>
            </w:tcBorders>
          </w:tcPr>
          <w:p w:rsidR="00B40966" w:rsidRDefault="00B40966">
            <w:pPr>
              <w:pStyle w:val="TableText"/>
              <w:jc w:val="center"/>
            </w:pPr>
            <w:r>
              <w:t>3</w:t>
            </w:r>
          </w:p>
        </w:tc>
        <w:tc>
          <w:tcPr>
            <w:tcW w:w="1653" w:type="dxa"/>
            <w:tcBorders>
              <w:bottom w:val="single" w:sz="2" w:space="0" w:color="auto"/>
            </w:tcBorders>
          </w:tcPr>
          <w:p w:rsidR="00B40966" w:rsidRDefault="00B40966">
            <w:pPr>
              <w:pStyle w:val="TableText"/>
            </w:pPr>
            <w:r>
              <w:t>This classification includes the generality of cranes and hoists in commission not more than 2 500 hours per annum, and not commonly engaged in shift work, or for such arduous duties as are customary in the heavy industries.  Appliances within classification 3 may be regarded as designed for normal duties.</w:t>
            </w:r>
          </w:p>
        </w:tc>
      </w:tr>
      <w:tr w:rsidR="00B40966">
        <w:trPr>
          <w:cantSplit/>
        </w:trPr>
        <w:tc>
          <w:tcPr>
            <w:tcW w:w="4788" w:type="dxa"/>
            <w:tcBorders>
              <w:top w:val="single" w:sz="2" w:space="0" w:color="auto"/>
              <w:bottom w:val="single" w:sz="2" w:space="0" w:color="auto"/>
            </w:tcBorders>
          </w:tcPr>
          <w:p w:rsidR="00B40966" w:rsidRDefault="00B40966">
            <w:pPr>
              <w:pStyle w:val="TableText"/>
            </w:pPr>
            <w:r>
              <w:t>*cranes, hoists, lifts, slings, yokes and general lifting gear used in heavy industries, and generally in commission more than 2 500 hours per annum</w:t>
            </w:r>
          </w:p>
          <w:p w:rsidR="00B40966" w:rsidRDefault="00B40966">
            <w:pPr>
              <w:pStyle w:val="TableText"/>
            </w:pPr>
            <w:r>
              <w:t>passenger and goods lifts</w:t>
            </w:r>
          </w:p>
          <w:p w:rsidR="00B40966" w:rsidRDefault="00B40966">
            <w:pPr>
              <w:pStyle w:val="TableText"/>
            </w:pPr>
            <w:r>
              <w:t>hoists for raising or lowering workers</w:t>
            </w:r>
          </w:p>
          <w:p w:rsidR="00B40966" w:rsidRDefault="00B40966">
            <w:pPr>
              <w:pStyle w:val="TableText"/>
            </w:pPr>
            <w:r>
              <w:t>magnet cranes, or hoists, handling scrap</w:t>
            </w:r>
          </w:p>
          <w:p w:rsidR="00B40966" w:rsidRDefault="00B40966">
            <w:pPr>
              <w:pStyle w:val="TableText"/>
            </w:pPr>
            <w:r>
              <w:t>skull breaker cranes (except light duty types)</w:t>
            </w:r>
          </w:p>
          <w:p w:rsidR="00B40966" w:rsidRDefault="00B40966">
            <w:pPr>
              <w:pStyle w:val="TableText"/>
            </w:pPr>
            <w:r>
              <w:t>navvys and excavators</w:t>
            </w:r>
          </w:p>
          <w:p w:rsidR="00B40966" w:rsidRDefault="00B40966">
            <w:pPr>
              <w:pStyle w:val="TableText"/>
            </w:pPr>
            <w:r>
              <w:t>cranes and hoists used in connection with underwater operations</w:t>
            </w:r>
          </w:p>
        </w:tc>
        <w:tc>
          <w:tcPr>
            <w:tcW w:w="1368" w:type="dxa"/>
            <w:tcBorders>
              <w:top w:val="single" w:sz="2" w:space="0" w:color="auto"/>
              <w:bottom w:val="single" w:sz="2" w:space="0" w:color="auto"/>
            </w:tcBorders>
          </w:tcPr>
          <w:p w:rsidR="00B40966" w:rsidRDefault="00B40966">
            <w:pPr>
              <w:pStyle w:val="TableText"/>
              <w:jc w:val="center"/>
            </w:pPr>
            <w:r>
              <w:t>4</w:t>
            </w:r>
          </w:p>
        </w:tc>
        <w:tc>
          <w:tcPr>
            <w:tcW w:w="1653" w:type="dxa"/>
            <w:tcBorders>
              <w:top w:val="single" w:sz="2" w:space="0" w:color="auto"/>
              <w:bottom w:val="single" w:sz="2" w:space="0" w:color="auto"/>
            </w:tcBorders>
          </w:tcPr>
          <w:p w:rsidR="00B40966" w:rsidRDefault="00B40966">
            <w:pPr>
              <w:pStyle w:val="TableText"/>
            </w:pPr>
          </w:p>
        </w:tc>
      </w:tr>
    </w:tbl>
    <w:p w:rsidR="00B40966" w:rsidRDefault="00B40966">
      <w:pPr>
        <w:pStyle w:val="TableText"/>
        <w:ind w:left="342" w:hanging="342"/>
        <w:rPr>
          <w:sz w:val="20"/>
        </w:rPr>
      </w:pPr>
      <w:r>
        <w:rPr>
          <w:sz w:val="20"/>
        </w:rPr>
        <w:t>*</w:t>
      </w:r>
      <w:r>
        <w:rPr>
          <w:sz w:val="20"/>
        </w:rPr>
        <w:tab/>
        <w:t>Refer also to s 143 in relation to chains, s 144 in relation to steel wire ropes, and s 147 to s 153 and s 155 in relation to terminal fittings.</w:t>
      </w:r>
    </w:p>
    <w:p w:rsidR="00B40966" w:rsidRDefault="00B40966">
      <w:pPr>
        <w:pStyle w:val="Amain"/>
      </w:pPr>
      <w:r>
        <w:tab/>
        <w:t>(22)</w:t>
      </w:r>
      <w:r>
        <w:tab/>
        <w:t>Table 122.3 is for reference in classifying crane and hoist mechanisms in the respective groups prescribed in section 122 (8).</w:t>
      </w:r>
    </w:p>
    <w:p w:rsidR="00B40966" w:rsidRDefault="00B40966">
      <w:pPr>
        <w:pStyle w:val="Amain"/>
      </w:pPr>
      <w:r>
        <w:tab/>
        <w:t>(23)</w:t>
      </w:r>
      <w:r>
        <w:tab/>
        <w:t>If not listed in table 122.3, the mechanism should have the same classification as the crane frame structure.</w:t>
      </w:r>
    </w:p>
    <w:p w:rsidR="00B40966" w:rsidRDefault="00B40966">
      <w:pPr>
        <w:pStyle w:val="TableHd"/>
      </w:pPr>
      <w:r>
        <w:t>Table 122.3</w:t>
      </w:r>
    </w:p>
    <w:tbl>
      <w:tblPr>
        <w:tblW w:w="0" w:type="auto"/>
        <w:tblInd w:w="80" w:type="dxa"/>
        <w:tblLayout w:type="fixed"/>
        <w:tblCellMar>
          <w:left w:w="80" w:type="dxa"/>
          <w:right w:w="80" w:type="dxa"/>
        </w:tblCellMar>
        <w:tblLook w:val="0000" w:firstRow="0" w:lastRow="0" w:firstColumn="0" w:lastColumn="0" w:noHBand="0" w:noVBand="0"/>
      </w:tblPr>
      <w:tblGrid>
        <w:gridCol w:w="4389"/>
        <w:gridCol w:w="1368"/>
        <w:gridCol w:w="1701"/>
      </w:tblGrid>
      <w:tr w:rsidR="00B40966">
        <w:trPr>
          <w:cantSplit/>
          <w:tblHeader/>
        </w:trPr>
        <w:tc>
          <w:tcPr>
            <w:tcW w:w="4389" w:type="dxa"/>
            <w:tcBorders>
              <w:bottom w:val="single" w:sz="2" w:space="0" w:color="auto"/>
            </w:tcBorders>
          </w:tcPr>
          <w:p w:rsidR="00B40966" w:rsidRDefault="00B40966">
            <w:pPr>
              <w:pStyle w:val="TableColHd"/>
            </w:pPr>
            <w:r>
              <w:t>type of crane</w:t>
            </w:r>
          </w:p>
        </w:tc>
        <w:tc>
          <w:tcPr>
            <w:tcW w:w="1368" w:type="dxa"/>
            <w:tcBorders>
              <w:bottom w:val="single" w:sz="2" w:space="0" w:color="auto"/>
            </w:tcBorders>
          </w:tcPr>
          <w:p w:rsidR="00B40966" w:rsidRDefault="00B40966">
            <w:pPr>
              <w:pStyle w:val="TableColHd"/>
            </w:pPr>
            <w:r>
              <w:t>classification</w:t>
            </w:r>
          </w:p>
        </w:tc>
        <w:tc>
          <w:tcPr>
            <w:tcW w:w="1701" w:type="dxa"/>
            <w:tcBorders>
              <w:bottom w:val="single" w:sz="2" w:space="0" w:color="auto"/>
            </w:tcBorders>
          </w:tcPr>
          <w:p w:rsidR="00B40966" w:rsidRDefault="00B40966">
            <w:pPr>
              <w:pStyle w:val="TableColHd"/>
            </w:pPr>
            <w:r>
              <w:t>explanatory note</w:t>
            </w:r>
          </w:p>
        </w:tc>
      </w:tr>
      <w:tr w:rsidR="00B40966">
        <w:trPr>
          <w:cantSplit/>
        </w:trPr>
        <w:tc>
          <w:tcPr>
            <w:tcW w:w="4389" w:type="dxa"/>
            <w:tcBorders>
              <w:top w:val="single" w:sz="2" w:space="0" w:color="auto"/>
            </w:tcBorders>
          </w:tcPr>
          <w:p w:rsidR="00B40966" w:rsidRDefault="00B40966">
            <w:pPr>
              <w:pStyle w:val="TableText"/>
              <w:keepNext/>
            </w:pPr>
          </w:p>
        </w:tc>
        <w:tc>
          <w:tcPr>
            <w:tcW w:w="1368" w:type="dxa"/>
            <w:tcBorders>
              <w:top w:val="single" w:sz="2" w:space="0" w:color="auto"/>
            </w:tcBorders>
          </w:tcPr>
          <w:p w:rsidR="00B40966" w:rsidRDefault="00B40966">
            <w:pPr>
              <w:pStyle w:val="TableText"/>
              <w:keepNext/>
              <w:jc w:val="center"/>
            </w:pPr>
            <w:r>
              <w:t>1</w:t>
            </w:r>
          </w:p>
        </w:tc>
        <w:tc>
          <w:tcPr>
            <w:tcW w:w="1701" w:type="dxa"/>
            <w:tcBorders>
              <w:top w:val="single" w:sz="2" w:space="0" w:color="auto"/>
            </w:tcBorders>
          </w:tcPr>
          <w:p w:rsidR="00B40966" w:rsidRDefault="00B40966">
            <w:pPr>
              <w:pStyle w:val="TableText"/>
              <w:keepNext/>
            </w:pPr>
          </w:p>
        </w:tc>
      </w:tr>
      <w:tr w:rsidR="00B40966">
        <w:trPr>
          <w:cantSplit/>
        </w:trPr>
        <w:tc>
          <w:tcPr>
            <w:tcW w:w="4389" w:type="dxa"/>
            <w:tcBorders>
              <w:top w:val="single" w:sz="2" w:space="0" w:color="auto"/>
            </w:tcBorders>
          </w:tcPr>
          <w:p w:rsidR="00B40966" w:rsidRDefault="00B40966">
            <w:pPr>
              <w:pStyle w:val="TableText"/>
            </w:pPr>
            <w:r>
              <w:t>electric or pneumatic hoisting blocks</w:t>
            </w:r>
          </w:p>
          <w:p w:rsidR="00B40966" w:rsidRDefault="00B40966">
            <w:pPr>
              <w:pStyle w:val="TableText"/>
            </w:pPr>
            <w:r>
              <w:t>hand-operated chain blocks used on monorail runways, etc, but not on blacksmiths, boilershop or welders cranes or hoists, or any analogous to it</w:t>
            </w:r>
          </w:p>
        </w:tc>
        <w:tc>
          <w:tcPr>
            <w:tcW w:w="1368" w:type="dxa"/>
            <w:tcBorders>
              <w:top w:val="single" w:sz="2" w:space="0" w:color="auto"/>
            </w:tcBorders>
          </w:tcPr>
          <w:p w:rsidR="00B40966" w:rsidRDefault="00B40966">
            <w:pPr>
              <w:pStyle w:val="TableText"/>
              <w:jc w:val="center"/>
            </w:pPr>
            <w:r>
              <w:t>2</w:t>
            </w:r>
          </w:p>
        </w:tc>
        <w:tc>
          <w:tcPr>
            <w:tcW w:w="1701" w:type="dxa"/>
            <w:tcBorders>
              <w:top w:val="single" w:sz="2" w:space="0" w:color="auto"/>
            </w:tcBorders>
          </w:tcPr>
          <w:p w:rsidR="00B40966" w:rsidRDefault="00B40966">
            <w:pPr>
              <w:pStyle w:val="TableText"/>
            </w:pPr>
          </w:p>
        </w:tc>
      </w:tr>
      <w:tr w:rsidR="00B40966">
        <w:tc>
          <w:tcPr>
            <w:tcW w:w="4389" w:type="dxa"/>
            <w:tcBorders>
              <w:top w:val="single" w:sz="2" w:space="0" w:color="auto"/>
            </w:tcBorders>
          </w:tcPr>
          <w:p w:rsidR="00B40966" w:rsidRDefault="00B40966">
            <w:pPr>
              <w:pStyle w:val="TableText"/>
            </w:pPr>
            <w:r>
              <w:t>hand-operated chain blocks used for general purposes or with blacksmiths or boilershop or welders cranes or hoists or any analogous to it</w:t>
            </w:r>
          </w:p>
          <w:p w:rsidR="00B40966" w:rsidRDefault="00B40966">
            <w:pPr>
              <w:pStyle w:val="TableText"/>
            </w:pPr>
            <w:r>
              <w:t>crab mechanisms of coal and ore bridges</w:t>
            </w:r>
          </w:p>
          <w:p w:rsidR="00B40966" w:rsidRDefault="00B40966">
            <w:pPr>
              <w:pStyle w:val="TableText"/>
            </w:pPr>
            <w:r>
              <w:t>mechanisms of derrick cranes</w:t>
            </w:r>
          </w:p>
          <w:p w:rsidR="00B40966" w:rsidRDefault="00B40966">
            <w:pPr>
              <w:pStyle w:val="TableText"/>
            </w:pPr>
            <w:r>
              <w:t>mechanisms of vehicular cranes</w:t>
            </w:r>
          </w:p>
          <w:p w:rsidR="00B40966" w:rsidRDefault="00B40966">
            <w:pPr>
              <w:pStyle w:val="TableText"/>
            </w:pPr>
            <w:r>
              <w:t>mechanisms of caterpillar cranes</w:t>
            </w:r>
          </w:p>
          <w:p w:rsidR="00B40966" w:rsidRDefault="00B40966">
            <w:pPr>
              <w:pStyle w:val="TableText"/>
            </w:pPr>
            <w:r>
              <w:t>mechanisms of shipbuilding cranes</w:t>
            </w:r>
          </w:p>
          <w:p w:rsidR="00B40966" w:rsidRDefault="00B40966">
            <w:pPr>
              <w:pStyle w:val="TableText"/>
            </w:pPr>
            <w:r>
              <w:t>mechanisms of hoists used in building and constructional works, including pile-drivers, etc</w:t>
            </w:r>
          </w:p>
          <w:p w:rsidR="00B40966" w:rsidRDefault="00B40966">
            <w:pPr>
              <w:pStyle w:val="TableText"/>
            </w:pPr>
            <w:r>
              <w:t>hand or power winches used in connection with scaffolding</w:t>
            </w:r>
          </w:p>
        </w:tc>
        <w:tc>
          <w:tcPr>
            <w:tcW w:w="1368" w:type="dxa"/>
            <w:tcBorders>
              <w:top w:val="single" w:sz="2" w:space="0" w:color="auto"/>
            </w:tcBorders>
          </w:tcPr>
          <w:p w:rsidR="00B40966" w:rsidRDefault="00B40966">
            <w:pPr>
              <w:pStyle w:val="TableText"/>
              <w:jc w:val="center"/>
            </w:pPr>
            <w:r>
              <w:t>3</w:t>
            </w:r>
          </w:p>
        </w:tc>
        <w:tc>
          <w:tcPr>
            <w:tcW w:w="1701" w:type="dxa"/>
            <w:tcBorders>
              <w:top w:val="single" w:sz="2" w:space="0" w:color="auto"/>
            </w:tcBorders>
          </w:tcPr>
          <w:p w:rsidR="00B40966" w:rsidRDefault="00B40966">
            <w:pPr>
              <w:pStyle w:val="TableText"/>
            </w:pPr>
          </w:p>
        </w:tc>
      </w:tr>
      <w:tr w:rsidR="00B40966">
        <w:trPr>
          <w:cantSplit/>
        </w:trPr>
        <w:tc>
          <w:tcPr>
            <w:tcW w:w="4389" w:type="dxa"/>
            <w:tcBorders>
              <w:top w:val="single" w:sz="2" w:space="0" w:color="auto"/>
              <w:bottom w:val="single" w:sz="6" w:space="0" w:color="auto"/>
            </w:tcBorders>
          </w:tcPr>
          <w:p w:rsidR="00B40966" w:rsidRDefault="00B40966">
            <w:pPr>
              <w:pStyle w:val="TableText"/>
            </w:pPr>
            <w:r>
              <w:t>crab or other relevant mechanisms of grab, skull breaker, or magnet cranes</w:t>
            </w:r>
          </w:p>
          <w:p w:rsidR="00B40966" w:rsidRDefault="00B40966">
            <w:pPr>
              <w:pStyle w:val="TableText"/>
            </w:pPr>
            <w:r>
              <w:t>mechanisms of coal, ore concentrates, or cargo-handling cranes or hoists</w:t>
            </w:r>
          </w:p>
        </w:tc>
        <w:tc>
          <w:tcPr>
            <w:tcW w:w="1368" w:type="dxa"/>
            <w:tcBorders>
              <w:top w:val="single" w:sz="2" w:space="0" w:color="auto"/>
              <w:bottom w:val="single" w:sz="6" w:space="0" w:color="auto"/>
            </w:tcBorders>
          </w:tcPr>
          <w:p w:rsidR="00B40966" w:rsidRDefault="00B40966">
            <w:pPr>
              <w:pStyle w:val="TableText"/>
              <w:jc w:val="center"/>
            </w:pPr>
            <w:r>
              <w:t>4</w:t>
            </w:r>
          </w:p>
        </w:tc>
        <w:tc>
          <w:tcPr>
            <w:tcW w:w="1701" w:type="dxa"/>
            <w:tcBorders>
              <w:top w:val="single" w:sz="2" w:space="0" w:color="auto"/>
              <w:bottom w:val="single" w:sz="6" w:space="0" w:color="auto"/>
            </w:tcBorders>
          </w:tcPr>
          <w:p w:rsidR="00B40966" w:rsidRDefault="00B40966">
            <w:pPr>
              <w:pStyle w:val="TableText"/>
            </w:pPr>
          </w:p>
        </w:tc>
      </w:tr>
    </w:tbl>
    <w:p w:rsidR="00B40966" w:rsidRDefault="00B40966"/>
    <w:p w:rsidR="00B40966" w:rsidRDefault="00B40966">
      <w:pPr>
        <w:pStyle w:val="Amain"/>
      </w:pPr>
      <w:r>
        <w:tab/>
        <w:t>(24)</w:t>
      </w:r>
      <w:r>
        <w:tab/>
        <w:t>Every crane and every hoist shall have constantly maintained on it a permanent notice, prominently and legibly exhibiting all of the safe working loads of the crane or hoist, together with the information about the conditions, incidence and way in which the loads may be lifted or handled as is necessary or desirable for the safe use or manipulation of the crane or hoist.</w:t>
      </w:r>
    </w:p>
    <w:p w:rsidR="00B40966" w:rsidRDefault="00B40966">
      <w:pPr>
        <w:pStyle w:val="Amain"/>
      </w:pPr>
      <w:r>
        <w:tab/>
        <w:t>(25)</w:t>
      </w:r>
      <w:r>
        <w:tab/>
        <w:t>The loads, conditions, incidences and ways shall be those determined by and in conformity with this regulation as limiting values of the loads, conditions, incidences and ways of loadings.</w:t>
      </w:r>
    </w:p>
    <w:p w:rsidR="00B40966" w:rsidRDefault="00B40966">
      <w:pPr>
        <w:pStyle w:val="Amain"/>
      </w:pPr>
      <w:r>
        <w:tab/>
        <w:t>(26)</w:t>
      </w:r>
      <w:r>
        <w:tab/>
        <w:t>No other load or conditions of loading shall be marked or exhibited on the crane or hoist, unless first approved by the chief inspector.</w:t>
      </w:r>
    </w:p>
    <w:p w:rsidR="00B40966" w:rsidRDefault="00B40966">
      <w:pPr>
        <w:pStyle w:val="Amain"/>
      </w:pPr>
      <w:r>
        <w:tab/>
        <w:t>(27)</w:t>
      </w:r>
      <w:r>
        <w:tab/>
        <w:t>No person shall subject, or instruct, allow, or permit any person to subject any crane, lift, hoist, scaffolding, plant or gear to a greater load, or more adverse incidence or way or condition of loading than that determined by and in conformity with this regulation as a limiting load, incidence or way or condition of loading.</w:t>
      </w:r>
    </w:p>
    <w:p w:rsidR="00B40966" w:rsidRDefault="00B40966">
      <w:pPr>
        <w:pStyle w:val="Amain"/>
      </w:pPr>
      <w:r>
        <w:tab/>
        <w:t>(28)</w:t>
      </w:r>
      <w:r>
        <w:tab/>
        <w:t>However, subsection (27) does not prevent the crane, lift, hoist, scaffolding, plant or gear being tested in the presence of an inspector, in the way that the chief inspector may direct.</w:t>
      </w:r>
    </w:p>
    <w:p w:rsidR="00B40966" w:rsidRDefault="00B40966">
      <w:pPr>
        <w:pStyle w:val="Amain"/>
        <w:keepLines/>
      </w:pPr>
      <w:r>
        <w:tab/>
        <w:t>(29)</w:t>
      </w:r>
      <w:r>
        <w:tab/>
        <w:t>No person shall procure, incite, advocate, enjoin or counsel the subjection of a crane or lift or hoist or scaffolding to a greater load or more adverse incidence or condition or way of loading than that mentioned in this section or than has been directed by an inspector.</w:t>
      </w:r>
    </w:p>
    <w:p w:rsidR="00B40966" w:rsidRDefault="00B40966">
      <w:pPr>
        <w:pStyle w:val="Amain"/>
      </w:pPr>
      <w:r>
        <w:tab/>
        <w:t>(30)</w:t>
      </w:r>
      <w:r>
        <w:tab/>
        <w:t>No person shall represent a crane or lift or hoist or scaffolding to be capable of lifting or handling a greater load or of sustaining a more adverse incidence or condition or way of loading than that mentioned in this section or than has been directed by an inspector.</w:t>
      </w:r>
    </w:p>
    <w:p w:rsidR="00B40966" w:rsidRDefault="00B40966">
      <w:pPr>
        <w:pStyle w:val="Amain"/>
      </w:pPr>
      <w:r>
        <w:tab/>
        <w:t>(31)</w:t>
      </w:r>
      <w:r>
        <w:tab/>
        <w:t>The presence of any load in a position into which it has apparently been placed by a crane, lift or hoist shall constitute prima facie evidence that it has been lifted or handled and so placed by the crane, lift or hoist and that the crane, lift or hoist has been subjected to the load, and to whatever incidence and condition and way of loading is indicated by the position and nature of the load.</w:t>
      </w:r>
    </w:p>
    <w:p w:rsidR="00B40966" w:rsidRDefault="00B40966">
      <w:pPr>
        <w:pStyle w:val="Amain"/>
      </w:pPr>
      <w:r>
        <w:tab/>
        <w:t>(32)</w:t>
      </w:r>
      <w:r>
        <w:tab/>
        <w:t>If a crane, lift, hoist or scaffolding has been overloaded by lifting or handling or attempting to lift or handle a load exceeding by more than 100% that determined by and in conformity with this regulation as a limiting load, incidence, way or condition of loading, the chief inspector may require the owner or the person in charge or apparently in charge of the crane, lift, hoist or scaffolding to immediately dismantle it in whole or in part and to clean it together with its mechanisms and gearings and to lay out the parts, members, mechanisms and gearings in a place and way convenient to the chief inspector in order that investigations may be made to ascertain if material damage has ensued.</w:t>
      </w:r>
    </w:p>
    <w:p w:rsidR="00B40966" w:rsidRDefault="00B40966">
      <w:pPr>
        <w:pStyle w:val="Amain"/>
      </w:pPr>
      <w:r>
        <w:tab/>
        <w:t>(33)</w:t>
      </w:r>
      <w:r>
        <w:tab/>
        <w:t>If the chief inspector considers necessary, to assure the safety of the crane, lift, hoist or scaffolding, the chief inspector may require the owner, or the person in charge or apparently in charge of it to give the metallurgical or radiographic evidence that the chief inspector may direct.</w:t>
      </w:r>
    </w:p>
    <w:p w:rsidR="00B40966" w:rsidRDefault="00B40966">
      <w:pPr>
        <w:pStyle w:val="Amain"/>
      </w:pPr>
      <w:r>
        <w:tab/>
        <w:t>(34)</w:t>
      </w:r>
      <w:r>
        <w:tab/>
        <w:t>No person shall effect or procure or cause to be effected, modifications, alterations, or repairs to or in connection with a crane, lift, hoist, scaffolding, plant or gear in such way or of such nature as to be conducive to conditions of hazard, uncertainty or danger.</w:t>
      </w:r>
    </w:p>
    <w:p w:rsidR="00B40966" w:rsidRDefault="00B40966">
      <w:pPr>
        <w:pStyle w:val="Amain"/>
      </w:pPr>
      <w:r>
        <w:tab/>
        <w:t>(35)</w:t>
      </w:r>
      <w:r>
        <w:tab/>
        <w:t>No person shall effect or procure or cause to be effected modifications, renewals, alterations, changes or repairs of the following nature to or in connection with any crane, lift, hoist, scaffolding, plant or gear without first having obtained the approval of the chief inspector:</w:t>
      </w:r>
    </w:p>
    <w:p w:rsidR="00B40966" w:rsidRDefault="00B40966">
      <w:pPr>
        <w:pStyle w:val="Apara"/>
      </w:pPr>
      <w:r>
        <w:tab/>
        <w:t>(a)</w:t>
      </w:r>
      <w:r>
        <w:tab/>
        <w:t>peg, dovetail or weld a tooth or teeth to any gear wheel, ratchet or other toothed wheel or clutch;</w:t>
      </w:r>
    </w:p>
    <w:p w:rsidR="00B40966" w:rsidRDefault="00B40966">
      <w:pPr>
        <w:pStyle w:val="Apara"/>
      </w:pPr>
      <w:r>
        <w:tab/>
        <w:t>(b)</w:t>
      </w:r>
      <w:r>
        <w:tab/>
        <w:t>repair any such wheel or clutch by welding or by mechanical means;</w:t>
      </w:r>
    </w:p>
    <w:p w:rsidR="00B40966" w:rsidRDefault="00B40966">
      <w:pPr>
        <w:pStyle w:val="Apara"/>
      </w:pPr>
      <w:r>
        <w:tab/>
        <w:t>(c)</w:t>
      </w:r>
      <w:r>
        <w:tab/>
        <w:t>repair or rebuild shafts, spindles, pins or axles by welding;</w:t>
      </w:r>
    </w:p>
    <w:p w:rsidR="00B40966" w:rsidRDefault="00B40966">
      <w:pPr>
        <w:pStyle w:val="Apara"/>
      </w:pPr>
      <w:r>
        <w:tab/>
        <w:t>(d)</w:t>
      </w:r>
      <w:r>
        <w:tab/>
        <w:t>weld together, members, components, parts or attachments metallurgically different from one another;</w:t>
      </w:r>
    </w:p>
    <w:p w:rsidR="00B40966" w:rsidRDefault="00B40966">
      <w:pPr>
        <w:pStyle w:val="Apara"/>
      </w:pPr>
      <w:r>
        <w:tab/>
        <w:t>(e)</w:t>
      </w:r>
      <w:r>
        <w:tab/>
        <w:t>repair iron castings by welding or brazing;</w:t>
      </w:r>
    </w:p>
    <w:p w:rsidR="00B40966" w:rsidRDefault="00B40966">
      <w:pPr>
        <w:pStyle w:val="Apara"/>
      </w:pPr>
      <w:r>
        <w:tab/>
        <w:t>(f)</w:t>
      </w:r>
      <w:r>
        <w:tab/>
        <w:t>subject to heat treatment any member, component, part or attachment without first establishing and recording the chemical and physical properties of it;</w:t>
      </w:r>
    </w:p>
    <w:p w:rsidR="00B40966" w:rsidRDefault="00B40966">
      <w:pPr>
        <w:pStyle w:val="Apara"/>
      </w:pPr>
      <w:r>
        <w:tab/>
        <w:t>(g)</w:t>
      </w:r>
      <w:r>
        <w:tab/>
        <w:t>subject any member, component, part or attachment to any process of heat treatment that might reasonably be expected to affect it in a deleterious, uncertain or hazardous way;</w:t>
      </w:r>
    </w:p>
    <w:p w:rsidR="00B40966" w:rsidRDefault="00B40966">
      <w:pPr>
        <w:pStyle w:val="Apara"/>
      </w:pPr>
      <w:r>
        <w:tab/>
        <w:t>(h)</w:t>
      </w:r>
      <w:r>
        <w:tab/>
        <w:t>reforge any forged or rolled or drawn metal member, component, part or attachment that has become noticeably bent, distorted or cracked;</w:t>
      </w:r>
    </w:p>
    <w:p w:rsidR="00B40966" w:rsidRDefault="00B40966">
      <w:pPr>
        <w:pStyle w:val="Apara"/>
      </w:pPr>
      <w:r>
        <w:tab/>
        <w:t>(i)</w:t>
      </w:r>
      <w:r>
        <w:tab/>
        <w:t>renew, replace or substantially alter or interchange or exchange for another, any main structural member of a crane;</w:t>
      </w:r>
    </w:p>
    <w:p w:rsidR="00B40966" w:rsidRDefault="00B40966">
      <w:pPr>
        <w:pStyle w:val="Apara"/>
      </w:pPr>
      <w:r>
        <w:tab/>
        <w:t>(j)</w:t>
      </w:r>
      <w:r>
        <w:tab/>
        <w:t>renew, replace or substantially alter or interchange or exchange for another the machinery, mechanism or gearing of any crane.</w:t>
      </w:r>
    </w:p>
    <w:p w:rsidR="00B40966" w:rsidRDefault="00B40966">
      <w:pPr>
        <w:pStyle w:val="Amain"/>
      </w:pPr>
      <w:r>
        <w:tab/>
        <w:t>(36)</w:t>
      </w:r>
      <w:r>
        <w:tab/>
        <w:t>However, subsection (35) shall not apply if complete failure of the member, component, or part concerned would not be dangerous or conducive to danger to life or limb.</w:t>
      </w:r>
    </w:p>
    <w:p w:rsidR="00B40966" w:rsidRDefault="00B40966">
      <w:pPr>
        <w:pStyle w:val="Amain"/>
      </w:pPr>
      <w:r>
        <w:tab/>
        <w:t>(37)</w:t>
      </w:r>
      <w:r>
        <w:tab/>
        <w:t>Every crane and every hoist shall have constantly maintained on it a permanent brand, plainly and legibly exhibiting the classification of the crane or hoist, determined as prescribed by this regulation, and the brand shall be stamped, engraved, or welded on the crane or hoist at its main driving station.</w:t>
      </w:r>
    </w:p>
    <w:p w:rsidR="00B40966" w:rsidRDefault="00B40966">
      <w:pPr>
        <w:pStyle w:val="Amain"/>
      </w:pPr>
      <w:r>
        <w:tab/>
        <w:t>(38)</w:t>
      </w:r>
      <w:r>
        <w:tab/>
        <w:t>No person shall falsely brand any crane or hoist as mentioned in subsection (37), or alter or remove any brand except with the approval of the chief inspector.</w:t>
      </w:r>
    </w:p>
    <w:p w:rsidR="00B40966" w:rsidRDefault="00B40966">
      <w:pPr>
        <w:pStyle w:val="AH4SubDiv"/>
      </w:pPr>
      <w:bookmarkStart w:id="217" w:name="_Toc87258073"/>
      <w:r>
        <w:t>Wind loads</w:t>
      </w:r>
      <w:bookmarkEnd w:id="217"/>
    </w:p>
    <w:p w:rsidR="00B40966" w:rsidRDefault="00B40966">
      <w:pPr>
        <w:pStyle w:val="AH5Sec"/>
      </w:pPr>
      <w:bookmarkStart w:id="218" w:name="_Toc87258074"/>
      <w:r>
        <w:rPr>
          <w:rStyle w:val="CharSectNo"/>
        </w:rPr>
        <w:t>123</w:t>
      </w:r>
      <w:bookmarkEnd w:id="218"/>
      <w:r>
        <w:tab/>
        <w:t xml:space="preserve">  </w:t>
      </w:r>
    </w:p>
    <w:p w:rsidR="00B40966" w:rsidRDefault="00B40966">
      <w:pPr>
        <w:pStyle w:val="Amain"/>
      </w:pPr>
      <w:r>
        <w:tab/>
        <w:t>(1)</w:t>
      </w:r>
      <w:r>
        <w:tab/>
        <w:t>If cranes or lifts or scaffolding are exposed either in whole or in part to wind loadings they shall have additional strength, stability, and fixity with which to resist the loadings.</w:t>
      </w:r>
    </w:p>
    <w:p w:rsidR="00B40966" w:rsidRDefault="00B40966">
      <w:pPr>
        <w:pStyle w:val="Amain"/>
      </w:pPr>
      <w:r>
        <w:tab/>
        <w:t>(2)</w:t>
      </w:r>
      <w:r>
        <w:tab/>
        <w:t>Wind loadings shall be deemed to act normally to resistant surfaces, and to consist of a positive pressure on the windward and a negative pressure on the leeward side of the resistant structure or member.</w:t>
      </w:r>
    </w:p>
    <w:p w:rsidR="00B40966" w:rsidRDefault="00B40966">
      <w:pPr>
        <w:pStyle w:val="Amain"/>
      </w:pPr>
      <w:r>
        <w:tab/>
        <w:t>(3)</w:t>
      </w:r>
      <w:r>
        <w:tab/>
        <w:t>The wind load acting on any resistant body shall be determined from the formula—</w:t>
      </w:r>
    </w:p>
    <w:p w:rsidR="00B40966" w:rsidRDefault="00B40966">
      <w:pPr>
        <w:pStyle w:val="Formula"/>
      </w:pPr>
      <w:r>
        <w:t xml:space="preserve">P = </w:t>
      </w:r>
      <w:r>
        <w:rPr>
          <w:rStyle w:val="charItals"/>
        </w:rPr>
        <w:t>cp</w:t>
      </w:r>
      <w:r>
        <w:rPr>
          <w:rStyle w:val="charItals"/>
          <w:i w:val="0"/>
        </w:rPr>
        <w:t xml:space="preserve">  .</w:t>
      </w:r>
    </w:p>
    <w:p w:rsidR="00B40966" w:rsidRDefault="00B40966">
      <w:pPr>
        <w:pStyle w:val="Amain"/>
      </w:pPr>
      <w:r>
        <w:tab/>
        <w:t>(4)</w:t>
      </w:r>
      <w:r>
        <w:tab/>
        <w:t>In subsection (3):</w:t>
      </w:r>
    </w:p>
    <w:p w:rsidR="00B40966" w:rsidRDefault="00B40966">
      <w:pPr>
        <w:pStyle w:val="aDef"/>
      </w:pPr>
      <w:r>
        <w:rPr>
          <w:rStyle w:val="charBoldItals"/>
        </w:rPr>
        <w:t>P</w:t>
      </w:r>
      <w:r>
        <w:t xml:space="preserve"> means the force exerted in pounds per square foot of area of the body as projected on a vertical plane normal to the direction of the wind.</w:t>
      </w:r>
    </w:p>
    <w:p w:rsidR="00B40966" w:rsidRDefault="00B40966">
      <w:pPr>
        <w:pStyle w:val="aDef"/>
      </w:pPr>
      <w:r>
        <w:rPr>
          <w:rStyle w:val="charBoldItals"/>
        </w:rPr>
        <w:t>c</w:t>
      </w:r>
      <w:r>
        <w:t xml:space="preserve"> means a coefficient selected table 123.1, and appropriate to the form and nature of the resistant body.</w:t>
      </w:r>
    </w:p>
    <w:p w:rsidR="00B40966" w:rsidRDefault="00B40966">
      <w:pPr>
        <w:pStyle w:val="Amain"/>
      </w:pPr>
      <w:r>
        <w:tab/>
        <w:t>(5)</w:t>
      </w:r>
      <w:r>
        <w:tab/>
        <w:t xml:space="preserve">The value of </w:t>
      </w:r>
      <w:r>
        <w:rPr>
          <w:rStyle w:val="charBoldItals"/>
        </w:rPr>
        <w:t>p</w:t>
      </w:r>
      <w:r>
        <w:t xml:space="preserve"> shall be 16 for bodies between ground level and a height of 60 feet above ground level, 22 for bodies between 60 and 300 feet above ground level, and 25 for bodies at greater heights; provided that water level shall, for floating cranes, floating hoist, or floating scaffolding, be deemed to be ground level.</w:t>
      </w:r>
    </w:p>
    <w:p w:rsidR="00B40966" w:rsidRDefault="00B40966">
      <w:pPr>
        <w:pStyle w:val="Amain"/>
      </w:pPr>
      <w:r>
        <w:tab/>
        <w:t>(6)</w:t>
      </w:r>
      <w:r>
        <w:tab/>
        <w:t xml:space="preserve">If a resistant body is partially sheltered from wind by effective permanent protection, the chief inspector may determine and fix any lesser value for </w:t>
      </w:r>
      <w:r>
        <w:rPr>
          <w:rStyle w:val="charBoldItals"/>
        </w:rPr>
        <w:t>p</w:t>
      </w:r>
      <w:r>
        <w:t xml:space="preserve"> that the chief inspector considers appropriate.</w:t>
      </w:r>
    </w:p>
    <w:p w:rsidR="00B40966" w:rsidRDefault="00B40966">
      <w:pPr>
        <w:pStyle w:val="Amain"/>
      </w:pPr>
      <w:r>
        <w:tab/>
        <w:t>(7)</w:t>
      </w:r>
      <w:r>
        <w:tab/>
        <w:t xml:space="preserve">The value of </w:t>
      </w:r>
      <w:r>
        <w:rPr>
          <w:rStyle w:val="charBoldItals"/>
        </w:rPr>
        <w:t>p</w:t>
      </w:r>
      <w:r>
        <w:t xml:space="preserve"> shall be taken at not less than 5 during that period in which an exposed crane or hoist or scaffolding is lifting or handling its safe working load, provided that if a crane or hoist is sheltered by its own supporting structure </w:t>
      </w:r>
      <w:r>
        <w:rPr>
          <w:rStyle w:val="charBoldItals"/>
        </w:rPr>
        <w:t>p</w:t>
      </w:r>
      <w:r>
        <w:t xml:space="preserve"> shall, in relation to the supporting structure, take the value assigned in this section.</w:t>
      </w:r>
    </w:p>
    <w:p w:rsidR="00B40966" w:rsidRDefault="00B40966">
      <w:pPr>
        <w:pStyle w:val="TableHd"/>
        <w:ind w:left="1539" w:hanging="1539"/>
      </w:pPr>
      <w:r>
        <w:t>Table 123.1</w:t>
      </w:r>
      <w:r>
        <w:tab/>
        <w:t>Coefficient of resistance to wind as dependent on shape or form of resistant body or surface</w:t>
      </w:r>
    </w:p>
    <w:tbl>
      <w:tblPr>
        <w:tblW w:w="7761" w:type="dxa"/>
        <w:tblInd w:w="80" w:type="dxa"/>
        <w:tblLayout w:type="fixed"/>
        <w:tblCellMar>
          <w:left w:w="80" w:type="dxa"/>
          <w:right w:w="80" w:type="dxa"/>
        </w:tblCellMar>
        <w:tblLook w:val="0000" w:firstRow="0" w:lastRow="0" w:firstColumn="0" w:lastColumn="0" w:noHBand="0" w:noVBand="0"/>
      </w:tblPr>
      <w:tblGrid>
        <w:gridCol w:w="4161"/>
        <w:gridCol w:w="1520"/>
        <w:gridCol w:w="1360"/>
        <w:gridCol w:w="700"/>
        <w:gridCol w:w="20"/>
      </w:tblGrid>
      <w:tr w:rsidR="00B40966">
        <w:trPr>
          <w:gridAfter w:val="1"/>
          <w:wAfter w:w="20" w:type="dxa"/>
          <w:cantSplit/>
          <w:tblHeader/>
        </w:trPr>
        <w:tc>
          <w:tcPr>
            <w:tcW w:w="4161" w:type="dxa"/>
          </w:tcPr>
          <w:p w:rsidR="00B40966" w:rsidRDefault="00B40966">
            <w:pPr>
              <w:pStyle w:val="TableColHd"/>
            </w:pPr>
          </w:p>
        </w:tc>
        <w:tc>
          <w:tcPr>
            <w:tcW w:w="3580" w:type="dxa"/>
            <w:gridSpan w:val="3"/>
          </w:tcPr>
          <w:p w:rsidR="00B40966" w:rsidRDefault="00B40966">
            <w:pPr>
              <w:pStyle w:val="TableColHd"/>
              <w:jc w:val="center"/>
            </w:pPr>
            <w:r>
              <w:t>coefficient of resistance, ‘c’ for—</w:t>
            </w:r>
          </w:p>
        </w:tc>
      </w:tr>
      <w:tr w:rsidR="00B40966">
        <w:trPr>
          <w:cantSplit/>
          <w:tblHeader/>
        </w:trPr>
        <w:tc>
          <w:tcPr>
            <w:tcW w:w="4161" w:type="dxa"/>
            <w:tcBorders>
              <w:bottom w:val="single" w:sz="2" w:space="0" w:color="auto"/>
            </w:tcBorders>
          </w:tcPr>
          <w:p w:rsidR="00B40966" w:rsidRDefault="00B40966">
            <w:pPr>
              <w:pStyle w:val="TableColHd"/>
            </w:pPr>
            <w:r>
              <w:t>type of body or surface</w:t>
            </w:r>
          </w:p>
        </w:tc>
        <w:tc>
          <w:tcPr>
            <w:tcW w:w="1520" w:type="dxa"/>
            <w:tcBorders>
              <w:bottom w:val="single" w:sz="2" w:space="0" w:color="auto"/>
            </w:tcBorders>
          </w:tcPr>
          <w:p w:rsidR="00B40966" w:rsidRDefault="00B40966">
            <w:pPr>
              <w:pStyle w:val="TableColHd"/>
            </w:pPr>
            <w:r>
              <w:t>windward surface</w:t>
            </w:r>
          </w:p>
        </w:tc>
        <w:tc>
          <w:tcPr>
            <w:tcW w:w="1360" w:type="dxa"/>
            <w:tcBorders>
              <w:bottom w:val="single" w:sz="2" w:space="0" w:color="auto"/>
            </w:tcBorders>
          </w:tcPr>
          <w:p w:rsidR="00B40966" w:rsidRDefault="00B40966">
            <w:pPr>
              <w:pStyle w:val="TableColHd"/>
            </w:pPr>
            <w:r>
              <w:t>leeward surface</w:t>
            </w:r>
          </w:p>
        </w:tc>
        <w:tc>
          <w:tcPr>
            <w:tcW w:w="720" w:type="dxa"/>
            <w:gridSpan w:val="2"/>
            <w:tcBorders>
              <w:bottom w:val="single" w:sz="2" w:space="0" w:color="auto"/>
            </w:tcBorders>
          </w:tcPr>
          <w:p w:rsidR="00B40966" w:rsidRDefault="00B40966">
            <w:pPr>
              <w:pStyle w:val="TableColHd"/>
            </w:pPr>
            <w:r>
              <w:t>total</w:t>
            </w:r>
          </w:p>
        </w:tc>
      </w:tr>
      <w:tr w:rsidR="00B40966">
        <w:trPr>
          <w:cantSplit/>
        </w:trPr>
        <w:tc>
          <w:tcPr>
            <w:tcW w:w="4161" w:type="dxa"/>
            <w:tcBorders>
              <w:top w:val="single" w:sz="2" w:space="0" w:color="auto"/>
            </w:tcBorders>
          </w:tcPr>
          <w:p w:rsidR="00B40966" w:rsidRDefault="00B40966">
            <w:pPr>
              <w:pStyle w:val="TableText"/>
            </w:pPr>
            <w:r>
              <w:t>sheds or simple buildings, or simple prismatic bodies</w:t>
            </w:r>
          </w:p>
        </w:tc>
        <w:tc>
          <w:tcPr>
            <w:tcW w:w="1520" w:type="dxa"/>
            <w:tcBorders>
              <w:top w:val="single" w:sz="2" w:space="0" w:color="auto"/>
            </w:tcBorders>
          </w:tcPr>
          <w:p w:rsidR="00B40966" w:rsidRDefault="00B40966">
            <w:pPr>
              <w:pStyle w:val="TableText"/>
            </w:pPr>
            <w:r>
              <w:t xml:space="preserve">0.8 </w:t>
            </w:r>
          </w:p>
        </w:tc>
        <w:tc>
          <w:tcPr>
            <w:tcW w:w="1360" w:type="dxa"/>
            <w:tcBorders>
              <w:top w:val="single" w:sz="2" w:space="0" w:color="auto"/>
            </w:tcBorders>
          </w:tcPr>
          <w:p w:rsidR="00B40966" w:rsidRDefault="00B40966">
            <w:pPr>
              <w:pStyle w:val="TableText"/>
            </w:pPr>
            <w:r>
              <w:t>0.4</w:t>
            </w:r>
          </w:p>
        </w:tc>
        <w:tc>
          <w:tcPr>
            <w:tcW w:w="720" w:type="dxa"/>
            <w:gridSpan w:val="2"/>
            <w:tcBorders>
              <w:top w:val="single" w:sz="2" w:space="0" w:color="auto"/>
            </w:tcBorders>
          </w:tcPr>
          <w:p w:rsidR="00B40966" w:rsidRDefault="00B40966">
            <w:pPr>
              <w:pStyle w:val="TableText"/>
            </w:pPr>
            <w:r>
              <w:t>1.2</w:t>
            </w:r>
          </w:p>
        </w:tc>
      </w:tr>
      <w:tr w:rsidR="00B40966">
        <w:trPr>
          <w:cantSplit/>
        </w:trPr>
        <w:tc>
          <w:tcPr>
            <w:tcW w:w="4161" w:type="dxa"/>
          </w:tcPr>
          <w:p w:rsidR="00B40966" w:rsidRDefault="00B40966">
            <w:pPr>
              <w:pStyle w:val="TableText"/>
            </w:pPr>
            <w:r>
              <w:t>solid web girders</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1.6</w:t>
            </w:r>
          </w:p>
        </w:tc>
      </w:tr>
      <w:tr w:rsidR="00B40966">
        <w:trPr>
          <w:cantSplit/>
        </w:trPr>
        <w:tc>
          <w:tcPr>
            <w:tcW w:w="4161" w:type="dxa"/>
          </w:tcPr>
          <w:p w:rsidR="00B40966" w:rsidRDefault="00B40966">
            <w:pPr>
              <w:pStyle w:val="TableText"/>
            </w:pPr>
            <w:r>
              <w:t>plane surfaces normal to direction of wind, or at an angle not greater than 20° to direction of wind</w:t>
            </w:r>
          </w:p>
          <w:p w:rsidR="00B40966" w:rsidRDefault="00B40966">
            <w:pPr>
              <w:pStyle w:val="aNote"/>
              <w:tabs>
                <w:tab w:val="left" w:pos="760"/>
              </w:tabs>
              <w:ind w:hanging="1900"/>
            </w:pPr>
            <w:r>
              <w:rPr>
                <w:i/>
              </w:rPr>
              <w:t>Note</w:t>
            </w:r>
            <w:r>
              <w:rPr>
                <w:i/>
              </w:rPr>
              <w:tab/>
            </w:r>
            <w:r>
              <w:t>See also s 123.</w:t>
            </w:r>
          </w:p>
        </w:tc>
        <w:tc>
          <w:tcPr>
            <w:tcW w:w="1520" w:type="dxa"/>
          </w:tcPr>
          <w:p w:rsidR="00B40966" w:rsidRDefault="00B40966">
            <w:pPr>
              <w:pStyle w:val="TableText"/>
            </w:pPr>
            <w:r>
              <w:t>0.66</w:t>
            </w:r>
          </w:p>
        </w:tc>
        <w:tc>
          <w:tcPr>
            <w:tcW w:w="1360" w:type="dxa"/>
          </w:tcPr>
          <w:p w:rsidR="00B40966" w:rsidRDefault="00B40966">
            <w:pPr>
              <w:pStyle w:val="TableText"/>
            </w:pPr>
            <w:r>
              <w:t>0.54</w:t>
            </w:r>
          </w:p>
        </w:tc>
        <w:tc>
          <w:tcPr>
            <w:tcW w:w="720" w:type="dxa"/>
            <w:gridSpan w:val="2"/>
          </w:tcPr>
          <w:p w:rsidR="00B40966" w:rsidRDefault="00B40966">
            <w:pPr>
              <w:pStyle w:val="TableText"/>
            </w:pPr>
            <w:r>
              <w:t>1.2</w:t>
            </w:r>
          </w:p>
        </w:tc>
      </w:tr>
      <w:tr w:rsidR="00B40966">
        <w:trPr>
          <w:cantSplit/>
        </w:trPr>
        <w:tc>
          <w:tcPr>
            <w:tcW w:w="4161" w:type="dxa"/>
          </w:tcPr>
          <w:p w:rsidR="00B40966" w:rsidRDefault="00B40966">
            <w:pPr>
              <w:pStyle w:val="TableText"/>
            </w:pPr>
            <w:r>
              <w:t>cylindrical bodies</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0.66</w:t>
            </w:r>
          </w:p>
        </w:tc>
      </w:tr>
      <w:tr w:rsidR="00B40966">
        <w:trPr>
          <w:cantSplit/>
        </w:trPr>
        <w:tc>
          <w:tcPr>
            <w:tcW w:w="4161" w:type="dxa"/>
          </w:tcPr>
          <w:p w:rsidR="00B40966" w:rsidRDefault="00B40966">
            <w:pPr>
              <w:pStyle w:val="TableText"/>
            </w:pPr>
            <w:r>
              <w:t>sphere</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0.44</w:t>
            </w:r>
          </w:p>
        </w:tc>
      </w:tr>
      <w:tr w:rsidR="00B40966">
        <w:trPr>
          <w:cantSplit/>
        </w:trPr>
        <w:tc>
          <w:tcPr>
            <w:tcW w:w="4161" w:type="dxa"/>
          </w:tcPr>
          <w:p w:rsidR="00B40966" w:rsidRDefault="00B40966">
            <w:pPr>
              <w:pStyle w:val="TableText"/>
            </w:pPr>
            <w:r>
              <w:t>lattice girders</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0.96</w:t>
            </w:r>
          </w:p>
        </w:tc>
      </w:tr>
      <w:tr w:rsidR="00B40966">
        <w:trPr>
          <w:cantSplit/>
        </w:trPr>
        <w:tc>
          <w:tcPr>
            <w:tcW w:w="4161" w:type="dxa"/>
          </w:tcPr>
          <w:p w:rsidR="00B40966" w:rsidRDefault="00B40966">
            <w:pPr>
              <w:pStyle w:val="TableText"/>
            </w:pPr>
            <w:r>
              <w:t>concave surface</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1.6</w:t>
            </w:r>
          </w:p>
        </w:tc>
      </w:tr>
      <w:tr w:rsidR="00B40966">
        <w:trPr>
          <w:cantSplit/>
        </w:trPr>
        <w:tc>
          <w:tcPr>
            <w:tcW w:w="4161" w:type="dxa"/>
          </w:tcPr>
          <w:p w:rsidR="00B40966" w:rsidRDefault="00B40966">
            <w:pPr>
              <w:pStyle w:val="TableText"/>
            </w:pPr>
            <w:r>
              <w:t>wedge with base to wind and vertex angle of 90°</w:t>
            </w:r>
          </w:p>
        </w:tc>
        <w:tc>
          <w:tcPr>
            <w:tcW w:w="1520" w:type="dxa"/>
          </w:tcPr>
          <w:p w:rsidR="00B40966" w:rsidRDefault="00B40966">
            <w:pPr>
              <w:pStyle w:val="TableText"/>
            </w:pPr>
            <w:r>
              <w:t>. .</w:t>
            </w:r>
          </w:p>
        </w:tc>
        <w:tc>
          <w:tcPr>
            <w:tcW w:w="1360" w:type="dxa"/>
          </w:tcPr>
          <w:p w:rsidR="00B40966" w:rsidRDefault="00B40966">
            <w:pPr>
              <w:pStyle w:val="TableText"/>
            </w:pPr>
            <w:r>
              <w:t>. .</w:t>
            </w:r>
          </w:p>
        </w:tc>
        <w:tc>
          <w:tcPr>
            <w:tcW w:w="720" w:type="dxa"/>
            <w:gridSpan w:val="2"/>
          </w:tcPr>
          <w:p w:rsidR="00B40966" w:rsidRDefault="00B40966">
            <w:pPr>
              <w:pStyle w:val="TableText"/>
            </w:pPr>
            <w:r>
              <w:t>1.0</w:t>
            </w:r>
          </w:p>
        </w:tc>
      </w:tr>
      <w:tr w:rsidR="00B40966">
        <w:trPr>
          <w:cantSplit/>
        </w:trPr>
        <w:tc>
          <w:tcPr>
            <w:tcW w:w="4161" w:type="dxa"/>
            <w:tcBorders>
              <w:bottom w:val="single" w:sz="6" w:space="0" w:color="auto"/>
            </w:tcBorders>
          </w:tcPr>
          <w:p w:rsidR="00B40966" w:rsidRDefault="00B40966">
            <w:pPr>
              <w:pStyle w:val="TableText"/>
            </w:pPr>
            <w:r>
              <w:t>wedge with point to wind and vertex angle of 90°</w:t>
            </w:r>
          </w:p>
        </w:tc>
        <w:tc>
          <w:tcPr>
            <w:tcW w:w="1520" w:type="dxa"/>
            <w:tcBorders>
              <w:bottom w:val="single" w:sz="6" w:space="0" w:color="auto"/>
            </w:tcBorders>
          </w:tcPr>
          <w:p w:rsidR="00B40966" w:rsidRDefault="00B40966">
            <w:pPr>
              <w:pStyle w:val="TableText"/>
            </w:pPr>
            <w:r>
              <w:t>. .</w:t>
            </w:r>
          </w:p>
        </w:tc>
        <w:tc>
          <w:tcPr>
            <w:tcW w:w="1360" w:type="dxa"/>
            <w:tcBorders>
              <w:bottom w:val="single" w:sz="6" w:space="0" w:color="auto"/>
            </w:tcBorders>
          </w:tcPr>
          <w:p w:rsidR="00B40966" w:rsidRDefault="00B40966">
            <w:pPr>
              <w:pStyle w:val="TableText"/>
            </w:pPr>
            <w:r>
              <w:t>. .</w:t>
            </w:r>
          </w:p>
        </w:tc>
        <w:tc>
          <w:tcPr>
            <w:tcW w:w="720" w:type="dxa"/>
            <w:gridSpan w:val="2"/>
            <w:tcBorders>
              <w:bottom w:val="single" w:sz="6" w:space="0" w:color="auto"/>
            </w:tcBorders>
          </w:tcPr>
          <w:p w:rsidR="00B40966" w:rsidRDefault="00B40966">
            <w:pPr>
              <w:pStyle w:val="TableText"/>
            </w:pPr>
            <w:r>
              <w:t>0.75</w:t>
            </w:r>
          </w:p>
        </w:tc>
      </w:tr>
    </w:tbl>
    <w:p w:rsidR="00B40966" w:rsidRDefault="00B40966"/>
    <w:p w:rsidR="00B40966" w:rsidRDefault="00B40966">
      <w:pPr>
        <w:pStyle w:val="Amain"/>
      </w:pPr>
      <w:r>
        <w:tab/>
        <w:t>(8)</w:t>
      </w:r>
      <w:r>
        <w:tab/>
        <w:t>The wind load acting normally to sloping surfaces, such as roofs of crane or hoist supporting structures, or roofs of cabins, or machinery houses of cranes or hoists shall be determined from the formula—</w:t>
      </w:r>
    </w:p>
    <w:p w:rsidR="00B40966" w:rsidRDefault="00B40966">
      <w:pPr>
        <w:pStyle w:val="Formula"/>
      </w:pPr>
      <w:r>
        <w:t xml:space="preserve">R = </w:t>
      </w:r>
      <w:r>
        <w:rPr>
          <w:rStyle w:val="charItals"/>
        </w:rPr>
        <w:t>np</w:t>
      </w:r>
      <w:r>
        <w:rPr>
          <w:rStyle w:val="charItals"/>
          <w:i w:val="0"/>
        </w:rPr>
        <w:t>.</w:t>
      </w:r>
    </w:p>
    <w:p w:rsidR="00B40966" w:rsidRDefault="00B40966">
      <w:pPr>
        <w:pStyle w:val="Amain"/>
      </w:pPr>
      <w:r>
        <w:tab/>
        <w:t>(9)</w:t>
      </w:r>
      <w:r>
        <w:tab/>
        <w:t>In subsection (8):</w:t>
      </w:r>
    </w:p>
    <w:p w:rsidR="00B40966" w:rsidRDefault="00B40966">
      <w:pPr>
        <w:pStyle w:val="aDef"/>
      </w:pPr>
      <w:r>
        <w:rPr>
          <w:rStyle w:val="charBoldItals"/>
        </w:rPr>
        <w:t>R</w:t>
      </w:r>
      <w:r>
        <w:t xml:space="preserve"> means the force exerted in pounds per square foot of sloping surface.</w:t>
      </w:r>
    </w:p>
    <w:p w:rsidR="00B40966" w:rsidRDefault="00B40966">
      <w:pPr>
        <w:pStyle w:val="aDef"/>
      </w:pPr>
      <w:r>
        <w:rPr>
          <w:rStyle w:val="charBoldItals"/>
        </w:rPr>
        <w:t>p</w:t>
      </w:r>
      <w:r>
        <w:t xml:space="preserve"> has the value assigned by subsection (5).</w:t>
      </w:r>
    </w:p>
    <w:p w:rsidR="00B40966" w:rsidRDefault="00B40966">
      <w:pPr>
        <w:pStyle w:val="aDef"/>
      </w:pPr>
      <w:r>
        <w:rPr>
          <w:rStyle w:val="charBoldItals"/>
        </w:rPr>
        <w:t>n</w:t>
      </w:r>
      <w:r>
        <w:t xml:space="preserve"> is a coefficient selected from table 123.2, and appropriate to the slope of the surface.</w:t>
      </w:r>
    </w:p>
    <w:p w:rsidR="00B40966" w:rsidRDefault="00B40966">
      <w:pPr>
        <w:pStyle w:val="TableHd"/>
      </w:pPr>
      <w:r>
        <w:t>Table 123.2</w:t>
      </w:r>
    </w:p>
    <w:tbl>
      <w:tblPr>
        <w:tblW w:w="0" w:type="auto"/>
        <w:tblInd w:w="80" w:type="dxa"/>
        <w:tblLayout w:type="fixed"/>
        <w:tblCellMar>
          <w:left w:w="80" w:type="dxa"/>
          <w:right w:w="80" w:type="dxa"/>
        </w:tblCellMar>
        <w:tblLook w:val="0000" w:firstRow="0" w:lastRow="0" w:firstColumn="0" w:lastColumn="0" w:noHBand="0" w:noVBand="0"/>
      </w:tblPr>
      <w:tblGrid>
        <w:gridCol w:w="3534"/>
        <w:gridCol w:w="1320"/>
        <w:gridCol w:w="800"/>
        <w:gridCol w:w="1720"/>
      </w:tblGrid>
      <w:tr w:rsidR="00B40966">
        <w:trPr>
          <w:cantSplit/>
          <w:tblHeader/>
        </w:trPr>
        <w:tc>
          <w:tcPr>
            <w:tcW w:w="3534" w:type="dxa"/>
          </w:tcPr>
          <w:p w:rsidR="00B40966" w:rsidRDefault="00B40966">
            <w:pPr>
              <w:pStyle w:val="TableColHd"/>
            </w:pPr>
          </w:p>
        </w:tc>
        <w:tc>
          <w:tcPr>
            <w:tcW w:w="3840" w:type="dxa"/>
            <w:gridSpan w:val="3"/>
            <w:tcBorders>
              <w:bottom w:val="single" w:sz="2" w:space="0" w:color="auto"/>
            </w:tcBorders>
          </w:tcPr>
          <w:p w:rsidR="00B40966" w:rsidRDefault="00B40966">
            <w:pPr>
              <w:pStyle w:val="TableColHd"/>
              <w:jc w:val="center"/>
            </w:pPr>
            <w:r>
              <w:t xml:space="preserve">coefficient </w:t>
            </w:r>
            <w:r>
              <w:rPr>
                <w:i/>
              </w:rPr>
              <w:t>‘</w:t>
            </w:r>
            <w:r>
              <w:rPr>
                <w:rStyle w:val="charBoldItals"/>
                <w:b/>
              </w:rPr>
              <w:t>n’</w:t>
            </w:r>
            <w:r>
              <w:rPr>
                <w:rStyle w:val="charBoldItals"/>
              </w:rPr>
              <w:t>’</w:t>
            </w:r>
          </w:p>
        </w:tc>
      </w:tr>
      <w:tr w:rsidR="00B40966">
        <w:trPr>
          <w:cantSplit/>
          <w:tblHeader/>
        </w:trPr>
        <w:tc>
          <w:tcPr>
            <w:tcW w:w="3534" w:type="dxa"/>
          </w:tcPr>
          <w:p w:rsidR="00B40966" w:rsidRDefault="00B40966">
            <w:pPr>
              <w:pStyle w:val="TableColHd"/>
            </w:pPr>
            <w:r>
              <w:t xml:space="preserve">slope of roof in degrees, </w:t>
            </w:r>
            <w:r>
              <w:br/>
              <w:t xml:space="preserve">measured from the </w:t>
            </w:r>
            <w:r>
              <w:br/>
              <w:t>horizontal</w:t>
            </w:r>
          </w:p>
        </w:tc>
        <w:tc>
          <w:tcPr>
            <w:tcW w:w="2120" w:type="dxa"/>
            <w:gridSpan w:val="2"/>
          </w:tcPr>
          <w:p w:rsidR="00B40966" w:rsidRDefault="00B40966">
            <w:pPr>
              <w:pStyle w:val="TableColHd"/>
            </w:pPr>
            <w:r>
              <w:t xml:space="preserve">windward slope, or windward half if </w:t>
            </w:r>
            <w:r>
              <w:br/>
              <w:t>flat roof</w:t>
            </w:r>
          </w:p>
        </w:tc>
        <w:tc>
          <w:tcPr>
            <w:tcW w:w="1720" w:type="dxa"/>
          </w:tcPr>
          <w:p w:rsidR="00B40966" w:rsidRDefault="00B40966">
            <w:pPr>
              <w:pStyle w:val="TableColHd"/>
            </w:pPr>
            <w:r>
              <w:t xml:space="preserve">leeward slope or leeward half if </w:t>
            </w:r>
            <w:r>
              <w:br/>
              <w:t>flat roof</w:t>
            </w:r>
          </w:p>
        </w:tc>
      </w:tr>
      <w:tr w:rsidR="00B40966">
        <w:tblPrEx>
          <w:tblCellMar>
            <w:left w:w="108" w:type="dxa"/>
            <w:right w:w="108" w:type="dxa"/>
          </w:tblCellMar>
        </w:tblPrEx>
        <w:tc>
          <w:tcPr>
            <w:tcW w:w="3534" w:type="dxa"/>
          </w:tcPr>
          <w:p w:rsidR="00B40966" w:rsidRDefault="00B40966">
            <w:pPr>
              <w:pStyle w:val="TableText"/>
            </w:pPr>
            <w:r>
              <w:t>0</w:t>
            </w:r>
            <w:r>
              <w:br/>
              <w:t>22</w:t>
            </w:r>
            <w:r>
              <w:br/>
              <w:t>30</w:t>
            </w:r>
            <w:r>
              <w:br/>
              <w:t>45</w:t>
            </w:r>
            <w:r>
              <w:br/>
              <w:t xml:space="preserve">70 and over </w:t>
            </w:r>
          </w:p>
        </w:tc>
        <w:tc>
          <w:tcPr>
            <w:tcW w:w="1320" w:type="dxa"/>
          </w:tcPr>
          <w:p w:rsidR="00B40966" w:rsidRDefault="00B40966">
            <w:pPr>
              <w:pStyle w:val="TableText"/>
            </w:pPr>
            <w:r>
              <w:t>—0.1</w:t>
            </w:r>
            <w:r>
              <w:br/>
              <w:t>—0.25</w:t>
            </w:r>
            <w:r>
              <w:br/>
              <w:t xml:space="preserve">    0</w:t>
            </w:r>
            <w:r>
              <w:br/>
              <w:t xml:space="preserve">    0.25</w:t>
            </w:r>
            <w:r>
              <w:br/>
              <w:t xml:space="preserve">    0.66</w:t>
            </w:r>
          </w:p>
        </w:tc>
        <w:tc>
          <w:tcPr>
            <w:tcW w:w="800" w:type="dxa"/>
          </w:tcPr>
          <w:p w:rsidR="00B40966" w:rsidRDefault="00B40966">
            <w:pPr>
              <w:rPr>
                <w:sz w:val="96"/>
              </w:rPr>
            </w:pPr>
            <w:r>
              <w:rPr>
                <w:rFonts w:ascii="Garamond Narrow" w:hAnsi="Garamond Narrow"/>
                <w:b/>
                <w:sz w:val="96"/>
              </w:rPr>
              <w:t>}</w:t>
            </w:r>
          </w:p>
        </w:tc>
        <w:tc>
          <w:tcPr>
            <w:tcW w:w="1720" w:type="dxa"/>
          </w:tcPr>
          <w:p w:rsidR="00B40966" w:rsidRDefault="00B40966">
            <w:pPr>
              <w:pStyle w:val="TableText"/>
            </w:pPr>
            <w:r>
              <w:br/>
              <w:t>—0.5</w:t>
            </w:r>
            <w:r>
              <w:br/>
            </w:r>
            <w:r>
              <w:br/>
            </w:r>
            <w:r>
              <w:br/>
              <w:t>—0.54</w:t>
            </w:r>
          </w:p>
        </w:tc>
      </w:tr>
    </w:tbl>
    <w:p w:rsidR="00B40966" w:rsidRDefault="00B40966"/>
    <w:p w:rsidR="00B40966" w:rsidRDefault="00B40966">
      <w:pPr>
        <w:pStyle w:val="Amain"/>
      </w:pPr>
      <w:r>
        <w:tab/>
        <w:t>(10)</w:t>
      </w:r>
      <w:r>
        <w:tab/>
        <w:t>The wind loads acting on curved roof surfaces shall be taken to be the same as for sloping roof surfaces of the same rise, and shall be assumed to act radially.</w:t>
      </w:r>
    </w:p>
    <w:p w:rsidR="00B40966" w:rsidRDefault="00B40966">
      <w:pPr>
        <w:pStyle w:val="Amain"/>
      </w:pPr>
      <w:r>
        <w:tab/>
        <w:t>(11)</w:t>
      </w:r>
      <w:r>
        <w:tab/>
        <w:t>For sawtooth or other multi-span roofs if the windward bay of roofing effectively shelters succeeding bays the following reductions in wind loading may be made so that stability and fixity of the structure as a whole is affected:</w:t>
      </w:r>
    </w:p>
    <w:p w:rsidR="00B40966" w:rsidRDefault="00B40966">
      <w:pPr>
        <w:pStyle w:val="Apara"/>
      </w:pPr>
      <w:r>
        <w:tab/>
        <w:t>(a)</w:t>
      </w:r>
      <w:r>
        <w:tab/>
        <w:t>on the bay adjoining the windward bay—50%;</w:t>
      </w:r>
    </w:p>
    <w:p w:rsidR="00B40966" w:rsidRDefault="00B40966">
      <w:pPr>
        <w:pStyle w:val="Apara"/>
      </w:pPr>
      <w:r>
        <w:tab/>
        <w:t>(b)</w:t>
      </w:r>
      <w:r>
        <w:tab/>
        <w:t>on the next bay—75%;</w:t>
      </w:r>
    </w:p>
    <w:p w:rsidR="00B40966" w:rsidRDefault="00B40966">
      <w:pPr>
        <w:pStyle w:val="Apara"/>
      </w:pPr>
      <w:r>
        <w:tab/>
        <w:t>(c)</w:t>
      </w:r>
      <w:r>
        <w:tab/>
        <w:t>on the remaining bays—87%.</w:t>
      </w:r>
    </w:p>
    <w:p w:rsidR="00B40966" w:rsidRDefault="00B40966">
      <w:pPr>
        <w:pStyle w:val="Amain"/>
      </w:pPr>
      <w:r>
        <w:tab/>
        <w:t>(12)</w:t>
      </w:r>
      <w:r>
        <w:tab/>
        <w:t>All projections above the general roof level shall be considered fully exposed to wind.</w:t>
      </w:r>
    </w:p>
    <w:p w:rsidR="00B40966" w:rsidRDefault="00B40966">
      <w:pPr>
        <w:pStyle w:val="Amain"/>
      </w:pPr>
      <w:r>
        <w:tab/>
        <w:t>(13)</w:t>
      </w:r>
      <w:r>
        <w:tab/>
        <w:t>If members are so disposed that a windward member shelters a leeward member from wind forces, the forces may be considered effective on only the windward member if—</w:t>
      </w:r>
    </w:p>
    <w:p w:rsidR="00B40966" w:rsidRDefault="00B40966">
      <w:pPr>
        <w:pStyle w:val="Apara"/>
      </w:pPr>
      <w:r>
        <w:tab/>
        <w:t>(a)</w:t>
      </w:r>
      <w:r>
        <w:tab/>
        <w:t>the windward member being of solid web construction is not spaced at a distance greater than its own depth from the sheltered member, or</w:t>
      </w:r>
    </w:p>
    <w:p w:rsidR="00B40966" w:rsidRDefault="00B40966">
      <w:pPr>
        <w:pStyle w:val="Apara"/>
      </w:pPr>
      <w:r>
        <w:tab/>
        <w:t>(b)</w:t>
      </w:r>
      <w:r>
        <w:tab/>
        <w:t>the windward member, being of perforated, open web or lattice construction, is not spaced at a greater distance than its own width from the sheltered member.</w:t>
      </w:r>
    </w:p>
    <w:p w:rsidR="00B40966" w:rsidRDefault="00B40966">
      <w:pPr>
        <w:pStyle w:val="Amain"/>
      </w:pPr>
      <w:r>
        <w:tab/>
        <w:t>(14)</w:t>
      </w:r>
      <w:r>
        <w:tab/>
        <w:t>Parts of leeward members projecting beyond sheltering members as mentioned in subsection (13) shall be deemed fully exposed to wind force.</w:t>
      </w:r>
    </w:p>
    <w:p w:rsidR="00B40966" w:rsidRDefault="00B40966">
      <w:pPr>
        <w:pStyle w:val="Amain"/>
      </w:pPr>
      <w:r>
        <w:tab/>
        <w:t>(15)</w:t>
      </w:r>
      <w:r>
        <w:tab/>
        <w:t xml:space="preserve">If the spacing of members is greater than, but not more than 3 times that mentioned in subsection (13) the wind resistant surface of the leeward member may be considered to be reduced by 40%, provided that parts of it projecting beyond sheltering members shall be deemed fully exposed to wind forces, and provided that the total reduction in surface does not exceed </w:t>
      </w:r>
      <w:r>
        <w:rPr>
          <w:position w:val="6"/>
          <w:sz w:val="18"/>
        </w:rPr>
        <w:t>1</w:t>
      </w:r>
      <w:r>
        <w:t>/</w:t>
      </w:r>
      <w:r>
        <w:rPr>
          <w:sz w:val="18"/>
        </w:rPr>
        <w:t>2</w:t>
      </w:r>
      <w:r>
        <w:t xml:space="preserve"> of that of the windward member.</w:t>
      </w:r>
    </w:p>
    <w:p w:rsidR="00B40966" w:rsidRDefault="00B40966">
      <w:pPr>
        <w:pStyle w:val="AH4SubDiv"/>
      </w:pPr>
      <w:bookmarkStart w:id="219" w:name="_Toc87258075"/>
      <w:r>
        <w:t>Horizontal forces (other than those due to wind)</w:t>
      </w:r>
      <w:bookmarkEnd w:id="219"/>
    </w:p>
    <w:p w:rsidR="00B40966" w:rsidRDefault="00B40966">
      <w:pPr>
        <w:pStyle w:val="AH5Sec"/>
      </w:pPr>
      <w:bookmarkStart w:id="220" w:name="_Toc87258076"/>
      <w:r>
        <w:rPr>
          <w:rStyle w:val="CharSectNo"/>
        </w:rPr>
        <w:t>124</w:t>
      </w:r>
      <w:bookmarkEnd w:id="220"/>
      <w:r>
        <w:tab/>
        <w:t xml:space="preserve">  </w:t>
      </w:r>
    </w:p>
    <w:p w:rsidR="00B40966" w:rsidRDefault="00B40966">
      <w:pPr>
        <w:pStyle w:val="Amain"/>
      </w:pPr>
      <w:r>
        <w:tab/>
        <w:t>(1)</w:t>
      </w:r>
      <w:r>
        <w:tab/>
        <w:t>Full allowance shall be made for all horizontal forces including those incidental to operation of the crane or hoist, or lift, or scaffolding.</w:t>
      </w:r>
    </w:p>
    <w:p w:rsidR="00B40966" w:rsidRDefault="00B40966">
      <w:pPr>
        <w:pStyle w:val="Amain"/>
      </w:pPr>
      <w:r>
        <w:tab/>
        <w:t>(2)</w:t>
      </w:r>
      <w:r>
        <w:tab/>
        <w:t xml:space="preserve">The braking force at each braked wheel, arising from deceleration of the travelling or traversing motion of any crane or hoist or lift or scaffolding or relevant part of it shall be deemed equal to </w:t>
      </w:r>
      <w:r>
        <w:rPr>
          <w:position w:val="6"/>
          <w:sz w:val="18"/>
        </w:rPr>
        <w:t>1</w:t>
      </w:r>
      <w:r>
        <w:t>/</w:t>
      </w:r>
      <w:r>
        <w:rPr>
          <w:sz w:val="18"/>
        </w:rPr>
        <w:t>7</w:t>
      </w:r>
      <w:r>
        <w:t xml:space="preserve"> of the greatest weight borne by the wheel.</w:t>
      </w:r>
    </w:p>
    <w:p w:rsidR="00B40966" w:rsidRDefault="00B40966">
      <w:pPr>
        <w:pStyle w:val="Amain"/>
      </w:pPr>
      <w:r>
        <w:tab/>
        <w:t>(3)</w:t>
      </w:r>
      <w:r>
        <w:tab/>
        <w:t>It shall be considered to act at track-rail level.</w:t>
      </w:r>
    </w:p>
    <w:p w:rsidR="00B40966" w:rsidRDefault="00B40966">
      <w:pPr>
        <w:pStyle w:val="Amain"/>
      </w:pPr>
      <w:r>
        <w:tab/>
        <w:t>(4)</w:t>
      </w:r>
      <w:r>
        <w:tab/>
        <w:t>Each live load shall be assumed to set up or cause incidentally a lateral horizontal force not less in magnitude than the greatest of the following:</w:t>
      </w:r>
    </w:p>
    <w:p w:rsidR="00B40966" w:rsidRDefault="00B40966">
      <w:pPr>
        <w:pStyle w:val="Apara"/>
      </w:pPr>
      <w:r>
        <w:tab/>
        <w:t>(a)</w:t>
      </w:r>
      <w:r>
        <w:tab/>
        <w:t>5% of the live load; or</w:t>
      </w:r>
    </w:p>
    <w:p w:rsidR="00B40966" w:rsidRDefault="00B40966">
      <w:pPr>
        <w:pStyle w:val="Apara"/>
      </w:pPr>
      <w:r>
        <w:tab/>
        <w:t>(b)</w:t>
      </w:r>
      <w:r>
        <w:tab/>
        <w:t>120 pounds; or</w:t>
      </w:r>
    </w:p>
    <w:p w:rsidR="00B40966" w:rsidRDefault="00B40966">
      <w:pPr>
        <w:pStyle w:val="Apara"/>
      </w:pPr>
      <w:r>
        <w:tab/>
        <w:t>(c)</w:t>
      </w:r>
      <w:r>
        <w:tab/>
        <w:t>whatever more exact force may be determined by approved methods.</w:t>
      </w:r>
    </w:p>
    <w:p w:rsidR="00B40966" w:rsidRDefault="00B40966">
      <w:pPr>
        <w:pStyle w:val="Amain"/>
      </w:pPr>
      <w:r>
        <w:tab/>
        <w:t>(5)</w:t>
      </w:r>
      <w:r>
        <w:tab/>
        <w:t>It shall not be necessary to increase the horizontal force so determined in the way otherwise provided by section 125, but the force shall be assumed to act simultaneously with the live load.</w:t>
      </w:r>
    </w:p>
    <w:p w:rsidR="00B40966" w:rsidRDefault="00B40966">
      <w:pPr>
        <w:pStyle w:val="Amain"/>
      </w:pPr>
      <w:r>
        <w:tab/>
        <w:t>(6)</w:t>
      </w:r>
      <w:r>
        <w:tab/>
        <w:t>Full allowance shall be made for horizontal forces due to slewing, oscillating, reciprocating, or centrifugal actions, misalignments or settlements, heeling of supporting structure, or operation on sloping, irregular or soft surfaces.</w:t>
      </w:r>
    </w:p>
    <w:p w:rsidR="00B40966" w:rsidRDefault="00B40966">
      <w:pPr>
        <w:pStyle w:val="Amain"/>
      </w:pPr>
      <w:r>
        <w:tab/>
        <w:t>(7)</w:t>
      </w:r>
      <w:r>
        <w:tab/>
        <w:t>The rate of deceleration of the slewing motions of derrick or jib cranes shall be deemed to be not less than 1 foot per second, per second, measured at the jibhead, irrespective of its position.</w:t>
      </w:r>
    </w:p>
    <w:p w:rsidR="00B40966" w:rsidRDefault="00B40966">
      <w:pPr>
        <w:pStyle w:val="AH4SubDiv"/>
      </w:pPr>
      <w:bookmarkStart w:id="221" w:name="_Toc87258077"/>
      <w:r>
        <w:t>Dynamic and repealed loadings</w:t>
      </w:r>
      <w:bookmarkEnd w:id="221"/>
    </w:p>
    <w:p w:rsidR="00B40966" w:rsidRDefault="00B40966">
      <w:pPr>
        <w:pStyle w:val="AH5Sec"/>
      </w:pPr>
      <w:bookmarkStart w:id="222" w:name="_Toc87258078"/>
      <w:r>
        <w:rPr>
          <w:rStyle w:val="CharSectNo"/>
        </w:rPr>
        <w:t>125</w:t>
      </w:r>
      <w:bookmarkEnd w:id="222"/>
      <w:r>
        <w:tab/>
        <w:t xml:space="preserve">  </w:t>
      </w:r>
    </w:p>
    <w:p w:rsidR="00B40966" w:rsidRDefault="00B40966">
      <w:pPr>
        <w:pStyle w:val="Amain"/>
      </w:pPr>
      <w:r>
        <w:tab/>
        <w:t>(1)</w:t>
      </w:r>
      <w:r>
        <w:tab/>
        <w:t>To make allowance for frequently repeated loadings their variable magnitudes, and the effects of shocks, all internal forces or moments caused by live loads shall be increased in the ratio shown in table 125 or as may be in this section more specifically provided as appropriate to the classification of the crane, hoist, lift or scaffolding or part of it that is under consideration.</w:t>
      </w:r>
    </w:p>
    <w:p w:rsidR="00B40966" w:rsidRDefault="00B40966">
      <w:pPr>
        <w:pStyle w:val="Amain"/>
      </w:pPr>
      <w:r>
        <w:tab/>
        <w:t>(2)</w:t>
      </w:r>
      <w:r>
        <w:tab/>
        <w:t>However, the following forces or moments need not be so increased:</w:t>
      </w:r>
    </w:p>
    <w:p w:rsidR="00B40966" w:rsidRDefault="00B40966">
      <w:pPr>
        <w:pStyle w:val="Apara"/>
      </w:pPr>
      <w:r>
        <w:tab/>
        <w:t>(a)</w:t>
      </w:r>
      <w:r>
        <w:tab/>
        <w:t>those due to braking forces arising from decelerating travelling or traversing live loads;</w:t>
      </w:r>
    </w:p>
    <w:p w:rsidR="00B40966" w:rsidRDefault="00B40966">
      <w:pPr>
        <w:pStyle w:val="Apara"/>
      </w:pPr>
      <w:r>
        <w:tab/>
        <w:t>(b)</w:t>
      </w:r>
      <w:r>
        <w:tab/>
        <w:t>those due to inertia and momentum of live loads if those due to wind together with those referred to in the paragraph (a) are so great that they govern the proportion of the member concerned;</w:t>
      </w:r>
    </w:p>
    <w:p w:rsidR="00B40966" w:rsidRDefault="00B40966">
      <w:pPr>
        <w:pStyle w:val="Apara"/>
      </w:pPr>
      <w:r>
        <w:tab/>
        <w:t>(c)</w:t>
      </w:r>
      <w:r>
        <w:tab/>
        <w:t>those due to wind.</w:t>
      </w:r>
    </w:p>
    <w:p w:rsidR="00B40966" w:rsidRDefault="00B40966">
      <w:pPr>
        <w:pStyle w:val="TableHd"/>
      </w:pPr>
      <w:r>
        <w:t>Table 125</w:t>
      </w:r>
      <w:r>
        <w:tab/>
        <w:t>Compensation ratio for live loads</w:t>
      </w:r>
    </w:p>
    <w:tbl>
      <w:tblPr>
        <w:tblW w:w="7836" w:type="dxa"/>
        <w:tblInd w:w="80" w:type="dxa"/>
        <w:tblLayout w:type="fixed"/>
        <w:tblCellMar>
          <w:left w:w="80" w:type="dxa"/>
          <w:right w:w="80" w:type="dxa"/>
        </w:tblCellMar>
        <w:tblLook w:val="0000" w:firstRow="0" w:lastRow="0" w:firstColumn="0" w:lastColumn="0" w:noHBand="0" w:noVBand="0"/>
      </w:tblPr>
      <w:tblGrid>
        <w:gridCol w:w="1938"/>
        <w:gridCol w:w="2109"/>
        <w:gridCol w:w="2109"/>
        <w:gridCol w:w="1680"/>
      </w:tblGrid>
      <w:tr w:rsidR="00B40966">
        <w:trPr>
          <w:cantSplit/>
          <w:tblHeader/>
        </w:trPr>
        <w:tc>
          <w:tcPr>
            <w:tcW w:w="1938" w:type="dxa"/>
            <w:tcBorders>
              <w:bottom w:val="single" w:sz="4" w:space="0" w:color="auto"/>
            </w:tcBorders>
          </w:tcPr>
          <w:p w:rsidR="00B40966" w:rsidRDefault="00B40966">
            <w:pPr>
              <w:pStyle w:val="TableColHd"/>
            </w:pPr>
            <w:r>
              <w:t>classification of crane or hoist or lift or scaffolding or relevant part of it</w:t>
            </w:r>
          </w:p>
        </w:tc>
        <w:tc>
          <w:tcPr>
            <w:tcW w:w="2109" w:type="dxa"/>
            <w:tcBorders>
              <w:bottom w:val="single" w:sz="4" w:space="0" w:color="auto"/>
            </w:tcBorders>
          </w:tcPr>
          <w:p w:rsidR="00B40966" w:rsidRDefault="00B40966">
            <w:pPr>
              <w:pStyle w:val="TableColHd"/>
            </w:pPr>
            <w:r>
              <w:t>ratio in which internal force or moment must be increased</w:t>
            </w:r>
          </w:p>
        </w:tc>
        <w:tc>
          <w:tcPr>
            <w:tcW w:w="2109" w:type="dxa"/>
            <w:tcBorders>
              <w:bottom w:val="single" w:sz="4" w:space="0" w:color="auto"/>
            </w:tcBorders>
          </w:tcPr>
          <w:p w:rsidR="00B40966" w:rsidRDefault="00B40966">
            <w:pPr>
              <w:pStyle w:val="TableColHd"/>
            </w:pPr>
            <w:r>
              <w:t>classification of crane or hoist or lift or scaffolding or relevant part of it</w:t>
            </w:r>
          </w:p>
        </w:tc>
        <w:tc>
          <w:tcPr>
            <w:tcW w:w="1680" w:type="dxa"/>
            <w:tcBorders>
              <w:bottom w:val="single" w:sz="4" w:space="0" w:color="auto"/>
            </w:tcBorders>
          </w:tcPr>
          <w:p w:rsidR="00B40966" w:rsidRDefault="00B40966">
            <w:pPr>
              <w:pStyle w:val="TableColHd"/>
            </w:pPr>
            <w:r>
              <w:t>ratio in which internal force or moment must be increased</w:t>
            </w:r>
          </w:p>
        </w:tc>
      </w:tr>
      <w:tr w:rsidR="00B40966">
        <w:trPr>
          <w:cantSplit/>
        </w:trPr>
        <w:tc>
          <w:tcPr>
            <w:tcW w:w="1938" w:type="dxa"/>
            <w:tcBorders>
              <w:top w:val="single" w:sz="4" w:space="0" w:color="auto"/>
            </w:tcBorders>
          </w:tcPr>
          <w:p w:rsidR="00B40966" w:rsidRDefault="00B40966">
            <w:pPr>
              <w:pStyle w:val="TableText"/>
            </w:pPr>
            <w:r>
              <w:t>1</w:t>
            </w:r>
          </w:p>
        </w:tc>
        <w:tc>
          <w:tcPr>
            <w:tcW w:w="2109" w:type="dxa"/>
            <w:tcBorders>
              <w:top w:val="single" w:sz="4" w:space="0" w:color="auto"/>
            </w:tcBorders>
          </w:tcPr>
          <w:p w:rsidR="00B40966" w:rsidRDefault="00B40966">
            <w:pPr>
              <w:pStyle w:val="TableText"/>
            </w:pPr>
            <w:r>
              <w:t>1.2</w:t>
            </w:r>
          </w:p>
        </w:tc>
        <w:tc>
          <w:tcPr>
            <w:tcW w:w="2109" w:type="dxa"/>
            <w:tcBorders>
              <w:top w:val="single" w:sz="4" w:space="0" w:color="auto"/>
            </w:tcBorders>
          </w:tcPr>
          <w:p w:rsidR="00B40966" w:rsidRDefault="00B40966">
            <w:pPr>
              <w:pStyle w:val="TableText"/>
            </w:pPr>
            <w:r>
              <w:t>3</w:t>
            </w:r>
          </w:p>
        </w:tc>
        <w:tc>
          <w:tcPr>
            <w:tcW w:w="1680" w:type="dxa"/>
            <w:tcBorders>
              <w:top w:val="single" w:sz="4" w:space="0" w:color="auto"/>
            </w:tcBorders>
          </w:tcPr>
          <w:p w:rsidR="00B40966" w:rsidRDefault="00B40966">
            <w:pPr>
              <w:pStyle w:val="TableText"/>
            </w:pPr>
            <w:r>
              <w:t>1.6</w:t>
            </w:r>
          </w:p>
        </w:tc>
      </w:tr>
      <w:tr w:rsidR="00B40966">
        <w:trPr>
          <w:cantSplit/>
        </w:trPr>
        <w:tc>
          <w:tcPr>
            <w:tcW w:w="1938" w:type="dxa"/>
          </w:tcPr>
          <w:p w:rsidR="00B40966" w:rsidRDefault="00B40966">
            <w:pPr>
              <w:pStyle w:val="TableText"/>
            </w:pPr>
            <w:r>
              <w:t>2</w:t>
            </w:r>
          </w:p>
        </w:tc>
        <w:tc>
          <w:tcPr>
            <w:tcW w:w="2109" w:type="dxa"/>
          </w:tcPr>
          <w:p w:rsidR="00B40966" w:rsidRDefault="00B40966">
            <w:pPr>
              <w:pStyle w:val="TableText"/>
            </w:pPr>
            <w:r>
              <w:t>1.4</w:t>
            </w:r>
          </w:p>
        </w:tc>
        <w:tc>
          <w:tcPr>
            <w:tcW w:w="2109" w:type="dxa"/>
          </w:tcPr>
          <w:p w:rsidR="00B40966" w:rsidRDefault="00B40966">
            <w:pPr>
              <w:pStyle w:val="TableText"/>
            </w:pPr>
            <w:r>
              <w:t>4</w:t>
            </w:r>
          </w:p>
        </w:tc>
        <w:tc>
          <w:tcPr>
            <w:tcW w:w="1680" w:type="dxa"/>
          </w:tcPr>
          <w:p w:rsidR="00B40966" w:rsidRDefault="00B40966">
            <w:pPr>
              <w:pStyle w:val="TableText"/>
            </w:pPr>
            <w:r>
              <w:t>1.9</w:t>
            </w:r>
          </w:p>
        </w:tc>
      </w:tr>
    </w:tbl>
    <w:p w:rsidR="00B40966" w:rsidRDefault="00B40966"/>
    <w:p w:rsidR="00B40966" w:rsidRDefault="00B40966">
      <w:pPr>
        <w:pStyle w:val="Amain"/>
      </w:pPr>
      <w:r>
        <w:tab/>
        <w:t>(3)</w:t>
      </w:r>
      <w:r>
        <w:tab/>
        <w:t>Table 125 applies if more specific provision is not made in this section.</w:t>
      </w:r>
    </w:p>
    <w:p w:rsidR="00B40966" w:rsidRDefault="00B40966">
      <w:pPr>
        <w:pStyle w:val="Amain"/>
      </w:pPr>
      <w:r>
        <w:tab/>
        <w:t>(4)</w:t>
      </w:r>
      <w:r>
        <w:tab/>
        <w:t>To make allowance for shocks caused by travelling or traversing movements of cranes or hoists or lifts or scaffolding, internal forces or moments caused by dead loads shall be increased by 10% if the track rails are interrupted by joints or gaps, and the speed of travel or traverse is 200 or less feet per minute, or 20% if the speed is exceeded.</w:t>
      </w:r>
    </w:p>
    <w:p w:rsidR="00B40966" w:rsidRDefault="00B40966">
      <w:pPr>
        <w:pStyle w:val="Amain"/>
      </w:pPr>
      <w:r>
        <w:tab/>
        <w:t>(5)</w:t>
      </w:r>
      <w:r>
        <w:tab/>
        <w:t>If the track rails are not so interrupted, the internal forces or moments shall be increased by 10% if the speed is 300 or less feet per minute or 20% if the speed is exceeded.</w:t>
      </w:r>
    </w:p>
    <w:p w:rsidR="00B40966" w:rsidRDefault="00B40966">
      <w:pPr>
        <w:pStyle w:val="AH4SubDiv"/>
      </w:pPr>
      <w:bookmarkStart w:id="223" w:name="_Toc87258079"/>
      <w:r>
        <w:t>Maximum permissible stresses</w:t>
      </w:r>
      <w:bookmarkEnd w:id="223"/>
    </w:p>
    <w:p w:rsidR="00B40966" w:rsidRDefault="00B40966">
      <w:pPr>
        <w:pStyle w:val="AH5Sec"/>
      </w:pPr>
      <w:bookmarkStart w:id="224" w:name="_Toc87258080"/>
      <w:r>
        <w:rPr>
          <w:rStyle w:val="CharSectNo"/>
        </w:rPr>
        <w:t>126</w:t>
      </w:r>
      <w:bookmarkEnd w:id="224"/>
      <w:r>
        <w:tab/>
        <w:t xml:space="preserve">  </w:t>
      </w:r>
    </w:p>
    <w:p w:rsidR="00B40966" w:rsidRDefault="00B40966">
      <w:pPr>
        <w:pStyle w:val="Amain"/>
      </w:pPr>
      <w:r>
        <w:tab/>
        <w:t>(1)</w:t>
      </w:r>
      <w:r>
        <w:tab/>
        <w:t>The stresses imposed or developed in any member, component, part, or attachment, of any crane, hoist, lift, scaffolding, plant or gear shall be computed and after inclusion of all relevant increases consequential to section 125 and the other sections as may be applicable shall not exceed the relevant and appropriate maximum prescribed by this regulation.</w:t>
      </w:r>
    </w:p>
    <w:p w:rsidR="00B40966" w:rsidRDefault="00B40966">
      <w:pPr>
        <w:pStyle w:val="Amain"/>
        <w:keepLines/>
      </w:pPr>
      <w:r>
        <w:tab/>
        <w:t>(2)</w:t>
      </w:r>
      <w:r>
        <w:tab/>
        <w:t>If the member, component, part or attachment is of timber, the stress imposed or developed in it shall not exceed the relevant and appropriate maximum shown in table 126.1, or any other stress that may be more specifically prescribed elsewhere in this regulation.</w:t>
      </w:r>
    </w:p>
    <w:p w:rsidR="00B40966" w:rsidRDefault="00B40966">
      <w:pPr>
        <w:pStyle w:val="TableHd"/>
        <w:ind w:left="1596" w:hanging="1596"/>
      </w:pPr>
      <w:r>
        <w:t>Table 126.1</w:t>
      </w:r>
      <w:r>
        <w:tab/>
        <w:t>Maximum permissible stresses for timbers</w:t>
      </w:r>
    </w:p>
    <w:tbl>
      <w:tblPr>
        <w:tblW w:w="0" w:type="auto"/>
        <w:tblInd w:w="-160" w:type="dxa"/>
        <w:tblLayout w:type="fixed"/>
        <w:tblCellMar>
          <w:left w:w="80" w:type="dxa"/>
          <w:right w:w="80" w:type="dxa"/>
        </w:tblCellMar>
        <w:tblLook w:val="0000" w:firstRow="0" w:lastRow="0" w:firstColumn="0" w:lastColumn="0" w:noHBand="0" w:noVBand="0"/>
      </w:tblPr>
      <w:tblGrid>
        <w:gridCol w:w="1920"/>
        <w:gridCol w:w="760"/>
        <w:gridCol w:w="840"/>
        <w:gridCol w:w="980"/>
        <w:gridCol w:w="960"/>
        <w:gridCol w:w="1140"/>
        <w:gridCol w:w="1080"/>
      </w:tblGrid>
      <w:tr w:rsidR="00B40966">
        <w:trPr>
          <w:cantSplit/>
          <w:tblHeader/>
        </w:trPr>
        <w:tc>
          <w:tcPr>
            <w:tcW w:w="1920" w:type="dxa"/>
            <w:tcBorders>
              <w:top w:val="single" w:sz="6" w:space="0" w:color="auto"/>
            </w:tcBorders>
          </w:tcPr>
          <w:p w:rsidR="00B40966" w:rsidRDefault="00B40966">
            <w:pPr>
              <w:pStyle w:val="TableColHd"/>
            </w:pPr>
          </w:p>
        </w:tc>
        <w:tc>
          <w:tcPr>
            <w:tcW w:w="5760" w:type="dxa"/>
            <w:gridSpan w:val="6"/>
            <w:tcBorders>
              <w:top w:val="single" w:sz="6" w:space="0" w:color="auto"/>
              <w:left w:val="single" w:sz="2" w:space="0" w:color="auto"/>
              <w:bottom w:val="single" w:sz="2" w:space="0" w:color="auto"/>
            </w:tcBorders>
          </w:tcPr>
          <w:p w:rsidR="00B40966" w:rsidRDefault="00B40966">
            <w:pPr>
              <w:pStyle w:val="TableColHd"/>
              <w:jc w:val="center"/>
            </w:pPr>
            <w:r>
              <w:t>maximum permissible stress in lb/in</w:t>
            </w:r>
            <w:r>
              <w:rPr>
                <w:vertAlign w:val="superscript"/>
              </w:rPr>
              <w:t>2</w:t>
            </w:r>
          </w:p>
        </w:tc>
      </w:tr>
      <w:tr w:rsidR="00B40966">
        <w:trPr>
          <w:cantSplit/>
          <w:tblHeader/>
        </w:trPr>
        <w:tc>
          <w:tcPr>
            <w:tcW w:w="1920" w:type="dxa"/>
          </w:tcPr>
          <w:p w:rsidR="00B40966" w:rsidRDefault="00B40966">
            <w:pPr>
              <w:pStyle w:val="TableColHd"/>
            </w:pPr>
          </w:p>
        </w:tc>
        <w:tc>
          <w:tcPr>
            <w:tcW w:w="1600" w:type="dxa"/>
            <w:gridSpan w:val="2"/>
            <w:tcBorders>
              <w:top w:val="single" w:sz="4" w:space="0" w:color="auto"/>
              <w:left w:val="single" w:sz="4" w:space="0" w:color="auto"/>
              <w:bottom w:val="single" w:sz="4" w:space="0" w:color="auto"/>
              <w:right w:val="single" w:sz="4" w:space="0" w:color="auto"/>
            </w:tcBorders>
          </w:tcPr>
          <w:p w:rsidR="00B40966" w:rsidRDefault="00B40966">
            <w:pPr>
              <w:pStyle w:val="TableColHd"/>
              <w:jc w:val="center"/>
              <w:rPr>
                <w:sz w:val="16"/>
              </w:rPr>
            </w:pPr>
            <w:r>
              <w:rPr>
                <w:sz w:val="16"/>
              </w:rPr>
              <w:t>Douglas fir</w:t>
            </w:r>
          </w:p>
        </w:tc>
        <w:tc>
          <w:tcPr>
            <w:tcW w:w="980" w:type="dxa"/>
            <w:vMerge w:val="restart"/>
            <w:tcBorders>
              <w:left w:val="nil"/>
            </w:tcBorders>
          </w:tcPr>
          <w:p w:rsidR="00B40966" w:rsidRDefault="00B40966">
            <w:pPr>
              <w:pStyle w:val="TableColHd"/>
              <w:rPr>
                <w:sz w:val="16"/>
              </w:rPr>
            </w:pPr>
            <w:r>
              <w:rPr>
                <w:sz w:val="16"/>
              </w:rPr>
              <w:t>ironbark less than 6 inches thick</w:t>
            </w:r>
          </w:p>
        </w:tc>
        <w:tc>
          <w:tcPr>
            <w:tcW w:w="960" w:type="dxa"/>
            <w:vMerge w:val="restart"/>
            <w:tcBorders>
              <w:left w:val="single" w:sz="2" w:space="0" w:color="auto"/>
              <w:right w:val="single" w:sz="2" w:space="0" w:color="auto"/>
            </w:tcBorders>
          </w:tcPr>
          <w:p w:rsidR="00B40966" w:rsidRDefault="00B40966">
            <w:pPr>
              <w:pStyle w:val="TableColHd"/>
              <w:rPr>
                <w:sz w:val="16"/>
              </w:rPr>
            </w:pPr>
            <w:r>
              <w:rPr>
                <w:sz w:val="16"/>
              </w:rPr>
              <w:t>ironbark 6 inches or more in thickness</w:t>
            </w:r>
          </w:p>
        </w:tc>
        <w:tc>
          <w:tcPr>
            <w:tcW w:w="1140" w:type="dxa"/>
            <w:vMerge w:val="restart"/>
          </w:tcPr>
          <w:p w:rsidR="00B40966" w:rsidRDefault="00B40966">
            <w:pPr>
              <w:pStyle w:val="TableColHd"/>
              <w:rPr>
                <w:sz w:val="16"/>
              </w:rPr>
            </w:pPr>
            <w:r>
              <w:rPr>
                <w:sz w:val="16"/>
              </w:rPr>
              <w:t>†hardwood less than 6 inches in thickness</w:t>
            </w:r>
          </w:p>
        </w:tc>
        <w:tc>
          <w:tcPr>
            <w:tcW w:w="1080" w:type="dxa"/>
            <w:vMerge w:val="restart"/>
            <w:tcBorders>
              <w:left w:val="single" w:sz="2" w:space="0" w:color="auto"/>
            </w:tcBorders>
          </w:tcPr>
          <w:p w:rsidR="00B40966" w:rsidRDefault="00B40966">
            <w:pPr>
              <w:pStyle w:val="TableColHd"/>
              <w:rPr>
                <w:sz w:val="16"/>
              </w:rPr>
            </w:pPr>
            <w:r>
              <w:rPr>
                <w:sz w:val="16"/>
              </w:rPr>
              <w:t>†hardwood 6 inches or more in thickness</w:t>
            </w:r>
          </w:p>
        </w:tc>
      </w:tr>
      <w:tr w:rsidR="00B40966">
        <w:trPr>
          <w:cantSplit/>
          <w:tblHeader/>
        </w:trPr>
        <w:tc>
          <w:tcPr>
            <w:tcW w:w="1920" w:type="dxa"/>
            <w:tcBorders>
              <w:bottom w:val="single" w:sz="2" w:space="0" w:color="auto"/>
            </w:tcBorders>
          </w:tcPr>
          <w:p w:rsidR="00B40966" w:rsidRDefault="00B40966">
            <w:pPr>
              <w:pStyle w:val="TableColHd"/>
            </w:pPr>
            <w:r>
              <w:t>nature of stress</w:t>
            </w:r>
          </w:p>
        </w:tc>
        <w:tc>
          <w:tcPr>
            <w:tcW w:w="760" w:type="dxa"/>
            <w:tcBorders>
              <w:left w:val="single" w:sz="2" w:space="0" w:color="auto"/>
              <w:bottom w:val="single" w:sz="2" w:space="0" w:color="auto"/>
            </w:tcBorders>
          </w:tcPr>
          <w:p w:rsidR="00B40966" w:rsidRDefault="00B40966">
            <w:pPr>
              <w:pStyle w:val="TableColHd"/>
              <w:rPr>
                <w:sz w:val="16"/>
              </w:rPr>
            </w:pPr>
            <w:r>
              <w:rPr>
                <w:sz w:val="16"/>
              </w:rPr>
              <w:t>select</w:t>
            </w:r>
          </w:p>
        </w:tc>
        <w:tc>
          <w:tcPr>
            <w:tcW w:w="840" w:type="dxa"/>
            <w:tcBorders>
              <w:left w:val="single" w:sz="2" w:space="0" w:color="auto"/>
              <w:bottom w:val="single" w:sz="2" w:space="0" w:color="auto"/>
              <w:right w:val="single" w:sz="2" w:space="0" w:color="auto"/>
            </w:tcBorders>
          </w:tcPr>
          <w:p w:rsidR="00B40966" w:rsidRDefault="00B40966">
            <w:pPr>
              <w:pStyle w:val="TableColHd"/>
              <w:rPr>
                <w:sz w:val="16"/>
              </w:rPr>
            </w:pPr>
            <w:r>
              <w:rPr>
                <w:sz w:val="16"/>
              </w:rPr>
              <w:t>ordinary</w:t>
            </w:r>
          </w:p>
        </w:tc>
        <w:tc>
          <w:tcPr>
            <w:tcW w:w="980" w:type="dxa"/>
            <w:vMerge/>
            <w:tcBorders>
              <w:bottom w:val="single" w:sz="2" w:space="0" w:color="auto"/>
            </w:tcBorders>
          </w:tcPr>
          <w:p w:rsidR="00B40966" w:rsidRDefault="00B40966">
            <w:pPr>
              <w:pStyle w:val="TableColHd"/>
            </w:pPr>
          </w:p>
        </w:tc>
        <w:tc>
          <w:tcPr>
            <w:tcW w:w="960" w:type="dxa"/>
            <w:vMerge/>
            <w:tcBorders>
              <w:left w:val="single" w:sz="2" w:space="0" w:color="auto"/>
              <w:bottom w:val="single" w:sz="2" w:space="0" w:color="auto"/>
              <w:right w:val="single" w:sz="2" w:space="0" w:color="auto"/>
            </w:tcBorders>
          </w:tcPr>
          <w:p w:rsidR="00B40966" w:rsidRDefault="00B40966">
            <w:pPr>
              <w:pStyle w:val="TableColHd"/>
            </w:pPr>
          </w:p>
        </w:tc>
        <w:tc>
          <w:tcPr>
            <w:tcW w:w="1140" w:type="dxa"/>
            <w:vMerge/>
            <w:tcBorders>
              <w:bottom w:val="single" w:sz="2" w:space="0" w:color="auto"/>
            </w:tcBorders>
          </w:tcPr>
          <w:p w:rsidR="00B40966" w:rsidRDefault="00B40966">
            <w:pPr>
              <w:pStyle w:val="TableColHd"/>
            </w:pPr>
          </w:p>
        </w:tc>
        <w:tc>
          <w:tcPr>
            <w:tcW w:w="1080" w:type="dxa"/>
            <w:vMerge/>
            <w:tcBorders>
              <w:left w:val="single" w:sz="2" w:space="0" w:color="auto"/>
              <w:bottom w:val="single" w:sz="2" w:space="0" w:color="auto"/>
            </w:tcBorders>
          </w:tcPr>
          <w:p w:rsidR="00B40966" w:rsidRDefault="00B40966">
            <w:pPr>
              <w:pStyle w:val="TableColHd"/>
            </w:pPr>
          </w:p>
        </w:tc>
      </w:tr>
      <w:tr w:rsidR="00B40966">
        <w:trPr>
          <w:cantSplit/>
        </w:trPr>
        <w:tc>
          <w:tcPr>
            <w:tcW w:w="1920" w:type="dxa"/>
            <w:tcBorders>
              <w:top w:val="single" w:sz="2" w:space="0" w:color="auto"/>
            </w:tcBorders>
          </w:tcPr>
          <w:p w:rsidR="00B40966" w:rsidRDefault="00B40966">
            <w:pPr>
              <w:pStyle w:val="TableText"/>
              <w:rPr>
                <w:sz w:val="20"/>
              </w:rPr>
            </w:pPr>
            <w:r>
              <w:rPr>
                <w:sz w:val="20"/>
              </w:rPr>
              <w:t>transverse; timber continually dry</w:t>
            </w:r>
          </w:p>
        </w:tc>
        <w:tc>
          <w:tcPr>
            <w:tcW w:w="760" w:type="dxa"/>
            <w:tcBorders>
              <w:top w:val="single" w:sz="2" w:space="0" w:color="auto"/>
              <w:left w:val="single" w:sz="2" w:space="0" w:color="auto"/>
              <w:right w:val="single" w:sz="2" w:space="0" w:color="auto"/>
            </w:tcBorders>
          </w:tcPr>
          <w:p w:rsidR="00B40966" w:rsidRDefault="00B40966">
            <w:pPr>
              <w:pStyle w:val="TableText"/>
            </w:pPr>
            <w:r>
              <w:t>2 000</w:t>
            </w:r>
          </w:p>
        </w:tc>
        <w:tc>
          <w:tcPr>
            <w:tcW w:w="840" w:type="dxa"/>
            <w:tcBorders>
              <w:top w:val="single" w:sz="2" w:space="0" w:color="auto"/>
            </w:tcBorders>
          </w:tcPr>
          <w:p w:rsidR="00B40966" w:rsidRDefault="00B40966">
            <w:pPr>
              <w:pStyle w:val="TableText"/>
            </w:pPr>
            <w:r>
              <w:t>1 450</w:t>
            </w:r>
          </w:p>
        </w:tc>
        <w:tc>
          <w:tcPr>
            <w:tcW w:w="980" w:type="dxa"/>
            <w:tcBorders>
              <w:top w:val="single" w:sz="2" w:space="0" w:color="auto"/>
              <w:left w:val="single" w:sz="2" w:space="0" w:color="auto"/>
              <w:right w:val="single" w:sz="2" w:space="0" w:color="auto"/>
            </w:tcBorders>
          </w:tcPr>
          <w:p w:rsidR="00B40966" w:rsidRDefault="00B40966">
            <w:pPr>
              <w:pStyle w:val="TableText"/>
            </w:pPr>
            <w:r>
              <w:t>6 000</w:t>
            </w:r>
          </w:p>
        </w:tc>
        <w:tc>
          <w:tcPr>
            <w:tcW w:w="960" w:type="dxa"/>
            <w:tcBorders>
              <w:top w:val="single" w:sz="2" w:space="0" w:color="auto"/>
            </w:tcBorders>
          </w:tcPr>
          <w:p w:rsidR="00B40966" w:rsidRDefault="00B40966">
            <w:pPr>
              <w:pStyle w:val="TableText"/>
            </w:pPr>
            <w:r>
              <w:t>4 500</w:t>
            </w:r>
          </w:p>
        </w:tc>
        <w:tc>
          <w:tcPr>
            <w:tcW w:w="1140" w:type="dxa"/>
            <w:tcBorders>
              <w:top w:val="single" w:sz="2" w:space="0" w:color="auto"/>
              <w:left w:val="single" w:sz="2" w:space="0" w:color="auto"/>
              <w:right w:val="single" w:sz="2" w:space="0" w:color="auto"/>
            </w:tcBorders>
          </w:tcPr>
          <w:p w:rsidR="00B40966" w:rsidRDefault="00B40966">
            <w:pPr>
              <w:pStyle w:val="TableText"/>
            </w:pPr>
            <w:r>
              <w:t>4 000</w:t>
            </w:r>
          </w:p>
        </w:tc>
        <w:tc>
          <w:tcPr>
            <w:tcW w:w="1080" w:type="dxa"/>
            <w:tcBorders>
              <w:top w:val="single" w:sz="2" w:space="0" w:color="auto"/>
            </w:tcBorders>
          </w:tcPr>
          <w:p w:rsidR="00B40966" w:rsidRDefault="00B40966">
            <w:pPr>
              <w:pStyle w:val="TableText"/>
            </w:pPr>
            <w:r>
              <w:t>3 000</w:t>
            </w:r>
          </w:p>
        </w:tc>
      </w:tr>
      <w:tr w:rsidR="00B40966">
        <w:trPr>
          <w:cantSplit/>
        </w:trPr>
        <w:tc>
          <w:tcPr>
            <w:tcW w:w="1920" w:type="dxa"/>
          </w:tcPr>
          <w:p w:rsidR="00B40966" w:rsidRDefault="00B40966">
            <w:pPr>
              <w:pStyle w:val="TableText"/>
              <w:rPr>
                <w:sz w:val="20"/>
              </w:rPr>
            </w:pPr>
            <w:r>
              <w:rPr>
                <w:sz w:val="20"/>
              </w:rPr>
              <w:t>transverse; timber occasionally wet but quickly drying</w:t>
            </w:r>
          </w:p>
        </w:tc>
        <w:tc>
          <w:tcPr>
            <w:tcW w:w="760" w:type="dxa"/>
            <w:tcBorders>
              <w:left w:val="single" w:sz="2" w:space="0" w:color="auto"/>
              <w:right w:val="single" w:sz="2" w:space="0" w:color="auto"/>
            </w:tcBorders>
          </w:tcPr>
          <w:p w:rsidR="00B40966" w:rsidRDefault="00B40966">
            <w:pPr>
              <w:pStyle w:val="TableText"/>
            </w:pPr>
            <w:r>
              <w:t>1 720</w:t>
            </w:r>
          </w:p>
        </w:tc>
        <w:tc>
          <w:tcPr>
            <w:tcW w:w="840" w:type="dxa"/>
          </w:tcPr>
          <w:p w:rsidR="00B40966" w:rsidRDefault="00B40966">
            <w:pPr>
              <w:pStyle w:val="TableText"/>
            </w:pPr>
            <w:r>
              <w:t>1 250</w:t>
            </w:r>
          </w:p>
        </w:tc>
        <w:tc>
          <w:tcPr>
            <w:tcW w:w="980" w:type="dxa"/>
            <w:tcBorders>
              <w:left w:val="single" w:sz="2" w:space="0" w:color="auto"/>
              <w:right w:val="single" w:sz="2" w:space="0" w:color="auto"/>
            </w:tcBorders>
          </w:tcPr>
          <w:p w:rsidR="00B40966" w:rsidRDefault="00B40966">
            <w:pPr>
              <w:pStyle w:val="TableText"/>
            </w:pPr>
            <w:r>
              <w:t>5 700</w:t>
            </w:r>
          </w:p>
        </w:tc>
        <w:tc>
          <w:tcPr>
            <w:tcW w:w="960" w:type="dxa"/>
          </w:tcPr>
          <w:p w:rsidR="00B40966" w:rsidRDefault="00B40966">
            <w:pPr>
              <w:pStyle w:val="TableText"/>
            </w:pPr>
            <w:r>
              <w:t>4 270</w:t>
            </w:r>
          </w:p>
        </w:tc>
        <w:tc>
          <w:tcPr>
            <w:tcW w:w="1140" w:type="dxa"/>
            <w:tcBorders>
              <w:left w:val="single" w:sz="2" w:space="0" w:color="auto"/>
              <w:right w:val="single" w:sz="2" w:space="0" w:color="auto"/>
            </w:tcBorders>
          </w:tcPr>
          <w:p w:rsidR="00B40966" w:rsidRDefault="00B40966">
            <w:pPr>
              <w:pStyle w:val="TableText"/>
            </w:pPr>
            <w:r>
              <w:t>3 800</w:t>
            </w:r>
          </w:p>
        </w:tc>
        <w:tc>
          <w:tcPr>
            <w:tcW w:w="1080" w:type="dxa"/>
          </w:tcPr>
          <w:p w:rsidR="00B40966" w:rsidRDefault="00B40966">
            <w:pPr>
              <w:pStyle w:val="TableText"/>
            </w:pPr>
            <w:r>
              <w:t>2 800</w:t>
            </w:r>
          </w:p>
        </w:tc>
      </w:tr>
      <w:tr w:rsidR="00B40966">
        <w:trPr>
          <w:cantSplit/>
        </w:trPr>
        <w:tc>
          <w:tcPr>
            <w:tcW w:w="1920" w:type="dxa"/>
          </w:tcPr>
          <w:p w:rsidR="00B40966" w:rsidRDefault="00B40966">
            <w:pPr>
              <w:pStyle w:val="TableText"/>
              <w:rPr>
                <w:sz w:val="20"/>
              </w:rPr>
            </w:pPr>
            <w:r>
              <w:rPr>
                <w:sz w:val="20"/>
              </w:rPr>
              <w:t>transverse; timber more or less continually wet or damp</w:t>
            </w:r>
          </w:p>
        </w:tc>
        <w:tc>
          <w:tcPr>
            <w:tcW w:w="760" w:type="dxa"/>
            <w:tcBorders>
              <w:left w:val="single" w:sz="2" w:space="0" w:color="auto"/>
              <w:right w:val="single" w:sz="2" w:space="0" w:color="auto"/>
            </w:tcBorders>
          </w:tcPr>
          <w:p w:rsidR="00B40966" w:rsidRDefault="00B40966">
            <w:pPr>
              <w:pStyle w:val="TableText"/>
            </w:pPr>
            <w:r>
              <w:t>1 330</w:t>
            </w:r>
          </w:p>
        </w:tc>
        <w:tc>
          <w:tcPr>
            <w:tcW w:w="840" w:type="dxa"/>
          </w:tcPr>
          <w:p w:rsidR="00B40966" w:rsidRDefault="00B40966">
            <w:pPr>
              <w:pStyle w:val="TableText"/>
            </w:pPr>
            <w:r>
              <w:t>970</w:t>
            </w:r>
          </w:p>
        </w:tc>
        <w:tc>
          <w:tcPr>
            <w:tcW w:w="980" w:type="dxa"/>
            <w:tcBorders>
              <w:left w:val="single" w:sz="2" w:space="0" w:color="auto"/>
              <w:right w:val="single" w:sz="2" w:space="0" w:color="auto"/>
            </w:tcBorders>
          </w:tcPr>
          <w:p w:rsidR="00B40966" w:rsidRDefault="00B40966">
            <w:pPr>
              <w:pStyle w:val="TableText"/>
            </w:pPr>
            <w:r>
              <w:t>5 700</w:t>
            </w:r>
          </w:p>
        </w:tc>
        <w:tc>
          <w:tcPr>
            <w:tcW w:w="960" w:type="dxa"/>
          </w:tcPr>
          <w:p w:rsidR="00B40966" w:rsidRDefault="00B40966">
            <w:pPr>
              <w:pStyle w:val="TableText"/>
            </w:pPr>
            <w:r>
              <w:t>4 270</w:t>
            </w:r>
          </w:p>
        </w:tc>
        <w:tc>
          <w:tcPr>
            <w:tcW w:w="1140" w:type="dxa"/>
            <w:tcBorders>
              <w:left w:val="single" w:sz="2" w:space="0" w:color="auto"/>
              <w:right w:val="single" w:sz="2" w:space="0" w:color="auto"/>
            </w:tcBorders>
          </w:tcPr>
          <w:p w:rsidR="00B40966" w:rsidRDefault="00B40966">
            <w:pPr>
              <w:pStyle w:val="TableText"/>
            </w:pPr>
            <w:r>
              <w:t>3 800</w:t>
            </w:r>
          </w:p>
        </w:tc>
        <w:tc>
          <w:tcPr>
            <w:tcW w:w="1080" w:type="dxa"/>
          </w:tcPr>
          <w:p w:rsidR="00B40966" w:rsidRDefault="00B40966">
            <w:pPr>
              <w:pStyle w:val="TableText"/>
            </w:pPr>
            <w:r>
              <w:t>2 800</w:t>
            </w:r>
          </w:p>
        </w:tc>
      </w:tr>
      <w:tr w:rsidR="00B40966">
        <w:trPr>
          <w:cantSplit/>
        </w:trPr>
        <w:tc>
          <w:tcPr>
            <w:tcW w:w="1920" w:type="dxa"/>
          </w:tcPr>
          <w:p w:rsidR="00B40966" w:rsidRDefault="00B40966">
            <w:pPr>
              <w:pStyle w:val="TableText"/>
              <w:rPr>
                <w:sz w:val="20"/>
              </w:rPr>
            </w:pPr>
            <w:r>
              <w:rPr>
                <w:sz w:val="20"/>
              </w:rPr>
              <w:t>compression; perpendicular to grain; continually dry</w:t>
            </w:r>
          </w:p>
        </w:tc>
        <w:tc>
          <w:tcPr>
            <w:tcW w:w="760" w:type="dxa"/>
            <w:tcBorders>
              <w:left w:val="single" w:sz="2" w:space="0" w:color="auto"/>
              <w:right w:val="single" w:sz="2" w:space="0" w:color="auto"/>
            </w:tcBorders>
          </w:tcPr>
          <w:p w:rsidR="00B40966" w:rsidRDefault="00B40966">
            <w:pPr>
              <w:pStyle w:val="TableText"/>
            </w:pPr>
            <w:r>
              <w:t>430</w:t>
            </w:r>
          </w:p>
        </w:tc>
        <w:tc>
          <w:tcPr>
            <w:tcW w:w="840" w:type="dxa"/>
          </w:tcPr>
          <w:p w:rsidR="00B40966" w:rsidRDefault="00B40966">
            <w:pPr>
              <w:pStyle w:val="TableText"/>
            </w:pPr>
            <w:r>
              <w:t>390</w:t>
            </w:r>
          </w:p>
        </w:tc>
        <w:tc>
          <w:tcPr>
            <w:tcW w:w="980" w:type="dxa"/>
            <w:tcBorders>
              <w:left w:val="single" w:sz="2" w:space="0" w:color="auto"/>
              <w:right w:val="single" w:sz="2" w:space="0" w:color="auto"/>
            </w:tcBorders>
          </w:tcPr>
          <w:p w:rsidR="00B40966" w:rsidRDefault="00B40966">
            <w:pPr>
              <w:pStyle w:val="TableText"/>
            </w:pPr>
            <w:r>
              <w:t>1 000</w:t>
            </w:r>
          </w:p>
        </w:tc>
        <w:tc>
          <w:tcPr>
            <w:tcW w:w="960" w:type="dxa"/>
          </w:tcPr>
          <w:p w:rsidR="00B40966" w:rsidRDefault="00B40966">
            <w:pPr>
              <w:pStyle w:val="TableText"/>
            </w:pPr>
            <w:r>
              <w:t>1 000</w:t>
            </w:r>
          </w:p>
        </w:tc>
        <w:tc>
          <w:tcPr>
            <w:tcW w:w="1140" w:type="dxa"/>
            <w:tcBorders>
              <w:left w:val="single" w:sz="2" w:space="0" w:color="auto"/>
              <w:right w:val="single" w:sz="2" w:space="0" w:color="auto"/>
            </w:tcBorders>
          </w:tcPr>
          <w:p w:rsidR="00B40966" w:rsidRDefault="00B40966">
            <w:pPr>
              <w:pStyle w:val="TableText"/>
            </w:pPr>
            <w:r>
              <w:t>880</w:t>
            </w:r>
          </w:p>
        </w:tc>
        <w:tc>
          <w:tcPr>
            <w:tcW w:w="1080" w:type="dxa"/>
          </w:tcPr>
          <w:p w:rsidR="00B40966" w:rsidRDefault="00B40966">
            <w:pPr>
              <w:pStyle w:val="TableText"/>
            </w:pPr>
            <w:r>
              <w:t>880</w:t>
            </w:r>
          </w:p>
        </w:tc>
      </w:tr>
      <w:tr w:rsidR="00B40966">
        <w:trPr>
          <w:cantSplit/>
        </w:trPr>
        <w:tc>
          <w:tcPr>
            <w:tcW w:w="1920" w:type="dxa"/>
          </w:tcPr>
          <w:p w:rsidR="00B40966" w:rsidRDefault="00B40966">
            <w:pPr>
              <w:pStyle w:val="TableText"/>
              <w:rPr>
                <w:sz w:val="20"/>
              </w:rPr>
            </w:pPr>
            <w:r>
              <w:rPr>
                <w:sz w:val="20"/>
              </w:rPr>
              <w:t>compression; perpendicular to grain; occasionally wet but quickly drying</w:t>
            </w:r>
          </w:p>
        </w:tc>
        <w:tc>
          <w:tcPr>
            <w:tcW w:w="760" w:type="dxa"/>
            <w:tcBorders>
              <w:left w:val="single" w:sz="2" w:space="0" w:color="auto"/>
              <w:right w:val="single" w:sz="2" w:space="0" w:color="auto"/>
            </w:tcBorders>
          </w:tcPr>
          <w:p w:rsidR="00B40966" w:rsidRDefault="00B40966">
            <w:pPr>
              <w:pStyle w:val="TableText"/>
            </w:pPr>
            <w:r>
              <w:t>300</w:t>
            </w:r>
          </w:p>
        </w:tc>
        <w:tc>
          <w:tcPr>
            <w:tcW w:w="840" w:type="dxa"/>
          </w:tcPr>
          <w:p w:rsidR="00B40966" w:rsidRDefault="00B40966">
            <w:pPr>
              <w:pStyle w:val="TableText"/>
            </w:pPr>
            <w:r>
              <w:t>270</w:t>
            </w:r>
          </w:p>
        </w:tc>
        <w:tc>
          <w:tcPr>
            <w:tcW w:w="980" w:type="dxa"/>
            <w:tcBorders>
              <w:left w:val="single" w:sz="2" w:space="0" w:color="auto"/>
              <w:right w:val="single" w:sz="2" w:space="0" w:color="auto"/>
            </w:tcBorders>
          </w:tcPr>
          <w:p w:rsidR="00B40966" w:rsidRDefault="00B40966">
            <w:pPr>
              <w:pStyle w:val="TableText"/>
            </w:pPr>
            <w:r>
              <w:t>1 000</w:t>
            </w:r>
          </w:p>
        </w:tc>
        <w:tc>
          <w:tcPr>
            <w:tcW w:w="960" w:type="dxa"/>
          </w:tcPr>
          <w:p w:rsidR="00B40966" w:rsidRDefault="00B40966">
            <w:pPr>
              <w:pStyle w:val="TableText"/>
            </w:pPr>
            <w:r>
              <w:t>1 000</w:t>
            </w:r>
          </w:p>
        </w:tc>
        <w:tc>
          <w:tcPr>
            <w:tcW w:w="1140" w:type="dxa"/>
            <w:tcBorders>
              <w:left w:val="single" w:sz="2" w:space="0" w:color="auto"/>
              <w:right w:val="single" w:sz="2" w:space="0" w:color="auto"/>
            </w:tcBorders>
          </w:tcPr>
          <w:p w:rsidR="00B40966" w:rsidRDefault="00B40966">
            <w:pPr>
              <w:pStyle w:val="TableText"/>
            </w:pPr>
            <w:r>
              <w:t>750</w:t>
            </w:r>
          </w:p>
        </w:tc>
        <w:tc>
          <w:tcPr>
            <w:tcW w:w="1080" w:type="dxa"/>
          </w:tcPr>
          <w:p w:rsidR="00B40966" w:rsidRDefault="00B40966">
            <w:pPr>
              <w:pStyle w:val="TableText"/>
            </w:pPr>
            <w:r>
              <w:t>750</w:t>
            </w:r>
          </w:p>
        </w:tc>
      </w:tr>
      <w:tr w:rsidR="00B40966">
        <w:trPr>
          <w:cantSplit/>
        </w:trPr>
        <w:tc>
          <w:tcPr>
            <w:tcW w:w="1920" w:type="dxa"/>
          </w:tcPr>
          <w:p w:rsidR="00B40966" w:rsidRDefault="00B40966">
            <w:pPr>
              <w:pStyle w:val="TableText"/>
              <w:rPr>
                <w:sz w:val="20"/>
              </w:rPr>
            </w:pPr>
            <w:r>
              <w:rPr>
                <w:sz w:val="20"/>
              </w:rPr>
              <w:t>compression; perpendicular to grain; timber more or less continually wet or damp</w:t>
            </w:r>
          </w:p>
        </w:tc>
        <w:tc>
          <w:tcPr>
            <w:tcW w:w="760" w:type="dxa"/>
            <w:tcBorders>
              <w:left w:val="single" w:sz="2" w:space="0" w:color="auto"/>
              <w:right w:val="single" w:sz="2" w:space="0" w:color="auto"/>
            </w:tcBorders>
          </w:tcPr>
          <w:p w:rsidR="00B40966" w:rsidRDefault="00B40966">
            <w:pPr>
              <w:pStyle w:val="TableText"/>
            </w:pPr>
            <w:r>
              <w:t>270</w:t>
            </w:r>
          </w:p>
        </w:tc>
        <w:tc>
          <w:tcPr>
            <w:tcW w:w="840" w:type="dxa"/>
          </w:tcPr>
          <w:p w:rsidR="00B40966" w:rsidRDefault="00B40966">
            <w:pPr>
              <w:pStyle w:val="TableText"/>
            </w:pPr>
            <w:r>
              <w:t>240</w:t>
            </w:r>
          </w:p>
        </w:tc>
        <w:tc>
          <w:tcPr>
            <w:tcW w:w="980" w:type="dxa"/>
            <w:tcBorders>
              <w:left w:val="single" w:sz="2" w:space="0" w:color="auto"/>
              <w:right w:val="single" w:sz="2" w:space="0" w:color="auto"/>
            </w:tcBorders>
          </w:tcPr>
          <w:p w:rsidR="00B40966" w:rsidRDefault="00B40966">
            <w:pPr>
              <w:pStyle w:val="TableText"/>
            </w:pPr>
            <w:r>
              <w:t>1 000</w:t>
            </w:r>
          </w:p>
        </w:tc>
        <w:tc>
          <w:tcPr>
            <w:tcW w:w="960" w:type="dxa"/>
          </w:tcPr>
          <w:p w:rsidR="00B40966" w:rsidRDefault="00B40966">
            <w:pPr>
              <w:pStyle w:val="TableText"/>
            </w:pPr>
            <w:r>
              <w:t>1 000</w:t>
            </w:r>
          </w:p>
        </w:tc>
        <w:tc>
          <w:tcPr>
            <w:tcW w:w="1140" w:type="dxa"/>
            <w:tcBorders>
              <w:left w:val="single" w:sz="2" w:space="0" w:color="auto"/>
              <w:right w:val="single" w:sz="2" w:space="0" w:color="auto"/>
            </w:tcBorders>
          </w:tcPr>
          <w:p w:rsidR="00B40966" w:rsidRDefault="00B40966">
            <w:pPr>
              <w:pStyle w:val="TableText"/>
            </w:pPr>
            <w:r>
              <w:t>750</w:t>
            </w:r>
          </w:p>
        </w:tc>
        <w:tc>
          <w:tcPr>
            <w:tcW w:w="1080" w:type="dxa"/>
          </w:tcPr>
          <w:p w:rsidR="00B40966" w:rsidRDefault="00B40966">
            <w:pPr>
              <w:pStyle w:val="TableText"/>
            </w:pPr>
            <w:r>
              <w:t>750</w:t>
            </w:r>
          </w:p>
        </w:tc>
      </w:tr>
      <w:tr w:rsidR="00B40966">
        <w:trPr>
          <w:cantSplit/>
        </w:trPr>
        <w:tc>
          <w:tcPr>
            <w:tcW w:w="1920" w:type="dxa"/>
          </w:tcPr>
          <w:p w:rsidR="00B40966" w:rsidRDefault="00B40966">
            <w:pPr>
              <w:pStyle w:val="TableText"/>
              <w:rPr>
                <w:sz w:val="20"/>
              </w:rPr>
            </w:pPr>
            <w:r>
              <w:rPr>
                <w:sz w:val="20"/>
              </w:rPr>
              <w:t>*longitudinal shear; in flexural members</w:t>
            </w:r>
          </w:p>
        </w:tc>
        <w:tc>
          <w:tcPr>
            <w:tcW w:w="760" w:type="dxa"/>
            <w:tcBorders>
              <w:left w:val="single" w:sz="2" w:space="0" w:color="auto"/>
              <w:right w:val="single" w:sz="2" w:space="0" w:color="auto"/>
            </w:tcBorders>
          </w:tcPr>
          <w:p w:rsidR="00B40966" w:rsidRDefault="00B40966">
            <w:pPr>
              <w:pStyle w:val="TableText"/>
            </w:pPr>
            <w:r>
              <w:t>112</w:t>
            </w:r>
          </w:p>
        </w:tc>
        <w:tc>
          <w:tcPr>
            <w:tcW w:w="840" w:type="dxa"/>
          </w:tcPr>
          <w:p w:rsidR="00B40966" w:rsidRDefault="00B40966">
            <w:pPr>
              <w:pStyle w:val="TableText"/>
            </w:pPr>
            <w:r>
              <w:t>86</w:t>
            </w:r>
          </w:p>
        </w:tc>
        <w:tc>
          <w:tcPr>
            <w:tcW w:w="980" w:type="dxa"/>
            <w:tcBorders>
              <w:left w:val="single" w:sz="2" w:space="0" w:color="auto"/>
              <w:right w:val="single" w:sz="2" w:space="0" w:color="auto"/>
            </w:tcBorders>
          </w:tcPr>
          <w:p w:rsidR="00B40966" w:rsidRDefault="00B40966">
            <w:pPr>
              <w:pStyle w:val="TableText"/>
            </w:pPr>
            <w:r>
              <w:t>340</w:t>
            </w:r>
          </w:p>
        </w:tc>
        <w:tc>
          <w:tcPr>
            <w:tcW w:w="960" w:type="dxa"/>
          </w:tcPr>
          <w:p w:rsidR="00B40966" w:rsidRDefault="00B40966">
            <w:pPr>
              <w:pStyle w:val="TableText"/>
            </w:pPr>
            <w:r>
              <w:t>340</w:t>
            </w:r>
          </w:p>
        </w:tc>
        <w:tc>
          <w:tcPr>
            <w:tcW w:w="1140" w:type="dxa"/>
            <w:tcBorders>
              <w:left w:val="single" w:sz="2" w:space="0" w:color="auto"/>
              <w:right w:val="single" w:sz="2" w:space="0" w:color="auto"/>
            </w:tcBorders>
          </w:tcPr>
          <w:p w:rsidR="00B40966" w:rsidRDefault="00B40966">
            <w:pPr>
              <w:pStyle w:val="TableText"/>
            </w:pPr>
            <w:r>
              <w:t>300</w:t>
            </w:r>
          </w:p>
        </w:tc>
        <w:tc>
          <w:tcPr>
            <w:tcW w:w="1080" w:type="dxa"/>
          </w:tcPr>
          <w:p w:rsidR="00B40966" w:rsidRDefault="00B40966">
            <w:pPr>
              <w:pStyle w:val="TableText"/>
            </w:pPr>
            <w:r>
              <w:t>300</w:t>
            </w:r>
          </w:p>
        </w:tc>
      </w:tr>
      <w:tr w:rsidR="00B40966">
        <w:trPr>
          <w:cantSplit/>
        </w:trPr>
        <w:tc>
          <w:tcPr>
            <w:tcW w:w="1920" w:type="dxa"/>
          </w:tcPr>
          <w:p w:rsidR="00B40966" w:rsidRDefault="00B40966">
            <w:pPr>
              <w:pStyle w:val="TableText"/>
              <w:rPr>
                <w:sz w:val="20"/>
              </w:rPr>
            </w:pPr>
            <w:r>
              <w:rPr>
                <w:sz w:val="20"/>
              </w:rPr>
              <w:t>shearing; parallel to grain</w:t>
            </w:r>
          </w:p>
        </w:tc>
        <w:tc>
          <w:tcPr>
            <w:tcW w:w="760" w:type="dxa"/>
            <w:tcBorders>
              <w:left w:val="single" w:sz="2" w:space="0" w:color="auto"/>
              <w:right w:val="single" w:sz="2" w:space="0" w:color="auto"/>
            </w:tcBorders>
          </w:tcPr>
          <w:p w:rsidR="00B40966" w:rsidRDefault="00B40966">
            <w:pPr>
              <w:pStyle w:val="TableText"/>
            </w:pPr>
            <w:r>
              <w:t>230</w:t>
            </w:r>
          </w:p>
        </w:tc>
        <w:tc>
          <w:tcPr>
            <w:tcW w:w="840" w:type="dxa"/>
          </w:tcPr>
          <w:p w:rsidR="00B40966" w:rsidRDefault="00B40966">
            <w:pPr>
              <w:pStyle w:val="TableText"/>
            </w:pPr>
            <w:r>
              <w:t>170</w:t>
            </w:r>
          </w:p>
        </w:tc>
        <w:tc>
          <w:tcPr>
            <w:tcW w:w="980" w:type="dxa"/>
            <w:tcBorders>
              <w:left w:val="single" w:sz="2" w:space="0" w:color="auto"/>
              <w:right w:val="single" w:sz="2" w:space="0" w:color="auto"/>
            </w:tcBorders>
          </w:tcPr>
          <w:p w:rsidR="00B40966" w:rsidRDefault="00B40966">
            <w:pPr>
              <w:pStyle w:val="TableText"/>
            </w:pPr>
            <w:r>
              <w:t>1 000</w:t>
            </w:r>
          </w:p>
        </w:tc>
        <w:tc>
          <w:tcPr>
            <w:tcW w:w="960" w:type="dxa"/>
          </w:tcPr>
          <w:p w:rsidR="00B40966" w:rsidRDefault="00B40966">
            <w:pPr>
              <w:pStyle w:val="TableText"/>
            </w:pPr>
            <w:r>
              <w:t>1 000</w:t>
            </w:r>
          </w:p>
        </w:tc>
        <w:tc>
          <w:tcPr>
            <w:tcW w:w="1140" w:type="dxa"/>
            <w:tcBorders>
              <w:left w:val="single" w:sz="2" w:space="0" w:color="auto"/>
              <w:right w:val="single" w:sz="2" w:space="0" w:color="auto"/>
            </w:tcBorders>
          </w:tcPr>
          <w:p w:rsidR="00B40966" w:rsidRDefault="00B40966">
            <w:pPr>
              <w:pStyle w:val="TableText"/>
            </w:pPr>
            <w:r>
              <w:t>750</w:t>
            </w:r>
          </w:p>
        </w:tc>
        <w:tc>
          <w:tcPr>
            <w:tcW w:w="1080" w:type="dxa"/>
          </w:tcPr>
          <w:p w:rsidR="00B40966" w:rsidRDefault="00B40966">
            <w:pPr>
              <w:pStyle w:val="TableText"/>
            </w:pPr>
            <w:r>
              <w:t>750</w:t>
            </w:r>
          </w:p>
        </w:tc>
      </w:tr>
      <w:tr w:rsidR="00B40966">
        <w:trPr>
          <w:cantSplit/>
        </w:trPr>
        <w:tc>
          <w:tcPr>
            <w:tcW w:w="1920" w:type="dxa"/>
            <w:tcBorders>
              <w:right w:val="single" w:sz="2" w:space="0" w:color="auto"/>
            </w:tcBorders>
          </w:tcPr>
          <w:p w:rsidR="00B40966" w:rsidRDefault="00B40966">
            <w:pPr>
              <w:pStyle w:val="TableText"/>
              <w:rPr>
                <w:sz w:val="20"/>
              </w:rPr>
            </w:pPr>
            <w:r>
              <w:rPr>
                <w:sz w:val="20"/>
              </w:rPr>
              <w:t>tensile; parallel to grain</w:t>
            </w:r>
          </w:p>
        </w:tc>
        <w:tc>
          <w:tcPr>
            <w:tcW w:w="5760" w:type="dxa"/>
            <w:gridSpan w:val="6"/>
          </w:tcPr>
          <w:p w:rsidR="00B40966" w:rsidRDefault="00B40966">
            <w:pPr>
              <w:pStyle w:val="TableText"/>
              <w:rPr>
                <w:sz w:val="20"/>
              </w:rPr>
            </w:pPr>
            <w:r>
              <w:rPr>
                <w:sz w:val="20"/>
              </w:rPr>
              <w:t>may be taken to be of the same values as transverse stresses</w:t>
            </w:r>
          </w:p>
        </w:tc>
      </w:tr>
      <w:tr w:rsidR="00B40966">
        <w:trPr>
          <w:cantSplit/>
        </w:trPr>
        <w:tc>
          <w:tcPr>
            <w:tcW w:w="1920" w:type="dxa"/>
          </w:tcPr>
          <w:p w:rsidR="00B40966" w:rsidRDefault="00B40966">
            <w:pPr>
              <w:pStyle w:val="TableText"/>
              <w:rPr>
                <w:sz w:val="20"/>
              </w:rPr>
            </w:pPr>
            <w:r>
              <w:rPr>
                <w:sz w:val="20"/>
              </w:rPr>
              <w:t>compression; parallel to grain; continually dry</w:t>
            </w:r>
          </w:p>
        </w:tc>
        <w:tc>
          <w:tcPr>
            <w:tcW w:w="760" w:type="dxa"/>
            <w:tcBorders>
              <w:left w:val="single" w:sz="2" w:space="0" w:color="auto"/>
              <w:right w:val="single" w:sz="2" w:space="0" w:color="auto"/>
            </w:tcBorders>
          </w:tcPr>
          <w:p w:rsidR="00B40966" w:rsidRDefault="00B40966">
            <w:pPr>
              <w:pStyle w:val="TableText"/>
            </w:pPr>
            <w:r>
              <w:t>1 440</w:t>
            </w:r>
          </w:p>
        </w:tc>
        <w:tc>
          <w:tcPr>
            <w:tcW w:w="840" w:type="dxa"/>
          </w:tcPr>
          <w:p w:rsidR="00B40966" w:rsidRDefault="00B40966">
            <w:pPr>
              <w:pStyle w:val="TableText"/>
            </w:pPr>
            <w:r>
              <w:t>1 200</w:t>
            </w:r>
          </w:p>
        </w:tc>
        <w:tc>
          <w:tcPr>
            <w:tcW w:w="980" w:type="dxa"/>
            <w:tcBorders>
              <w:left w:val="single" w:sz="2" w:space="0" w:color="auto"/>
              <w:right w:val="single" w:sz="2" w:space="0" w:color="auto"/>
            </w:tcBorders>
          </w:tcPr>
          <w:p w:rsidR="00B40966" w:rsidRDefault="00B40966">
            <w:pPr>
              <w:pStyle w:val="TableText"/>
            </w:pPr>
            <w:r>
              <w:t>4 000</w:t>
            </w:r>
          </w:p>
        </w:tc>
        <w:tc>
          <w:tcPr>
            <w:tcW w:w="960" w:type="dxa"/>
          </w:tcPr>
          <w:p w:rsidR="00B40966" w:rsidRDefault="00B40966">
            <w:pPr>
              <w:pStyle w:val="TableText"/>
            </w:pPr>
            <w:r>
              <w:t>3 000</w:t>
            </w:r>
          </w:p>
        </w:tc>
        <w:tc>
          <w:tcPr>
            <w:tcW w:w="1140" w:type="dxa"/>
            <w:tcBorders>
              <w:left w:val="single" w:sz="2" w:space="0" w:color="auto"/>
              <w:right w:val="single" w:sz="2" w:space="0" w:color="auto"/>
            </w:tcBorders>
          </w:tcPr>
          <w:p w:rsidR="00B40966" w:rsidRDefault="00B40966">
            <w:pPr>
              <w:pStyle w:val="TableText"/>
            </w:pPr>
            <w:r>
              <w:t>3 600</w:t>
            </w:r>
          </w:p>
        </w:tc>
        <w:tc>
          <w:tcPr>
            <w:tcW w:w="1080" w:type="dxa"/>
          </w:tcPr>
          <w:p w:rsidR="00B40966" w:rsidRDefault="00B40966">
            <w:pPr>
              <w:pStyle w:val="TableText"/>
            </w:pPr>
            <w:r>
              <w:t>2 700</w:t>
            </w:r>
          </w:p>
        </w:tc>
      </w:tr>
      <w:tr w:rsidR="00B40966">
        <w:trPr>
          <w:cantSplit/>
        </w:trPr>
        <w:tc>
          <w:tcPr>
            <w:tcW w:w="1920" w:type="dxa"/>
            <w:tcBorders>
              <w:bottom w:val="single" w:sz="6" w:space="0" w:color="auto"/>
            </w:tcBorders>
          </w:tcPr>
          <w:p w:rsidR="00B40966" w:rsidRDefault="00B40966">
            <w:pPr>
              <w:pStyle w:val="TableText"/>
              <w:rPr>
                <w:sz w:val="20"/>
              </w:rPr>
            </w:pPr>
            <w:r>
              <w:rPr>
                <w:sz w:val="20"/>
              </w:rPr>
              <w:t>compression; parallel to grain; occasionally wet but quickly drying</w:t>
            </w:r>
          </w:p>
        </w:tc>
        <w:tc>
          <w:tcPr>
            <w:tcW w:w="760" w:type="dxa"/>
            <w:tcBorders>
              <w:left w:val="single" w:sz="2" w:space="0" w:color="auto"/>
              <w:bottom w:val="single" w:sz="6" w:space="0" w:color="auto"/>
              <w:right w:val="single" w:sz="2" w:space="0" w:color="auto"/>
            </w:tcBorders>
          </w:tcPr>
          <w:p w:rsidR="00B40966" w:rsidRDefault="00B40966">
            <w:pPr>
              <w:pStyle w:val="TableText"/>
            </w:pPr>
            <w:r>
              <w:t>1 320</w:t>
            </w:r>
          </w:p>
        </w:tc>
        <w:tc>
          <w:tcPr>
            <w:tcW w:w="840" w:type="dxa"/>
            <w:tcBorders>
              <w:bottom w:val="single" w:sz="6" w:space="0" w:color="auto"/>
            </w:tcBorders>
          </w:tcPr>
          <w:p w:rsidR="00B40966" w:rsidRDefault="00B40966">
            <w:pPr>
              <w:pStyle w:val="TableText"/>
            </w:pPr>
            <w:r>
              <w:t>1 080</w:t>
            </w:r>
          </w:p>
        </w:tc>
        <w:tc>
          <w:tcPr>
            <w:tcW w:w="980" w:type="dxa"/>
            <w:tcBorders>
              <w:left w:val="single" w:sz="2" w:space="0" w:color="auto"/>
              <w:bottom w:val="single" w:sz="6" w:space="0" w:color="auto"/>
              <w:right w:val="single" w:sz="2" w:space="0" w:color="auto"/>
            </w:tcBorders>
          </w:tcPr>
          <w:p w:rsidR="00B40966" w:rsidRDefault="00B40966">
            <w:pPr>
              <w:pStyle w:val="TableText"/>
            </w:pPr>
            <w:r>
              <w:t>3 800</w:t>
            </w:r>
          </w:p>
        </w:tc>
        <w:tc>
          <w:tcPr>
            <w:tcW w:w="960" w:type="dxa"/>
            <w:tcBorders>
              <w:bottom w:val="single" w:sz="6" w:space="0" w:color="auto"/>
            </w:tcBorders>
          </w:tcPr>
          <w:p w:rsidR="00B40966" w:rsidRDefault="00B40966">
            <w:pPr>
              <w:pStyle w:val="TableText"/>
            </w:pPr>
            <w:r>
              <w:t>2 800</w:t>
            </w:r>
          </w:p>
        </w:tc>
        <w:tc>
          <w:tcPr>
            <w:tcW w:w="1140" w:type="dxa"/>
            <w:tcBorders>
              <w:left w:val="single" w:sz="2" w:space="0" w:color="auto"/>
              <w:bottom w:val="single" w:sz="6" w:space="0" w:color="auto"/>
              <w:right w:val="single" w:sz="2" w:space="0" w:color="auto"/>
            </w:tcBorders>
          </w:tcPr>
          <w:p w:rsidR="00B40966" w:rsidRDefault="00B40966">
            <w:pPr>
              <w:pStyle w:val="TableText"/>
            </w:pPr>
            <w:r>
              <w:t>3 400</w:t>
            </w:r>
          </w:p>
        </w:tc>
        <w:tc>
          <w:tcPr>
            <w:tcW w:w="1080" w:type="dxa"/>
            <w:tcBorders>
              <w:bottom w:val="single" w:sz="6" w:space="0" w:color="auto"/>
            </w:tcBorders>
          </w:tcPr>
          <w:p w:rsidR="00B40966" w:rsidRDefault="00B40966">
            <w:pPr>
              <w:pStyle w:val="TableText"/>
            </w:pPr>
            <w:r>
              <w:t>2 500</w:t>
            </w:r>
          </w:p>
        </w:tc>
      </w:tr>
    </w:tbl>
    <w:p w:rsidR="00B40966" w:rsidRDefault="00B40966">
      <w:pPr>
        <w:spacing w:before="60"/>
        <w:ind w:left="399" w:hanging="399"/>
        <w:rPr>
          <w:sz w:val="20"/>
        </w:rPr>
      </w:pPr>
      <w:r>
        <w:rPr>
          <w:sz w:val="20"/>
        </w:rPr>
        <w:t>*</w:t>
      </w:r>
      <w:r>
        <w:rPr>
          <w:sz w:val="20"/>
        </w:rPr>
        <w:tab/>
        <w:t>Generally termed ‘horizontal shear’.</w:t>
      </w:r>
    </w:p>
    <w:p w:rsidR="00B40966" w:rsidRDefault="00B40966">
      <w:pPr>
        <w:spacing w:before="60"/>
        <w:ind w:left="399" w:hanging="399"/>
        <w:rPr>
          <w:sz w:val="20"/>
        </w:rPr>
      </w:pPr>
      <w:r>
        <w:rPr>
          <w:sz w:val="20"/>
        </w:rPr>
        <w:t>†</w:t>
      </w:r>
      <w:r>
        <w:rPr>
          <w:sz w:val="20"/>
        </w:rPr>
        <w:tab/>
      </w:r>
      <w:r>
        <w:rPr>
          <w:rStyle w:val="charItals"/>
          <w:sz w:val="20"/>
        </w:rPr>
        <w:t>Hardwood</w:t>
      </w:r>
      <w:r>
        <w:rPr>
          <w:sz w:val="20"/>
        </w:rPr>
        <w:t xml:space="preserve"> includes only Australian hardwoods of approximately the same strength and reliability as spotted gum.</w:t>
      </w:r>
    </w:p>
    <w:p w:rsidR="00B40966" w:rsidRDefault="00B40966"/>
    <w:p w:rsidR="00B40966" w:rsidRDefault="00B40966">
      <w:pPr>
        <w:pStyle w:val="Amain"/>
      </w:pPr>
      <w:r>
        <w:tab/>
        <w:t>(3)</w:t>
      </w:r>
      <w:r>
        <w:tab/>
        <w:t>Table 126.1 applies if more specific provision is not made in this regulation.</w:t>
      </w:r>
    </w:p>
    <w:p w:rsidR="00B40966" w:rsidRDefault="00B40966">
      <w:pPr>
        <w:pStyle w:val="Amain"/>
      </w:pPr>
      <w:r>
        <w:tab/>
        <w:t>(4)</w:t>
      </w:r>
      <w:r>
        <w:tab/>
        <w:t>If the member, component, part or attachment is of any other material, the stress imposed or developed in it shall not exceed that prescribed by section 122 (4) to (23), and amplified in relation to certain commonly used materials by table 126.2:</w:t>
      </w:r>
    </w:p>
    <w:p w:rsidR="00B40966" w:rsidRDefault="00B40966">
      <w:pPr>
        <w:pStyle w:val="02Text"/>
        <w:sectPr w:rsidR="00B40966">
          <w:headerReference w:type="even" r:id="rId41"/>
          <w:headerReference w:type="default" r:id="rId42"/>
          <w:footerReference w:type="even" r:id="rId43"/>
          <w:footerReference w:type="default" r:id="rId44"/>
          <w:footerReference w:type="first" r:id="rId45"/>
          <w:pgSz w:w="11907" w:h="16839" w:code="9"/>
          <w:pgMar w:top="3087" w:right="1900" w:bottom="2500" w:left="2300" w:header="2480" w:footer="2100" w:gutter="0"/>
          <w:cols w:space="720"/>
          <w:docGrid w:linePitch="254"/>
        </w:sectPr>
      </w:pPr>
    </w:p>
    <w:p w:rsidR="00B40966" w:rsidRDefault="00B40966">
      <w:pPr>
        <w:pStyle w:val="TableHd"/>
        <w:ind w:left="1482" w:hanging="1482"/>
      </w:pPr>
      <w:r>
        <w:t>Table 126.2</w:t>
      </w:r>
      <w:r>
        <w:tab/>
        <w:t>Physical properties of materials</w:t>
      </w:r>
    </w:p>
    <w:tbl>
      <w:tblPr>
        <w:tblW w:w="0" w:type="auto"/>
        <w:tblLayout w:type="fixed"/>
        <w:tblCellMar>
          <w:left w:w="80" w:type="dxa"/>
          <w:right w:w="80" w:type="dxa"/>
        </w:tblCellMar>
        <w:tblLook w:val="0000" w:firstRow="0" w:lastRow="0" w:firstColumn="0" w:lastColumn="0" w:noHBand="0" w:noVBand="0"/>
      </w:tblPr>
      <w:tblGrid>
        <w:gridCol w:w="3860"/>
        <w:gridCol w:w="900"/>
        <w:gridCol w:w="720"/>
        <w:gridCol w:w="1080"/>
        <w:gridCol w:w="1020"/>
        <w:gridCol w:w="1080"/>
        <w:gridCol w:w="1040"/>
        <w:gridCol w:w="1560"/>
      </w:tblGrid>
      <w:tr w:rsidR="00B40966">
        <w:trPr>
          <w:cantSplit/>
          <w:tblHeader/>
        </w:trPr>
        <w:tc>
          <w:tcPr>
            <w:tcW w:w="3860" w:type="dxa"/>
            <w:tcBorders>
              <w:top w:val="single" w:sz="6" w:space="0" w:color="auto"/>
            </w:tcBorders>
          </w:tcPr>
          <w:p w:rsidR="00B40966" w:rsidRDefault="00B40966">
            <w:pPr>
              <w:pStyle w:val="TableColHd"/>
            </w:pPr>
          </w:p>
        </w:tc>
        <w:tc>
          <w:tcPr>
            <w:tcW w:w="1620" w:type="dxa"/>
            <w:gridSpan w:val="2"/>
            <w:tcBorders>
              <w:top w:val="single" w:sz="6" w:space="0" w:color="auto"/>
              <w:left w:val="single" w:sz="2" w:space="0" w:color="auto"/>
              <w:bottom w:val="single" w:sz="2" w:space="0" w:color="auto"/>
              <w:right w:val="single" w:sz="2" w:space="0" w:color="auto"/>
            </w:tcBorders>
          </w:tcPr>
          <w:p w:rsidR="00B40966" w:rsidRDefault="00B40966">
            <w:pPr>
              <w:pStyle w:val="TableColHd"/>
            </w:pPr>
            <w:r>
              <w:rPr>
                <w:position w:val="4"/>
                <w:sz w:val="14"/>
              </w:rPr>
              <w:t>1</w:t>
            </w:r>
            <w:r>
              <w:t>/</w:t>
            </w:r>
            <w:r>
              <w:rPr>
                <w:sz w:val="14"/>
              </w:rPr>
              <w:t>10</w:t>
            </w:r>
            <w:r>
              <w:t xml:space="preserve"> of 1% proof stress (t/in</w:t>
            </w:r>
            <w:r>
              <w:rPr>
                <w:vertAlign w:val="superscript"/>
              </w:rPr>
              <w:t>2</w:t>
            </w:r>
            <w:r>
              <w:t>)</w:t>
            </w:r>
          </w:p>
        </w:tc>
        <w:tc>
          <w:tcPr>
            <w:tcW w:w="2100" w:type="dxa"/>
            <w:gridSpan w:val="2"/>
            <w:tcBorders>
              <w:top w:val="single" w:sz="6" w:space="0" w:color="auto"/>
              <w:left w:val="single" w:sz="2" w:space="0" w:color="auto"/>
              <w:bottom w:val="single" w:sz="2" w:space="0" w:color="auto"/>
              <w:right w:val="single" w:sz="2" w:space="0" w:color="auto"/>
            </w:tcBorders>
          </w:tcPr>
          <w:p w:rsidR="00B40966" w:rsidRDefault="00B40966">
            <w:pPr>
              <w:pStyle w:val="TableColHd"/>
            </w:pPr>
            <w:r>
              <w:rPr>
                <w:position w:val="4"/>
                <w:sz w:val="14"/>
              </w:rPr>
              <w:t>1</w:t>
            </w:r>
            <w:r>
              <w:t>/</w:t>
            </w:r>
            <w:r>
              <w:rPr>
                <w:sz w:val="14"/>
              </w:rPr>
              <w:t>2</w:t>
            </w:r>
            <w:r>
              <w:t xml:space="preserve"> endurance range for average stress zero (t/in</w:t>
            </w:r>
            <w:r>
              <w:rPr>
                <w:vertAlign w:val="superscript"/>
              </w:rPr>
              <w:t>2</w:t>
            </w:r>
            <w:r>
              <w:t>)</w:t>
            </w:r>
          </w:p>
        </w:tc>
        <w:tc>
          <w:tcPr>
            <w:tcW w:w="1080" w:type="dxa"/>
            <w:vMerge w:val="restart"/>
            <w:tcBorders>
              <w:top w:val="single" w:sz="6" w:space="0" w:color="auto"/>
              <w:left w:val="single" w:sz="2" w:space="0" w:color="auto"/>
              <w:right w:val="single" w:sz="2" w:space="0" w:color="auto"/>
            </w:tcBorders>
          </w:tcPr>
          <w:p w:rsidR="00B40966" w:rsidRDefault="00B40966">
            <w:pPr>
              <w:pStyle w:val="TableColHd"/>
            </w:pPr>
            <w:r>
              <w:t>modulus of elasticity (t/in</w:t>
            </w:r>
            <w:r>
              <w:rPr>
                <w:vertAlign w:val="superscript"/>
              </w:rPr>
              <w:t>2</w:t>
            </w:r>
            <w:r>
              <w:t>)</w:t>
            </w:r>
          </w:p>
        </w:tc>
        <w:tc>
          <w:tcPr>
            <w:tcW w:w="1040" w:type="dxa"/>
            <w:vMerge w:val="restart"/>
            <w:tcBorders>
              <w:top w:val="single" w:sz="6" w:space="0" w:color="auto"/>
              <w:left w:val="single" w:sz="2" w:space="0" w:color="auto"/>
              <w:right w:val="single" w:sz="2" w:space="0" w:color="auto"/>
            </w:tcBorders>
          </w:tcPr>
          <w:p w:rsidR="00B40966" w:rsidRDefault="00B40966">
            <w:pPr>
              <w:pStyle w:val="TableColHd"/>
            </w:pPr>
            <w:r>
              <w:t>modulus of rigidity (t/in</w:t>
            </w:r>
            <w:r>
              <w:rPr>
                <w:vertAlign w:val="superscript"/>
              </w:rPr>
              <w:t>2</w:t>
            </w:r>
            <w:r>
              <w:t>)</w:t>
            </w:r>
          </w:p>
        </w:tc>
        <w:tc>
          <w:tcPr>
            <w:tcW w:w="1560" w:type="dxa"/>
            <w:vMerge w:val="restart"/>
            <w:tcBorders>
              <w:top w:val="single" w:sz="6" w:space="0" w:color="auto"/>
            </w:tcBorders>
          </w:tcPr>
          <w:p w:rsidR="00B40966" w:rsidRDefault="00B40966">
            <w:pPr>
              <w:pStyle w:val="TableColHd"/>
            </w:pPr>
            <w:r>
              <w:t>minimum nominal ultimate tensile strength (t/in</w:t>
            </w:r>
            <w:r>
              <w:rPr>
                <w:vertAlign w:val="superscript"/>
              </w:rPr>
              <w:t>2</w:t>
            </w:r>
            <w:r>
              <w:t>)</w:t>
            </w:r>
          </w:p>
        </w:tc>
      </w:tr>
      <w:tr w:rsidR="00B40966">
        <w:trPr>
          <w:cantSplit/>
          <w:tblHeader/>
        </w:trPr>
        <w:tc>
          <w:tcPr>
            <w:tcW w:w="3860" w:type="dxa"/>
            <w:tcBorders>
              <w:bottom w:val="single" w:sz="2" w:space="0" w:color="auto"/>
            </w:tcBorders>
          </w:tcPr>
          <w:p w:rsidR="00B40966" w:rsidRDefault="00B40966">
            <w:pPr>
              <w:pStyle w:val="TableColHd"/>
            </w:pPr>
            <w:r>
              <w:t>material</w:t>
            </w:r>
          </w:p>
        </w:tc>
        <w:tc>
          <w:tcPr>
            <w:tcW w:w="900" w:type="dxa"/>
            <w:tcBorders>
              <w:left w:val="single" w:sz="2" w:space="0" w:color="auto"/>
              <w:bottom w:val="single" w:sz="2" w:space="0" w:color="auto"/>
            </w:tcBorders>
          </w:tcPr>
          <w:p w:rsidR="00B40966" w:rsidRDefault="00B40966">
            <w:pPr>
              <w:pStyle w:val="TableColHd"/>
              <w:rPr>
                <w:sz w:val="16"/>
              </w:rPr>
            </w:pPr>
            <w:r>
              <w:rPr>
                <w:sz w:val="16"/>
              </w:rPr>
              <w:t>tensile</w:t>
            </w:r>
          </w:p>
        </w:tc>
        <w:tc>
          <w:tcPr>
            <w:tcW w:w="720" w:type="dxa"/>
            <w:tcBorders>
              <w:bottom w:val="single" w:sz="2" w:space="0" w:color="auto"/>
              <w:right w:val="single" w:sz="2" w:space="0" w:color="auto"/>
            </w:tcBorders>
          </w:tcPr>
          <w:p w:rsidR="00B40966" w:rsidRDefault="00B40966">
            <w:pPr>
              <w:pStyle w:val="TableColHd"/>
              <w:rPr>
                <w:sz w:val="16"/>
              </w:rPr>
            </w:pPr>
            <w:r>
              <w:rPr>
                <w:sz w:val="16"/>
              </w:rPr>
              <w:t>shear</w:t>
            </w:r>
          </w:p>
        </w:tc>
        <w:tc>
          <w:tcPr>
            <w:tcW w:w="1080" w:type="dxa"/>
            <w:tcBorders>
              <w:left w:val="single" w:sz="2" w:space="0" w:color="auto"/>
              <w:bottom w:val="single" w:sz="2" w:space="0" w:color="auto"/>
              <w:right w:val="single" w:sz="2" w:space="0" w:color="auto"/>
            </w:tcBorders>
          </w:tcPr>
          <w:p w:rsidR="00B40966" w:rsidRDefault="00B40966">
            <w:pPr>
              <w:pStyle w:val="TableColHd"/>
              <w:rPr>
                <w:sz w:val="16"/>
              </w:rPr>
            </w:pPr>
            <w:r>
              <w:rPr>
                <w:sz w:val="16"/>
              </w:rPr>
              <w:t>transverse*</w:t>
            </w:r>
          </w:p>
        </w:tc>
        <w:tc>
          <w:tcPr>
            <w:tcW w:w="1020" w:type="dxa"/>
            <w:tcBorders>
              <w:left w:val="single" w:sz="2" w:space="0" w:color="auto"/>
              <w:bottom w:val="single" w:sz="2" w:space="0" w:color="auto"/>
              <w:right w:val="single" w:sz="2" w:space="0" w:color="auto"/>
            </w:tcBorders>
          </w:tcPr>
          <w:p w:rsidR="00B40966" w:rsidRDefault="00B40966">
            <w:pPr>
              <w:pStyle w:val="TableColHd"/>
              <w:rPr>
                <w:sz w:val="16"/>
              </w:rPr>
            </w:pPr>
            <w:r>
              <w:rPr>
                <w:sz w:val="16"/>
              </w:rPr>
              <w:t>torsional†</w:t>
            </w:r>
          </w:p>
        </w:tc>
        <w:tc>
          <w:tcPr>
            <w:tcW w:w="1080" w:type="dxa"/>
            <w:vMerge/>
            <w:tcBorders>
              <w:left w:val="single" w:sz="2" w:space="0" w:color="auto"/>
              <w:bottom w:val="single" w:sz="2" w:space="0" w:color="auto"/>
              <w:right w:val="single" w:sz="2" w:space="0" w:color="auto"/>
            </w:tcBorders>
          </w:tcPr>
          <w:p w:rsidR="00B40966" w:rsidRDefault="00B40966">
            <w:pPr>
              <w:rPr>
                <w:sz w:val="18"/>
              </w:rPr>
            </w:pPr>
          </w:p>
        </w:tc>
        <w:tc>
          <w:tcPr>
            <w:tcW w:w="1040" w:type="dxa"/>
            <w:vMerge/>
            <w:tcBorders>
              <w:left w:val="single" w:sz="2" w:space="0" w:color="auto"/>
              <w:bottom w:val="single" w:sz="2" w:space="0" w:color="auto"/>
              <w:right w:val="single" w:sz="2" w:space="0" w:color="auto"/>
            </w:tcBorders>
          </w:tcPr>
          <w:p w:rsidR="00B40966" w:rsidRDefault="00B40966">
            <w:pPr>
              <w:rPr>
                <w:sz w:val="18"/>
              </w:rPr>
            </w:pPr>
          </w:p>
        </w:tc>
        <w:tc>
          <w:tcPr>
            <w:tcW w:w="1560" w:type="dxa"/>
            <w:vMerge/>
            <w:tcBorders>
              <w:bottom w:val="single" w:sz="2" w:space="0" w:color="auto"/>
            </w:tcBorders>
          </w:tcPr>
          <w:p w:rsidR="00B40966" w:rsidRDefault="00B40966">
            <w:pPr>
              <w:jc w:val="right"/>
              <w:rPr>
                <w:sz w:val="18"/>
              </w:rPr>
            </w:pPr>
          </w:p>
        </w:tc>
      </w:tr>
      <w:tr w:rsidR="00B40966">
        <w:trPr>
          <w:cantSplit/>
        </w:trPr>
        <w:tc>
          <w:tcPr>
            <w:tcW w:w="3860" w:type="dxa"/>
            <w:tcBorders>
              <w:top w:val="single" w:sz="2" w:space="0" w:color="auto"/>
            </w:tcBorders>
          </w:tcPr>
          <w:p w:rsidR="00B40966" w:rsidRDefault="00B40966">
            <w:pPr>
              <w:pStyle w:val="TableText"/>
              <w:rPr>
                <w:sz w:val="20"/>
              </w:rPr>
            </w:pPr>
            <w:r>
              <w:rPr>
                <w:sz w:val="20"/>
              </w:rPr>
              <w:t>mild steel</w:t>
            </w:r>
          </w:p>
        </w:tc>
        <w:tc>
          <w:tcPr>
            <w:tcW w:w="900" w:type="dxa"/>
            <w:tcBorders>
              <w:top w:val="single" w:sz="2" w:space="0" w:color="auto"/>
              <w:left w:val="single" w:sz="2" w:space="0" w:color="auto"/>
            </w:tcBorders>
          </w:tcPr>
          <w:p w:rsidR="00B40966" w:rsidRDefault="00B40966">
            <w:pPr>
              <w:pStyle w:val="TableText"/>
            </w:pPr>
            <w:r>
              <w:t>17</w:t>
            </w:r>
          </w:p>
        </w:tc>
        <w:tc>
          <w:tcPr>
            <w:tcW w:w="720" w:type="dxa"/>
            <w:tcBorders>
              <w:top w:val="single" w:sz="2" w:space="0" w:color="auto"/>
              <w:right w:val="single" w:sz="2" w:space="0" w:color="auto"/>
            </w:tcBorders>
          </w:tcPr>
          <w:p w:rsidR="00B40966" w:rsidRDefault="00B40966">
            <w:pPr>
              <w:pStyle w:val="TableText"/>
            </w:pPr>
            <w:r>
              <w:t>10.2</w:t>
            </w:r>
          </w:p>
        </w:tc>
        <w:tc>
          <w:tcPr>
            <w:tcW w:w="1080" w:type="dxa"/>
            <w:tcBorders>
              <w:top w:val="single" w:sz="2" w:space="0" w:color="auto"/>
              <w:left w:val="single" w:sz="2" w:space="0" w:color="auto"/>
              <w:right w:val="single" w:sz="2" w:space="0" w:color="auto"/>
            </w:tcBorders>
          </w:tcPr>
          <w:p w:rsidR="00B40966" w:rsidRDefault="00B40966">
            <w:pPr>
              <w:pStyle w:val="TableText"/>
            </w:pPr>
            <w:r>
              <w:t>12.5</w:t>
            </w:r>
          </w:p>
        </w:tc>
        <w:tc>
          <w:tcPr>
            <w:tcW w:w="1020" w:type="dxa"/>
            <w:tcBorders>
              <w:top w:val="single" w:sz="2" w:space="0" w:color="auto"/>
              <w:left w:val="single" w:sz="2" w:space="0" w:color="auto"/>
              <w:right w:val="single" w:sz="2" w:space="0" w:color="auto"/>
            </w:tcBorders>
          </w:tcPr>
          <w:p w:rsidR="00B40966" w:rsidRDefault="00B40966">
            <w:pPr>
              <w:pStyle w:val="TableText"/>
            </w:pPr>
            <w:r>
              <w:t>6.3</w:t>
            </w:r>
          </w:p>
        </w:tc>
        <w:tc>
          <w:tcPr>
            <w:tcW w:w="1080" w:type="dxa"/>
            <w:tcBorders>
              <w:top w:val="single" w:sz="2" w:space="0" w:color="auto"/>
              <w:left w:val="single" w:sz="2" w:space="0" w:color="auto"/>
              <w:right w:val="single" w:sz="2" w:space="0" w:color="auto"/>
            </w:tcBorders>
          </w:tcPr>
          <w:p w:rsidR="00B40966" w:rsidRDefault="00B40966">
            <w:pPr>
              <w:pStyle w:val="TableText"/>
            </w:pPr>
            <w:r>
              <w:t>13 000</w:t>
            </w:r>
          </w:p>
        </w:tc>
        <w:tc>
          <w:tcPr>
            <w:tcW w:w="1040" w:type="dxa"/>
            <w:tcBorders>
              <w:top w:val="single" w:sz="2" w:space="0" w:color="auto"/>
              <w:left w:val="single" w:sz="2" w:space="0" w:color="auto"/>
              <w:right w:val="single" w:sz="2" w:space="0" w:color="auto"/>
            </w:tcBorders>
          </w:tcPr>
          <w:p w:rsidR="00B40966" w:rsidRDefault="00B40966">
            <w:pPr>
              <w:pStyle w:val="TableText"/>
            </w:pPr>
            <w:r>
              <w:t>5 200</w:t>
            </w:r>
          </w:p>
        </w:tc>
        <w:tc>
          <w:tcPr>
            <w:tcW w:w="1560" w:type="dxa"/>
            <w:tcBorders>
              <w:top w:val="single" w:sz="2" w:space="0" w:color="auto"/>
            </w:tcBorders>
          </w:tcPr>
          <w:p w:rsidR="00B40966" w:rsidRDefault="00B40966">
            <w:pPr>
              <w:pStyle w:val="TableText"/>
            </w:pPr>
            <w:r>
              <w:t>28</w:t>
            </w:r>
          </w:p>
        </w:tc>
      </w:tr>
      <w:tr w:rsidR="00B40966">
        <w:trPr>
          <w:cantSplit/>
        </w:trPr>
        <w:tc>
          <w:tcPr>
            <w:tcW w:w="3860" w:type="dxa"/>
          </w:tcPr>
          <w:p w:rsidR="00B40966" w:rsidRDefault="00B40966">
            <w:pPr>
              <w:pStyle w:val="TableText"/>
              <w:rPr>
                <w:sz w:val="20"/>
              </w:rPr>
            </w:pPr>
            <w:r>
              <w:rPr>
                <w:sz w:val="20"/>
              </w:rPr>
              <w:t>high tensile structural steel conforming to British Standard Specification No 548—1934</w:t>
            </w:r>
          </w:p>
        </w:tc>
        <w:tc>
          <w:tcPr>
            <w:tcW w:w="900" w:type="dxa"/>
            <w:tcBorders>
              <w:left w:val="single" w:sz="2" w:space="0" w:color="auto"/>
            </w:tcBorders>
          </w:tcPr>
          <w:p w:rsidR="00B40966" w:rsidRDefault="00B40966">
            <w:pPr>
              <w:pStyle w:val="TableText"/>
            </w:pPr>
            <w:r>
              <w:t>20</w:t>
            </w:r>
          </w:p>
        </w:tc>
        <w:tc>
          <w:tcPr>
            <w:tcW w:w="720" w:type="dxa"/>
            <w:tcBorders>
              <w:right w:val="single" w:sz="2" w:space="0" w:color="auto"/>
            </w:tcBorders>
          </w:tcPr>
          <w:p w:rsidR="00B40966" w:rsidRDefault="00B40966">
            <w:pPr>
              <w:pStyle w:val="TableText"/>
            </w:pPr>
            <w:r>
              <w:t>12</w:t>
            </w:r>
          </w:p>
        </w:tc>
        <w:tc>
          <w:tcPr>
            <w:tcW w:w="1080" w:type="dxa"/>
            <w:tcBorders>
              <w:left w:val="single" w:sz="2" w:space="0" w:color="auto"/>
              <w:right w:val="single" w:sz="2" w:space="0" w:color="auto"/>
            </w:tcBorders>
          </w:tcPr>
          <w:p w:rsidR="00B40966" w:rsidRDefault="00B40966">
            <w:pPr>
              <w:pStyle w:val="TableText"/>
            </w:pPr>
            <w:r>
              <w:t>15</w:t>
            </w:r>
          </w:p>
        </w:tc>
        <w:tc>
          <w:tcPr>
            <w:tcW w:w="1020" w:type="dxa"/>
            <w:tcBorders>
              <w:left w:val="single" w:sz="2" w:space="0" w:color="auto"/>
              <w:right w:val="single" w:sz="2" w:space="0" w:color="auto"/>
            </w:tcBorders>
          </w:tcPr>
          <w:p w:rsidR="00B40966" w:rsidRDefault="00B40966">
            <w:pPr>
              <w:pStyle w:val="TableText"/>
            </w:pPr>
            <w:r>
              <w:t>7.5</w:t>
            </w:r>
          </w:p>
        </w:tc>
        <w:tc>
          <w:tcPr>
            <w:tcW w:w="1080" w:type="dxa"/>
            <w:tcBorders>
              <w:left w:val="single" w:sz="2" w:space="0" w:color="auto"/>
              <w:right w:val="single" w:sz="2" w:space="0" w:color="auto"/>
            </w:tcBorders>
          </w:tcPr>
          <w:p w:rsidR="00B40966" w:rsidRDefault="00B40966">
            <w:pPr>
              <w:pStyle w:val="TableText"/>
            </w:pPr>
            <w:r>
              <w:t xml:space="preserve">13 000 </w:t>
            </w:r>
          </w:p>
        </w:tc>
        <w:tc>
          <w:tcPr>
            <w:tcW w:w="1040" w:type="dxa"/>
            <w:tcBorders>
              <w:left w:val="single" w:sz="2" w:space="0" w:color="auto"/>
              <w:right w:val="single" w:sz="2" w:space="0" w:color="auto"/>
            </w:tcBorders>
          </w:tcPr>
          <w:p w:rsidR="00B40966" w:rsidRDefault="00B40966">
            <w:pPr>
              <w:pStyle w:val="TableText"/>
            </w:pPr>
            <w:r>
              <w:t>5 200</w:t>
            </w:r>
          </w:p>
        </w:tc>
        <w:tc>
          <w:tcPr>
            <w:tcW w:w="1560" w:type="dxa"/>
          </w:tcPr>
          <w:p w:rsidR="00B40966" w:rsidRDefault="00B40966">
            <w:pPr>
              <w:pStyle w:val="TableText"/>
            </w:pPr>
            <w:r>
              <w:t>37</w:t>
            </w:r>
          </w:p>
        </w:tc>
      </w:tr>
      <w:tr w:rsidR="00B40966">
        <w:trPr>
          <w:cantSplit/>
        </w:trPr>
        <w:tc>
          <w:tcPr>
            <w:tcW w:w="3860" w:type="dxa"/>
          </w:tcPr>
          <w:p w:rsidR="00B40966" w:rsidRDefault="00B40966">
            <w:pPr>
              <w:pStyle w:val="TableText"/>
              <w:rPr>
                <w:sz w:val="20"/>
              </w:rPr>
            </w:pPr>
            <w:r>
              <w:rPr>
                <w:sz w:val="20"/>
              </w:rPr>
              <w:t>high tensile structural steel conforming to British Standard Specification No 968—1941</w:t>
            </w:r>
          </w:p>
        </w:tc>
        <w:tc>
          <w:tcPr>
            <w:tcW w:w="900" w:type="dxa"/>
            <w:tcBorders>
              <w:left w:val="single" w:sz="2" w:space="0" w:color="auto"/>
            </w:tcBorders>
          </w:tcPr>
          <w:p w:rsidR="00B40966" w:rsidRDefault="00B40966">
            <w:pPr>
              <w:pStyle w:val="TableText"/>
            </w:pPr>
            <w:r>
              <w:t>18</w:t>
            </w:r>
          </w:p>
        </w:tc>
        <w:tc>
          <w:tcPr>
            <w:tcW w:w="720" w:type="dxa"/>
            <w:tcBorders>
              <w:right w:val="single" w:sz="2" w:space="0" w:color="auto"/>
            </w:tcBorders>
          </w:tcPr>
          <w:p w:rsidR="00B40966" w:rsidRDefault="00B40966">
            <w:pPr>
              <w:pStyle w:val="TableText"/>
            </w:pPr>
            <w:r>
              <w:t>10.8</w:t>
            </w:r>
          </w:p>
        </w:tc>
        <w:tc>
          <w:tcPr>
            <w:tcW w:w="1080" w:type="dxa"/>
            <w:tcBorders>
              <w:left w:val="single" w:sz="2" w:space="0" w:color="auto"/>
              <w:right w:val="single" w:sz="2" w:space="0" w:color="auto"/>
            </w:tcBorders>
          </w:tcPr>
          <w:p w:rsidR="00B40966" w:rsidRDefault="00B40966">
            <w:pPr>
              <w:pStyle w:val="TableText"/>
            </w:pPr>
            <w:r>
              <w:t>13.25</w:t>
            </w:r>
          </w:p>
        </w:tc>
        <w:tc>
          <w:tcPr>
            <w:tcW w:w="1020" w:type="dxa"/>
            <w:tcBorders>
              <w:left w:val="single" w:sz="2" w:space="0" w:color="auto"/>
              <w:right w:val="single" w:sz="2" w:space="0" w:color="auto"/>
            </w:tcBorders>
          </w:tcPr>
          <w:p w:rsidR="00B40966" w:rsidRDefault="00B40966">
            <w:pPr>
              <w:pStyle w:val="TableText"/>
            </w:pPr>
            <w:r>
              <w:t>6.6</w:t>
            </w:r>
          </w:p>
        </w:tc>
        <w:tc>
          <w:tcPr>
            <w:tcW w:w="1080" w:type="dxa"/>
            <w:tcBorders>
              <w:left w:val="single" w:sz="2" w:space="0" w:color="auto"/>
              <w:right w:val="single" w:sz="2" w:space="0" w:color="auto"/>
            </w:tcBorders>
          </w:tcPr>
          <w:p w:rsidR="00B40966" w:rsidRDefault="00B40966">
            <w:pPr>
              <w:pStyle w:val="TableText"/>
            </w:pPr>
            <w:r>
              <w:t>13 000</w:t>
            </w:r>
          </w:p>
        </w:tc>
        <w:tc>
          <w:tcPr>
            <w:tcW w:w="1040" w:type="dxa"/>
            <w:tcBorders>
              <w:left w:val="single" w:sz="2" w:space="0" w:color="auto"/>
              <w:right w:val="single" w:sz="2" w:space="0" w:color="auto"/>
            </w:tcBorders>
          </w:tcPr>
          <w:p w:rsidR="00B40966" w:rsidRDefault="00B40966">
            <w:pPr>
              <w:pStyle w:val="TableText"/>
            </w:pPr>
            <w:r>
              <w:t>5 200</w:t>
            </w:r>
          </w:p>
        </w:tc>
        <w:tc>
          <w:tcPr>
            <w:tcW w:w="1560" w:type="dxa"/>
          </w:tcPr>
          <w:p w:rsidR="00B40966" w:rsidRDefault="00B40966">
            <w:pPr>
              <w:pStyle w:val="TableText"/>
            </w:pPr>
            <w:r>
              <w:t>33</w:t>
            </w:r>
          </w:p>
        </w:tc>
      </w:tr>
      <w:tr w:rsidR="00B40966">
        <w:trPr>
          <w:cantSplit/>
        </w:trPr>
        <w:tc>
          <w:tcPr>
            <w:tcW w:w="3860" w:type="dxa"/>
          </w:tcPr>
          <w:p w:rsidR="00B40966" w:rsidRDefault="00B40966">
            <w:pPr>
              <w:pStyle w:val="TableText"/>
              <w:rPr>
                <w:sz w:val="20"/>
              </w:rPr>
            </w:pPr>
            <w:r>
              <w:rPr>
                <w:sz w:val="20"/>
              </w:rPr>
              <w:t>cast steel (annealed)</w:t>
            </w:r>
          </w:p>
        </w:tc>
        <w:tc>
          <w:tcPr>
            <w:tcW w:w="900" w:type="dxa"/>
            <w:tcBorders>
              <w:left w:val="single" w:sz="2" w:space="0" w:color="auto"/>
            </w:tcBorders>
          </w:tcPr>
          <w:p w:rsidR="00B40966" w:rsidRDefault="00B40966">
            <w:pPr>
              <w:pStyle w:val="TableText"/>
            </w:pPr>
            <w:r>
              <w:t>17.5</w:t>
            </w:r>
          </w:p>
        </w:tc>
        <w:tc>
          <w:tcPr>
            <w:tcW w:w="720" w:type="dxa"/>
            <w:tcBorders>
              <w:right w:val="single" w:sz="2" w:space="0" w:color="auto"/>
            </w:tcBorders>
          </w:tcPr>
          <w:p w:rsidR="00B40966" w:rsidRDefault="00B40966">
            <w:pPr>
              <w:pStyle w:val="TableText"/>
            </w:pPr>
            <w:r>
              <w:t>10.5</w:t>
            </w:r>
          </w:p>
        </w:tc>
        <w:tc>
          <w:tcPr>
            <w:tcW w:w="1080" w:type="dxa"/>
            <w:tcBorders>
              <w:left w:val="single" w:sz="2" w:space="0" w:color="auto"/>
              <w:right w:val="single" w:sz="2" w:space="0" w:color="auto"/>
            </w:tcBorders>
          </w:tcPr>
          <w:p w:rsidR="00B40966" w:rsidRDefault="00B40966">
            <w:pPr>
              <w:pStyle w:val="TableText"/>
            </w:pPr>
            <w:r>
              <w:t>15</w:t>
            </w:r>
          </w:p>
        </w:tc>
        <w:tc>
          <w:tcPr>
            <w:tcW w:w="1020" w:type="dxa"/>
            <w:tcBorders>
              <w:left w:val="single" w:sz="2" w:space="0" w:color="auto"/>
              <w:right w:val="single" w:sz="2" w:space="0" w:color="auto"/>
            </w:tcBorders>
          </w:tcPr>
          <w:p w:rsidR="00B40966" w:rsidRDefault="00B40966">
            <w:pPr>
              <w:pStyle w:val="TableText"/>
            </w:pPr>
            <w:r>
              <w:t>7.5</w:t>
            </w:r>
          </w:p>
        </w:tc>
        <w:tc>
          <w:tcPr>
            <w:tcW w:w="1080" w:type="dxa"/>
            <w:tcBorders>
              <w:left w:val="single" w:sz="2" w:space="0" w:color="auto"/>
              <w:right w:val="single" w:sz="2" w:space="0" w:color="auto"/>
            </w:tcBorders>
          </w:tcPr>
          <w:p w:rsidR="00B40966" w:rsidRDefault="00B40966">
            <w:pPr>
              <w:pStyle w:val="TableText"/>
            </w:pPr>
            <w:r>
              <w:t>13 000</w:t>
            </w:r>
          </w:p>
        </w:tc>
        <w:tc>
          <w:tcPr>
            <w:tcW w:w="1040" w:type="dxa"/>
            <w:tcBorders>
              <w:left w:val="single" w:sz="2" w:space="0" w:color="auto"/>
              <w:right w:val="single" w:sz="2" w:space="0" w:color="auto"/>
            </w:tcBorders>
          </w:tcPr>
          <w:p w:rsidR="00B40966" w:rsidRDefault="00B40966">
            <w:pPr>
              <w:pStyle w:val="TableText"/>
            </w:pPr>
            <w:r>
              <w:t>5 200</w:t>
            </w:r>
          </w:p>
        </w:tc>
        <w:tc>
          <w:tcPr>
            <w:tcW w:w="1560" w:type="dxa"/>
          </w:tcPr>
          <w:p w:rsidR="00B40966" w:rsidRDefault="00B40966">
            <w:pPr>
              <w:pStyle w:val="TableText"/>
            </w:pPr>
            <w:r>
              <w:t>35</w:t>
            </w:r>
          </w:p>
        </w:tc>
      </w:tr>
      <w:tr w:rsidR="00B40966">
        <w:trPr>
          <w:cantSplit/>
        </w:trPr>
        <w:tc>
          <w:tcPr>
            <w:tcW w:w="3860" w:type="dxa"/>
          </w:tcPr>
          <w:p w:rsidR="00B40966" w:rsidRDefault="00B40966">
            <w:pPr>
              <w:pStyle w:val="TableText"/>
              <w:rPr>
                <w:sz w:val="20"/>
              </w:rPr>
            </w:pPr>
            <w:r>
              <w:rPr>
                <w:sz w:val="20"/>
              </w:rPr>
              <w:t>malleable cast iron (‘black heart’)</w:t>
            </w:r>
          </w:p>
        </w:tc>
        <w:tc>
          <w:tcPr>
            <w:tcW w:w="900" w:type="dxa"/>
            <w:tcBorders>
              <w:left w:val="single" w:sz="2" w:space="0" w:color="auto"/>
            </w:tcBorders>
          </w:tcPr>
          <w:p w:rsidR="00B40966" w:rsidRDefault="00B40966">
            <w:pPr>
              <w:pStyle w:val="TableText"/>
            </w:pPr>
            <w:r>
              <w:t>9</w:t>
            </w:r>
          </w:p>
        </w:tc>
        <w:tc>
          <w:tcPr>
            <w:tcW w:w="720" w:type="dxa"/>
            <w:tcBorders>
              <w:right w:val="single" w:sz="2" w:space="0" w:color="auto"/>
            </w:tcBorders>
          </w:tcPr>
          <w:p w:rsidR="00B40966" w:rsidRDefault="00B40966">
            <w:pPr>
              <w:pStyle w:val="TableText"/>
            </w:pPr>
            <w:r>
              <w:t>4.5</w:t>
            </w:r>
          </w:p>
        </w:tc>
        <w:tc>
          <w:tcPr>
            <w:tcW w:w="1080" w:type="dxa"/>
            <w:tcBorders>
              <w:left w:val="single" w:sz="2" w:space="0" w:color="auto"/>
              <w:right w:val="single" w:sz="2" w:space="0" w:color="auto"/>
            </w:tcBorders>
          </w:tcPr>
          <w:p w:rsidR="00B40966" w:rsidRDefault="00B40966">
            <w:pPr>
              <w:pStyle w:val="TableText"/>
            </w:pPr>
            <w:r>
              <w:t>11</w:t>
            </w:r>
          </w:p>
        </w:tc>
        <w:tc>
          <w:tcPr>
            <w:tcW w:w="1020" w:type="dxa"/>
            <w:tcBorders>
              <w:left w:val="single" w:sz="2" w:space="0" w:color="auto"/>
              <w:right w:val="single" w:sz="2" w:space="0" w:color="auto"/>
            </w:tcBorders>
          </w:tcPr>
          <w:p w:rsidR="00B40966" w:rsidRDefault="00B40966">
            <w:pPr>
              <w:pStyle w:val="TableText"/>
            </w:pPr>
            <w:r>
              <w:t>5.5</w:t>
            </w:r>
          </w:p>
        </w:tc>
        <w:tc>
          <w:tcPr>
            <w:tcW w:w="1080" w:type="dxa"/>
            <w:tcBorders>
              <w:left w:val="single" w:sz="2" w:space="0" w:color="auto"/>
              <w:right w:val="single" w:sz="2" w:space="0" w:color="auto"/>
            </w:tcBorders>
          </w:tcPr>
          <w:p w:rsidR="00B40966" w:rsidRDefault="00B40966">
            <w:pPr>
              <w:pStyle w:val="TableText"/>
            </w:pPr>
            <w:r>
              <w:t>11 200</w:t>
            </w:r>
          </w:p>
        </w:tc>
        <w:tc>
          <w:tcPr>
            <w:tcW w:w="1040" w:type="dxa"/>
            <w:tcBorders>
              <w:left w:val="single" w:sz="2" w:space="0" w:color="auto"/>
              <w:right w:val="single" w:sz="2" w:space="0" w:color="auto"/>
            </w:tcBorders>
          </w:tcPr>
          <w:p w:rsidR="00B40966" w:rsidRDefault="00B40966">
            <w:pPr>
              <w:pStyle w:val="TableText"/>
            </w:pPr>
            <w:r>
              <w:t>4 480</w:t>
            </w:r>
          </w:p>
        </w:tc>
        <w:tc>
          <w:tcPr>
            <w:tcW w:w="1560" w:type="dxa"/>
          </w:tcPr>
          <w:p w:rsidR="00B40966" w:rsidRDefault="00B40966">
            <w:pPr>
              <w:pStyle w:val="TableText"/>
            </w:pPr>
            <w:r>
              <w:t>22.3</w:t>
            </w:r>
          </w:p>
        </w:tc>
      </w:tr>
      <w:tr w:rsidR="00B40966">
        <w:trPr>
          <w:cantSplit/>
        </w:trPr>
        <w:tc>
          <w:tcPr>
            <w:tcW w:w="3860" w:type="dxa"/>
          </w:tcPr>
          <w:p w:rsidR="00B40966" w:rsidRDefault="00B40966">
            <w:pPr>
              <w:pStyle w:val="TableText"/>
              <w:rPr>
                <w:sz w:val="20"/>
              </w:rPr>
            </w:pPr>
            <w:r>
              <w:rPr>
                <w:sz w:val="20"/>
              </w:rPr>
              <w:t>good grey cast iron</w:t>
            </w:r>
          </w:p>
        </w:tc>
        <w:tc>
          <w:tcPr>
            <w:tcW w:w="900" w:type="dxa"/>
            <w:tcBorders>
              <w:left w:val="single" w:sz="2" w:space="0" w:color="auto"/>
            </w:tcBorders>
          </w:tcPr>
          <w:p w:rsidR="00B40966" w:rsidRDefault="00B40966">
            <w:pPr>
              <w:pStyle w:val="TableText"/>
            </w:pPr>
            <w:r>
              <w:t>3</w:t>
            </w:r>
          </w:p>
        </w:tc>
        <w:tc>
          <w:tcPr>
            <w:tcW w:w="720" w:type="dxa"/>
            <w:tcBorders>
              <w:right w:val="single" w:sz="2" w:space="0" w:color="auto"/>
            </w:tcBorders>
          </w:tcPr>
          <w:p w:rsidR="00B40966" w:rsidRDefault="00B40966">
            <w:pPr>
              <w:pStyle w:val="TableText"/>
            </w:pPr>
            <w:r>
              <w:t>2.9</w:t>
            </w:r>
          </w:p>
        </w:tc>
        <w:tc>
          <w:tcPr>
            <w:tcW w:w="1080" w:type="dxa"/>
            <w:tcBorders>
              <w:left w:val="single" w:sz="2" w:space="0" w:color="auto"/>
              <w:right w:val="single" w:sz="2" w:space="0" w:color="auto"/>
            </w:tcBorders>
          </w:tcPr>
          <w:p w:rsidR="00B40966" w:rsidRDefault="00B40966">
            <w:pPr>
              <w:pStyle w:val="TableText"/>
            </w:pPr>
            <w:r>
              <w:t>5.3</w:t>
            </w:r>
          </w:p>
        </w:tc>
        <w:tc>
          <w:tcPr>
            <w:tcW w:w="1020" w:type="dxa"/>
            <w:tcBorders>
              <w:left w:val="single" w:sz="2" w:space="0" w:color="auto"/>
              <w:right w:val="single" w:sz="2" w:space="0" w:color="auto"/>
            </w:tcBorders>
          </w:tcPr>
          <w:p w:rsidR="00B40966" w:rsidRDefault="00B40966">
            <w:pPr>
              <w:pStyle w:val="TableText"/>
            </w:pPr>
            <w:r>
              <w:t>4.25</w:t>
            </w:r>
          </w:p>
        </w:tc>
        <w:tc>
          <w:tcPr>
            <w:tcW w:w="1080" w:type="dxa"/>
            <w:tcBorders>
              <w:left w:val="single" w:sz="2" w:space="0" w:color="auto"/>
              <w:right w:val="single" w:sz="2" w:space="0" w:color="auto"/>
            </w:tcBorders>
          </w:tcPr>
          <w:p w:rsidR="00B40966" w:rsidRDefault="00B40966">
            <w:pPr>
              <w:pStyle w:val="TableText"/>
            </w:pPr>
            <w:r>
              <w:t>6 700</w:t>
            </w:r>
          </w:p>
        </w:tc>
        <w:tc>
          <w:tcPr>
            <w:tcW w:w="1040" w:type="dxa"/>
            <w:tcBorders>
              <w:left w:val="single" w:sz="2" w:space="0" w:color="auto"/>
              <w:right w:val="single" w:sz="2" w:space="0" w:color="auto"/>
            </w:tcBorders>
          </w:tcPr>
          <w:p w:rsidR="00B40966" w:rsidRDefault="00B40966">
            <w:pPr>
              <w:pStyle w:val="TableText"/>
            </w:pPr>
            <w:r>
              <w:t>2 680</w:t>
            </w:r>
          </w:p>
        </w:tc>
        <w:tc>
          <w:tcPr>
            <w:tcW w:w="1560" w:type="dxa"/>
          </w:tcPr>
          <w:p w:rsidR="00B40966" w:rsidRDefault="00B40966">
            <w:pPr>
              <w:pStyle w:val="TableText"/>
            </w:pPr>
            <w:r>
              <w:t>10</w:t>
            </w:r>
          </w:p>
        </w:tc>
      </w:tr>
      <w:tr w:rsidR="00B40966">
        <w:trPr>
          <w:cantSplit/>
        </w:trPr>
        <w:tc>
          <w:tcPr>
            <w:tcW w:w="3860" w:type="dxa"/>
          </w:tcPr>
          <w:p w:rsidR="00B40966" w:rsidRDefault="00B40966">
            <w:pPr>
              <w:pStyle w:val="TableText"/>
              <w:rPr>
                <w:sz w:val="20"/>
              </w:rPr>
            </w:pPr>
            <w:r>
              <w:rPr>
                <w:sz w:val="20"/>
              </w:rPr>
              <w:t>phospur bronze (89 copper 11 tin)</w:t>
            </w:r>
          </w:p>
        </w:tc>
        <w:tc>
          <w:tcPr>
            <w:tcW w:w="900" w:type="dxa"/>
            <w:tcBorders>
              <w:left w:val="single" w:sz="2" w:space="0" w:color="auto"/>
            </w:tcBorders>
          </w:tcPr>
          <w:p w:rsidR="00B40966" w:rsidRDefault="00B40966">
            <w:pPr>
              <w:pStyle w:val="TableText"/>
            </w:pPr>
            <w:r>
              <w:t>8.7</w:t>
            </w:r>
          </w:p>
        </w:tc>
        <w:tc>
          <w:tcPr>
            <w:tcW w:w="720" w:type="dxa"/>
            <w:tcBorders>
              <w:right w:val="single" w:sz="2" w:space="0" w:color="auto"/>
            </w:tcBorders>
          </w:tcPr>
          <w:p w:rsidR="00B40966" w:rsidRDefault="00B40966">
            <w:pPr>
              <w:pStyle w:val="TableText"/>
            </w:pPr>
            <w:r>
              <w:t>5.2</w:t>
            </w:r>
          </w:p>
        </w:tc>
        <w:tc>
          <w:tcPr>
            <w:tcW w:w="1080" w:type="dxa"/>
            <w:tcBorders>
              <w:left w:val="single" w:sz="2" w:space="0" w:color="auto"/>
              <w:right w:val="single" w:sz="2" w:space="0" w:color="auto"/>
            </w:tcBorders>
          </w:tcPr>
          <w:p w:rsidR="00B40966" w:rsidRDefault="00B40966">
            <w:pPr>
              <w:pStyle w:val="TableText"/>
            </w:pPr>
            <w:r>
              <w:t>10.7</w:t>
            </w:r>
          </w:p>
        </w:tc>
        <w:tc>
          <w:tcPr>
            <w:tcW w:w="1020" w:type="dxa"/>
            <w:tcBorders>
              <w:left w:val="single" w:sz="2" w:space="0" w:color="auto"/>
              <w:right w:val="single" w:sz="2" w:space="0" w:color="auto"/>
            </w:tcBorders>
          </w:tcPr>
          <w:p w:rsidR="00B40966" w:rsidRDefault="00B40966">
            <w:pPr>
              <w:pStyle w:val="TableText"/>
            </w:pPr>
            <w:r>
              <w:t>8.5</w:t>
            </w:r>
          </w:p>
        </w:tc>
        <w:tc>
          <w:tcPr>
            <w:tcW w:w="1080" w:type="dxa"/>
            <w:tcBorders>
              <w:left w:val="single" w:sz="2" w:space="0" w:color="auto"/>
              <w:right w:val="single" w:sz="2" w:space="0" w:color="auto"/>
            </w:tcBorders>
          </w:tcPr>
          <w:p w:rsidR="00B40966" w:rsidRDefault="00B40966">
            <w:pPr>
              <w:pStyle w:val="TableText"/>
            </w:pPr>
            <w:r>
              <w:t>5 540</w:t>
            </w:r>
          </w:p>
        </w:tc>
        <w:tc>
          <w:tcPr>
            <w:tcW w:w="1040" w:type="dxa"/>
            <w:tcBorders>
              <w:left w:val="single" w:sz="2" w:space="0" w:color="auto"/>
              <w:right w:val="single" w:sz="2" w:space="0" w:color="auto"/>
            </w:tcBorders>
          </w:tcPr>
          <w:p w:rsidR="00B40966" w:rsidRDefault="00B40966">
            <w:pPr>
              <w:pStyle w:val="TableText"/>
            </w:pPr>
            <w:r>
              <w:t>2 220</w:t>
            </w:r>
          </w:p>
        </w:tc>
        <w:tc>
          <w:tcPr>
            <w:tcW w:w="1560" w:type="dxa"/>
          </w:tcPr>
          <w:p w:rsidR="00B40966" w:rsidRDefault="00B40966">
            <w:pPr>
              <w:pStyle w:val="TableText"/>
            </w:pPr>
            <w:r>
              <w:t>15.5</w:t>
            </w:r>
          </w:p>
        </w:tc>
      </w:tr>
      <w:tr w:rsidR="00B40966">
        <w:trPr>
          <w:cantSplit/>
        </w:trPr>
        <w:tc>
          <w:tcPr>
            <w:tcW w:w="3860" w:type="dxa"/>
          </w:tcPr>
          <w:p w:rsidR="00B40966" w:rsidRDefault="00B40966">
            <w:pPr>
              <w:pStyle w:val="TableText"/>
              <w:rPr>
                <w:sz w:val="20"/>
              </w:rPr>
            </w:pPr>
            <w:r>
              <w:rPr>
                <w:sz w:val="20"/>
              </w:rPr>
              <w:t>gunmetal (‘admiralty bronze’)</w:t>
            </w:r>
          </w:p>
        </w:tc>
        <w:tc>
          <w:tcPr>
            <w:tcW w:w="900" w:type="dxa"/>
            <w:tcBorders>
              <w:left w:val="single" w:sz="2" w:space="0" w:color="auto"/>
            </w:tcBorders>
          </w:tcPr>
          <w:p w:rsidR="00B40966" w:rsidRDefault="00B40966">
            <w:pPr>
              <w:pStyle w:val="TableText"/>
            </w:pPr>
            <w:r>
              <w:t>7.5</w:t>
            </w:r>
          </w:p>
        </w:tc>
        <w:tc>
          <w:tcPr>
            <w:tcW w:w="720" w:type="dxa"/>
            <w:tcBorders>
              <w:right w:val="single" w:sz="2" w:space="0" w:color="auto"/>
            </w:tcBorders>
          </w:tcPr>
          <w:p w:rsidR="00B40966" w:rsidRDefault="00B40966">
            <w:pPr>
              <w:pStyle w:val="TableText"/>
            </w:pPr>
            <w:r>
              <w:t>4.5</w:t>
            </w:r>
          </w:p>
        </w:tc>
        <w:tc>
          <w:tcPr>
            <w:tcW w:w="1080" w:type="dxa"/>
            <w:tcBorders>
              <w:left w:val="single" w:sz="2" w:space="0" w:color="auto"/>
              <w:right w:val="single" w:sz="2" w:space="0" w:color="auto"/>
            </w:tcBorders>
          </w:tcPr>
          <w:p w:rsidR="00B40966" w:rsidRDefault="00B40966">
            <w:pPr>
              <w:pStyle w:val="TableText"/>
            </w:pPr>
            <w:r>
              <w:t>5</w:t>
            </w:r>
          </w:p>
        </w:tc>
        <w:tc>
          <w:tcPr>
            <w:tcW w:w="1020" w:type="dxa"/>
            <w:tcBorders>
              <w:left w:val="single" w:sz="2" w:space="0" w:color="auto"/>
              <w:right w:val="single" w:sz="2" w:space="0" w:color="auto"/>
            </w:tcBorders>
          </w:tcPr>
          <w:p w:rsidR="00B40966" w:rsidRDefault="00B40966">
            <w:pPr>
              <w:pStyle w:val="TableText"/>
            </w:pPr>
            <w:r>
              <w:t>4</w:t>
            </w:r>
          </w:p>
        </w:tc>
        <w:tc>
          <w:tcPr>
            <w:tcW w:w="1080" w:type="dxa"/>
            <w:tcBorders>
              <w:left w:val="single" w:sz="2" w:space="0" w:color="auto"/>
              <w:right w:val="single" w:sz="2" w:space="0" w:color="auto"/>
            </w:tcBorders>
          </w:tcPr>
          <w:p w:rsidR="00B40966" w:rsidRDefault="00B40966">
            <w:pPr>
              <w:pStyle w:val="TableText"/>
            </w:pPr>
            <w:r>
              <w:t>5 700</w:t>
            </w:r>
          </w:p>
        </w:tc>
        <w:tc>
          <w:tcPr>
            <w:tcW w:w="1040" w:type="dxa"/>
            <w:tcBorders>
              <w:left w:val="single" w:sz="2" w:space="0" w:color="auto"/>
              <w:right w:val="single" w:sz="2" w:space="0" w:color="auto"/>
            </w:tcBorders>
          </w:tcPr>
          <w:p w:rsidR="00B40966" w:rsidRDefault="00B40966">
            <w:pPr>
              <w:pStyle w:val="TableText"/>
            </w:pPr>
            <w:r>
              <w:t>2 280</w:t>
            </w:r>
          </w:p>
        </w:tc>
        <w:tc>
          <w:tcPr>
            <w:tcW w:w="1560" w:type="dxa"/>
          </w:tcPr>
          <w:p w:rsidR="00B40966" w:rsidRDefault="00B40966">
            <w:pPr>
              <w:pStyle w:val="TableText"/>
            </w:pPr>
            <w:r>
              <w:t>13.4</w:t>
            </w:r>
          </w:p>
        </w:tc>
      </w:tr>
      <w:tr w:rsidR="00B40966">
        <w:trPr>
          <w:cantSplit/>
        </w:trPr>
        <w:tc>
          <w:tcPr>
            <w:tcW w:w="3860" w:type="dxa"/>
          </w:tcPr>
          <w:p w:rsidR="00B40966" w:rsidRDefault="00B40966">
            <w:pPr>
              <w:pStyle w:val="TableText"/>
              <w:rPr>
                <w:sz w:val="20"/>
              </w:rPr>
            </w:pPr>
            <w:r>
              <w:rPr>
                <w:sz w:val="20"/>
              </w:rPr>
              <w:t>cast aluminium bronze (90 copper, 10 aluminium)</w:t>
            </w:r>
          </w:p>
        </w:tc>
        <w:tc>
          <w:tcPr>
            <w:tcW w:w="900" w:type="dxa"/>
            <w:tcBorders>
              <w:left w:val="single" w:sz="2" w:space="0" w:color="auto"/>
            </w:tcBorders>
          </w:tcPr>
          <w:p w:rsidR="00B40966" w:rsidRDefault="00B40966">
            <w:pPr>
              <w:pStyle w:val="TableText"/>
            </w:pPr>
            <w:r>
              <w:t>11.1</w:t>
            </w:r>
          </w:p>
        </w:tc>
        <w:tc>
          <w:tcPr>
            <w:tcW w:w="720" w:type="dxa"/>
            <w:tcBorders>
              <w:right w:val="single" w:sz="2" w:space="0" w:color="auto"/>
            </w:tcBorders>
          </w:tcPr>
          <w:p w:rsidR="00B40966" w:rsidRDefault="00B40966">
            <w:pPr>
              <w:pStyle w:val="TableText"/>
            </w:pPr>
            <w:r>
              <w:t>6.7</w:t>
            </w:r>
          </w:p>
        </w:tc>
        <w:tc>
          <w:tcPr>
            <w:tcW w:w="1080" w:type="dxa"/>
            <w:tcBorders>
              <w:left w:val="single" w:sz="2" w:space="0" w:color="auto"/>
              <w:right w:val="single" w:sz="2" w:space="0" w:color="auto"/>
            </w:tcBorders>
          </w:tcPr>
          <w:p w:rsidR="00B40966" w:rsidRDefault="00B40966">
            <w:pPr>
              <w:pStyle w:val="TableText"/>
            </w:pPr>
            <w:r>
              <w:t>11.6</w:t>
            </w:r>
          </w:p>
        </w:tc>
        <w:tc>
          <w:tcPr>
            <w:tcW w:w="1020" w:type="dxa"/>
            <w:tcBorders>
              <w:left w:val="single" w:sz="2" w:space="0" w:color="auto"/>
              <w:right w:val="single" w:sz="2" w:space="0" w:color="auto"/>
            </w:tcBorders>
          </w:tcPr>
          <w:p w:rsidR="00B40966" w:rsidRDefault="00B40966">
            <w:pPr>
              <w:pStyle w:val="TableText"/>
            </w:pPr>
            <w:r>
              <w:t>9.3</w:t>
            </w:r>
          </w:p>
        </w:tc>
        <w:tc>
          <w:tcPr>
            <w:tcW w:w="1080" w:type="dxa"/>
            <w:tcBorders>
              <w:left w:val="single" w:sz="2" w:space="0" w:color="auto"/>
              <w:right w:val="single" w:sz="2" w:space="0" w:color="auto"/>
            </w:tcBorders>
          </w:tcPr>
          <w:p w:rsidR="00B40966" w:rsidRDefault="00B40966">
            <w:pPr>
              <w:pStyle w:val="TableText"/>
            </w:pPr>
            <w:r>
              <w:t>6 700</w:t>
            </w:r>
          </w:p>
        </w:tc>
        <w:tc>
          <w:tcPr>
            <w:tcW w:w="1040" w:type="dxa"/>
            <w:tcBorders>
              <w:left w:val="single" w:sz="2" w:space="0" w:color="auto"/>
              <w:right w:val="single" w:sz="2" w:space="0" w:color="auto"/>
            </w:tcBorders>
          </w:tcPr>
          <w:p w:rsidR="00B40966" w:rsidRDefault="00B40966">
            <w:pPr>
              <w:pStyle w:val="TableText"/>
            </w:pPr>
            <w:r>
              <w:t>2 680</w:t>
            </w:r>
          </w:p>
        </w:tc>
        <w:tc>
          <w:tcPr>
            <w:tcW w:w="1560" w:type="dxa"/>
          </w:tcPr>
          <w:p w:rsidR="00B40966" w:rsidRDefault="00B40966">
            <w:pPr>
              <w:pStyle w:val="TableText"/>
            </w:pPr>
            <w:r>
              <w:t>35</w:t>
            </w:r>
          </w:p>
        </w:tc>
      </w:tr>
      <w:tr w:rsidR="00B40966">
        <w:trPr>
          <w:cantSplit/>
        </w:trPr>
        <w:tc>
          <w:tcPr>
            <w:tcW w:w="3860" w:type="dxa"/>
            <w:tcBorders>
              <w:bottom w:val="single" w:sz="6" w:space="0" w:color="auto"/>
            </w:tcBorders>
          </w:tcPr>
          <w:p w:rsidR="00B40966" w:rsidRDefault="00B40966">
            <w:pPr>
              <w:pStyle w:val="TableText"/>
              <w:rPr>
                <w:sz w:val="20"/>
              </w:rPr>
            </w:pPr>
            <w:r>
              <w:rPr>
                <w:sz w:val="20"/>
              </w:rPr>
              <w:t>phenolic laminated material‡</w:t>
            </w:r>
          </w:p>
        </w:tc>
        <w:tc>
          <w:tcPr>
            <w:tcW w:w="900" w:type="dxa"/>
            <w:tcBorders>
              <w:left w:val="single" w:sz="2" w:space="0" w:color="auto"/>
              <w:bottom w:val="single" w:sz="6" w:space="0" w:color="auto"/>
            </w:tcBorders>
          </w:tcPr>
          <w:p w:rsidR="00B40966" w:rsidRDefault="00B40966">
            <w:pPr>
              <w:pStyle w:val="TableText"/>
            </w:pPr>
            <w:r>
              <w:t xml:space="preserve"> . .</w:t>
            </w:r>
          </w:p>
        </w:tc>
        <w:tc>
          <w:tcPr>
            <w:tcW w:w="720" w:type="dxa"/>
            <w:tcBorders>
              <w:bottom w:val="single" w:sz="6" w:space="0" w:color="auto"/>
              <w:right w:val="single" w:sz="2" w:space="0" w:color="auto"/>
            </w:tcBorders>
          </w:tcPr>
          <w:p w:rsidR="00B40966" w:rsidRDefault="00B40966">
            <w:pPr>
              <w:pStyle w:val="TableText"/>
            </w:pPr>
            <w:r>
              <w:t xml:space="preserve">  . .</w:t>
            </w:r>
          </w:p>
        </w:tc>
        <w:tc>
          <w:tcPr>
            <w:tcW w:w="1080" w:type="dxa"/>
            <w:tcBorders>
              <w:left w:val="single" w:sz="2" w:space="0" w:color="auto"/>
              <w:bottom w:val="single" w:sz="6" w:space="0" w:color="auto"/>
              <w:right w:val="single" w:sz="2" w:space="0" w:color="auto"/>
            </w:tcBorders>
          </w:tcPr>
          <w:p w:rsidR="00B40966" w:rsidRDefault="00B40966">
            <w:pPr>
              <w:pStyle w:val="TableText"/>
            </w:pPr>
            <w:r>
              <w:t xml:space="preserve">  2.68</w:t>
            </w:r>
          </w:p>
        </w:tc>
        <w:tc>
          <w:tcPr>
            <w:tcW w:w="1020" w:type="dxa"/>
            <w:tcBorders>
              <w:left w:val="single" w:sz="2" w:space="0" w:color="auto"/>
              <w:bottom w:val="single" w:sz="6" w:space="0" w:color="auto"/>
              <w:right w:val="single" w:sz="2" w:space="0" w:color="auto"/>
            </w:tcBorders>
          </w:tcPr>
          <w:p w:rsidR="00B40966" w:rsidRDefault="00B40966">
            <w:pPr>
              <w:pStyle w:val="TableText"/>
            </w:pPr>
            <w:r>
              <w:t xml:space="preserve">  . .</w:t>
            </w:r>
          </w:p>
        </w:tc>
        <w:tc>
          <w:tcPr>
            <w:tcW w:w="1080" w:type="dxa"/>
            <w:tcBorders>
              <w:left w:val="single" w:sz="2" w:space="0" w:color="auto"/>
              <w:bottom w:val="single" w:sz="6" w:space="0" w:color="auto"/>
              <w:right w:val="single" w:sz="2" w:space="0" w:color="auto"/>
            </w:tcBorders>
          </w:tcPr>
          <w:p w:rsidR="00B40966" w:rsidRDefault="00B40966">
            <w:pPr>
              <w:pStyle w:val="TableText"/>
            </w:pPr>
            <w:r>
              <w:t>400</w:t>
            </w:r>
          </w:p>
        </w:tc>
        <w:tc>
          <w:tcPr>
            <w:tcW w:w="1040" w:type="dxa"/>
            <w:tcBorders>
              <w:left w:val="single" w:sz="2" w:space="0" w:color="auto"/>
              <w:bottom w:val="single" w:sz="6" w:space="0" w:color="auto"/>
              <w:right w:val="single" w:sz="2" w:space="0" w:color="auto"/>
            </w:tcBorders>
          </w:tcPr>
          <w:p w:rsidR="00B40966" w:rsidRDefault="00B40966">
            <w:pPr>
              <w:pStyle w:val="TableText"/>
            </w:pPr>
            <w:r>
              <w:t>. .</w:t>
            </w:r>
          </w:p>
        </w:tc>
        <w:tc>
          <w:tcPr>
            <w:tcW w:w="1560" w:type="dxa"/>
            <w:tcBorders>
              <w:bottom w:val="single" w:sz="6" w:space="0" w:color="auto"/>
            </w:tcBorders>
          </w:tcPr>
          <w:p w:rsidR="00B40966" w:rsidRDefault="00B40966">
            <w:pPr>
              <w:pStyle w:val="TableText"/>
            </w:pPr>
            <w:r>
              <w:t>2.9</w:t>
            </w:r>
          </w:p>
        </w:tc>
      </w:tr>
    </w:tbl>
    <w:p w:rsidR="00B40966" w:rsidRDefault="00B40966">
      <w:pPr>
        <w:spacing w:before="60"/>
        <w:ind w:left="399" w:hanging="399"/>
        <w:rPr>
          <w:sz w:val="20"/>
        </w:rPr>
      </w:pPr>
      <w:r>
        <w:rPr>
          <w:sz w:val="20"/>
        </w:rPr>
        <w:t>*</w:t>
      </w:r>
      <w:r>
        <w:rPr>
          <w:sz w:val="20"/>
        </w:rPr>
        <w:tab/>
        <w:t>As determined by rotating bar test on 10 million cycle basis.</w:t>
      </w:r>
    </w:p>
    <w:p w:rsidR="00B40966" w:rsidRDefault="00B40966">
      <w:pPr>
        <w:spacing w:before="60"/>
        <w:ind w:left="399" w:hanging="399"/>
        <w:rPr>
          <w:sz w:val="20"/>
        </w:rPr>
      </w:pPr>
      <w:r>
        <w:rPr>
          <w:sz w:val="20"/>
        </w:rPr>
        <w:t>†</w:t>
      </w:r>
      <w:r>
        <w:rPr>
          <w:sz w:val="20"/>
        </w:rPr>
        <w:tab/>
        <w:t>As determined by reciprocating bar test on 10 million cycle basis.</w:t>
      </w:r>
    </w:p>
    <w:p w:rsidR="00B40966" w:rsidRDefault="00B40966">
      <w:pPr>
        <w:spacing w:before="60"/>
        <w:ind w:left="399" w:hanging="399"/>
        <w:rPr>
          <w:sz w:val="20"/>
        </w:rPr>
      </w:pPr>
      <w:r>
        <w:rPr>
          <w:sz w:val="20"/>
        </w:rPr>
        <w:t>‡</w:t>
      </w:r>
      <w:r>
        <w:rPr>
          <w:sz w:val="20"/>
        </w:rPr>
        <w:tab/>
        <w:t>If approved by chief inspector.</w:t>
      </w:r>
    </w:p>
    <w:p w:rsidR="00B40966" w:rsidRDefault="00B40966">
      <w:pPr>
        <w:pStyle w:val="02TextLandscape"/>
        <w:sectPr w:rsidR="00B40966">
          <w:headerReference w:type="even" r:id="rId46"/>
          <w:headerReference w:type="default" r:id="rId47"/>
          <w:footerReference w:type="even" r:id="rId48"/>
          <w:footerReference w:type="default" r:id="rId49"/>
          <w:pgSz w:w="16839" w:h="11907" w:orient="landscape" w:code="9"/>
          <w:pgMar w:top="2300" w:right="3000" w:bottom="1900" w:left="2500" w:header="2480" w:footer="2100" w:gutter="0"/>
          <w:cols w:space="720"/>
          <w:docGrid w:linePitch="254"/>
        </w:sectPr>
      </w:pPr>
    </w:p>
    <w:p w:rsidR="00B40966" w:rsidRDefault="00B40966">
      <w:pPr>
        <w:pStyle w:val="Amain"/>
      </w:pPr>
      <w:r>
        <w:tab/>
        <w:t>(5)</w:t>
      </w:r>
      <w:r>
        <w:tab/>
        <w:t>If the stresses include those due to wind loads, they may exceed the maximum mentioned by 25% provided—</w:t>
      </w:r>
    </w:p>
    <w:p w:rsidR="00B40966" w:rsidRDefault="00B40966">
      <w:pPr>
        <w:pStyle w:val="Apara"/>
      </w:pPr>
      <w:r>
        <w:tab/>
        <w:t>(a)</w:t>
      </w:r>
      <w:r>
        <w:tab/>
        <w:t>that the increase is solely due to wind loading; and</w:t>
      </w:r>
    </w:p>
    <w:p w:rsidR="00B40966" w:rsidRDefault="00B40966">
      <w:pPr>
        <w:pStyle w:val="Apara"/>
      </w:pPr>
      <w:r>
        <w:tab/>
        <w:t>(b)</w:t>
      </w:r>
      <w:r>
        <w:tab/>
        <w:t>that the strength of the structure so determined will not be less than it would have been if wind loading had been disregarded.</w:t>
      </w:r>
    </w:p>
    <w:p w:rsidR="00B40966" w:rsidRDefault="00B40966">
      <w:pPr>
        <w:pStyle w:val="Amain"/>
      </w:pPr>
      <w:r>
        <w:tab/>
        <w:t>(6)</w:t>
      </w:r>
      <w:r>
        <w:tab/>
        <w:t>If a mild steel member of H, T or I section is used as a beam or cantilever, the stress imposed or developed in the tension flange shall not exceed 12 tons per square inch.</w:t>
      </w:r>
    </w:p>
    <w:p w:rsidR="00B40966" w:rsidRDefault="00B40966">
      <w:pPr>
        <w:pStyle w:val="Amain"/>
      </w:pPr>
      <w:r>
        <w:tab/>
        <w:t>(7)</w:t>
      </w:r>
      <w:r>
        <w:tab/>
        <w:t>The stress imposed or developed in the compression flange of a cantilever shall not exceed that prescribed for a beam of twice the length of the cantilever; each half length of the beam shall be assumed loaded with identical loading and incidence of loading to that on the cantilever.</w:t>
      </w:r>
    </w:p>
    <w:p w:rsidR="00B40966" w:rsidRDefault="00B40966">
      <w:pPr>
        <w:pStyle w:val="Amain"/>
      </w:pPr>
      <w:r>
        <w:tab/>
        <w:t>(8)</w:t>
      </w:r>
      <w:r>
        <w:tab/>
        <w:t>The beam thus loaded will have a central reaction equal in magnitude to twice the algebraic sum of the loads on the cantilever, and the position of the point of application of this reaction shall determine whether the beam load is applied to the compression flange, or tension flange, or centroid of the beam section.</w:t>
      </w:r>
    </w:p>
    <w:p w:rsidR="00B40966" w:rsidRDefault="00B40966">
      <w:pPr>
        <w:pStyle w:val="Amain"/>
      </w:pPr>
      <w:r>
        <w:tab/>
        <w:t>(9)</w:t>
      </w:r>
      <w:r>
        <w:tab/>
        <w:t>If the principal external loading is concentrated and is applied to the compression flange of a beam of the section, the stress imposed or developed in the flange shall not exceed the lesser of the following stresses:</w:t>
      </w:r>
    </w:p>
    <w:p w:rsidR="00B40966" w:rsidRDefault="00B40966">
      <w:pPr>
        <w:pStyle w:val="Apara"/>
      </w:pPr>
      <w:r>
        <w:tab/>
        <w:t>(a)</w:t>
      </w:r>
      <w:r>
        <w:tab/>
        <w:t>14</w:t>
      </w:r>
      <w:r>
        <w:rPr>
          <w:position w:val="6"/>
          <w:sz w:val="18"/>
        </w:rPr>
        <w:t>4</w:t>
      </w:r>
      <w:r>
        <w:t>/</w:t>
      </w:r>
      <w:r>
        <w:rPr>
          <w:sz w:val="18"/>
        </w:rPr>
        <w:t>10</w:t>
      </w:r>
      <w:r>
        <w:t xml:space="preserve"> tons per square inch, or</w:t>
      </w:r>
    </w:p>
    <w:p w:rsidR="00B40966" w:rsidRDefault="00B40966">
      <w:pPr>
        <w:pStyle w:val="Apara"/>
      </w:pPr>
      <w:r>
        <w:tab/>
        <w:t>(b)</w:t>
      </w:r>
      <w:r>
        <w:tab/>
        <w:t xml:space="preserve">that determined by the formula </w:t>
      </w:r>
      <w:r>
        <w:rPr>
          <w:position w:val="-24"/>
        </w:rPr>
        <w:object w:dxaOrig="680" w:dyaOrig="620">
          <v:shape id="_x0000_i1026" type="#_x0000_t75" style="width:33.75pt;height:30.75pt" o:ole="" fillcolor="window">
            <v:imagedata r:id="rId50" o:title=""/>
          </v:shape>
          <o:OLEObject Type="Embed" ProgID="Equation.2" ShapeID="_x0000_i1026" DrawAspect="Content" ObjectID="_1595937043" r:id="rId51"/>
        </w:object>
      </w:r>
      <w:r>
        <w:t xml:space="preserve"> tons per square inch.</w:t>
      </w:r>
    </w:p>
    <w:p w:rsidR="00B40966" w:rsidRDefault="00B40966">
      <w:pPr>
        <w:pStyle w:val="Amain"/>
        <w:keepNext/>
      </w:pPr>
      <w:r>
        <w:tab/>
        <w:t>(10)</w:t>
      </w:r>
      <w:r>
        <w:tab/>
        <w:t>In subsection (9):</w:t>
      </w:r>
    </w:p>
    <w:p w:rsidR="00B40966" w:rsidRDefault="00B40966">
      <w:pPr>
        <w:pStyle w:val="aDef"/>
      </w:pPr>
      <w:r>
        <w:rPr>
          <w:rStyle w:val="charBoldItals"/>
        </w:rPr>
        <w:t>b</w:t>
      </w:r>
      <w:r>
        <w:t xml:space="preserve"> means the least breadth of the compression flange that can be measured within a distance of </w:t>
      </w:r>
      <w:r>
        <w:rPr>
          <w:position w:val="6"/>
          <w:sz w:val="18"/>
        </w:rPr>
        <w:t>1</w:t>
      </w:r>
      <w:r>
        <w:t>/</w:t>
      </w:r>
      <w:r>
        <w:rPr>
          <w:sz w:val="18"/>
        </w:rPr>
        <w:t>4</w:t>
      </w:r>
      <w:r>
        <w:t xml:space="preserve"> of the span of the beam of the section at which the stress is determined.</w:t>
      </w:r>
    </w:p>
    <w:p w:rsidR="00B40966" w:rsidRDefault="00B40966">
      <w:pPr>
        <w:pStyle w:val="aDef"/>
      </w:pPr>
      <w:r>
        <w:rPr>
          <w:rStyle w:val="charBoldItals"/>
        </w:rPr>
        <w:t>d</w:t>
      </w:r>
      <w:r>
        <w:t xml:space="preserve"> means the overall depth of the section of the beam at which the stress is determined, exclusive of any track rail laid on it.</w:t>
      </w:r>
    </w:p>
    <w:p w:rsidR="00B40966" w:rsidRDefault="00B40966">
      <w:pPr>
        <w:pStyle w:val="aDef"/>
      </w:pPr>
      <w:r>
        <w:rPr>
          <w:rStyle w:val="charBoldItals"/>
        </w:rPr>
        <w:t>l</w:t>
      </w:r>
      <w:r>
        <w:t xml:space="preserve"> means the maximum length of compression flange that is not supported laterally by adequate external means.</w:t>
      </w:r>
    </w:p>
    <w:p w:rsidR="00B40966" w:rsidRDefault="00B40966">
      <w:pPr>
        <w:pStyle w:val="aDef"/>
      </w:pPr>
      <w:r>
        <w:rPr>
          <w:rStyle w:val="charBoldItals"/>
        </w:rPr>
        <w:t>t</w:t>
      </w:r>
      <w:r>
        <w:t xml:space="preserve"> means the thickness of the compression flange measured as provided for flange thickness of Australian Standard Beam Sections by Australian Standard Specification No AI—1940, for structural steel.</w:t>
      </w:r>
    </w:p>
    <w:p w:rsidR="00B40966" w:rsidRDefault="00B40966">
      <w:pPr>
        <w:pStyle w:val="Amain"/>
      </w:pPr>
      <w:r>
        <w:tab/>
        <w:t>(11)</w:t>
      </w:r>
      <w:r>
        <w:tab/>
        <w:t xml:space="preserve">If the compression and tension flanges of a beam are of different sections, or if the beam is of the single plate web girder type, the flange thickness </w:t>
      </w:r>
      <w:r>
        <w:rPr>
          <w:rStyle w:val="charItals"/>
          <w:b/>
        </w:rPr>
        <w:t>t</w:t>
      </w:r>
      <w:r>
        <w:t xml:space="preserve"> must be determined from the formula—</w:t>
      </w:r>
    </w:p>
    <w:p w:rsidR="00B40966" w:rsidRDefault="00B40966">
      <w:pPr>
        <w:pStyle w:val="Formula"/>
      </w:pPr>
      <w:r>
        <w:rPr>
          <w:rStyle w:val="charItals"/>
        </w:rPr>
        <w:t xml:space="preserve">t </w:t>
      </w:r>
      <w:r>
        <w:t xml:space="preserve">= </w:t>
      </w:r>
      <w:r>
        <w:fldChar w:fldCharType="begin"/>
      </w:r>
      <w:r>
        <w:instrText xml:space="preserve"> EQ \F(5I</w:instrText>
      </w:r>
      <w:r>
        <w:rPr>
          <w:i/>
        </w:rPr>
        <w:instrText>y</w:instrText>
      </w:r>
      <w:r>
        <w:instrText>,</w:instrText>
      </w:r>
      <w:r>
        <w:rPr>
          <w:i/>
        </w:rPr>
        <w:instrText>b</w:instrText>
      </w:r>
      <w:r>
        <w:rPr>
          <w:position w:val="12"/>
          <w:sz w:val="12"/>
        </w:rPr>
        <w:instrText>3</w:instrText>
      </w:r>
      <w:r>
        <w:instrText xml:space="preserve">) </w:instrText>
      </w:r>
      <w:r>
        <w:fldChar w:fldCharType="end"/>
      </w:r>
      <w:r>
        <w:t>.</w:t>
      </w:r>
    </w:p>
    <w:p w:rsidR="00B40966" w:rsidRDefault="00B40966">
      <w:pPr>
        <w:pStyle w:val="Amain"/>
      </w:pPr>
      <w:r>
        <w:tab/>
        <w:t>(12)</w:t>
      </w:r>
      <w:r>
        <w:tab/>
        <w:t>In subsection (11):</w:t>
      </w:r>
    </w:p>
    <w:p w:rsidR="00B40966" w:rsidRDefault="00B40966">
      <w:pPr>
        <w:pStyle w:val="aDef"/>
      </w:pPr>
      <w:r>
        <w:rPr>
          <w:rStyle w:val="charItals"/>
          <w:b/>
        </w:rPr>
        <w:t>b</w:t>
      </w:r>
      <w:r>
        <w:t>—see subsection (10).</w:t>
      </w:r>
    </w:p>
    <w:p w:rsidR="00B40966" w:rsidRDefault="00B40966">
      <w:pPr>
        <w:pStyle w:val="aDef"/>
      </w:pPr>
      <w:r>
        <w:rPr>
          <w:b/>
        </w:rPr>
        <w:t>I</w:t>
      </w:r>
      <w:r>
        <w:rPr>
          <w:rStyle w:val="charItals"/>
          <w:b/>
        </w:rPr>
        <w:t>y</w:t>
      </w:r>
      <w:r>
        <w:t xml:space="preserve"> means the moment of inertia of the cross-section of the beam about its minor rectilinear axis, provided that if the compression and tension flanges are of different section.</w:t>
      </w:r>
    </w:p>
    <w:p w:rsidR="00B40966" w:rsidRDefault="00B40966">
      <w:pPr>
        <w:pStyle w:val="Amain"/>
      </w:pPr>
      <w:r>
        <w:tab/>
        <w:t>(13)</w:t>
      </w:r>
      <w:r>
        <w:tab/>
      </w:r>
      <w:r>
        <w:rPr>
          <w:b/>
        </w:rPr>
        <w:t>I</w:t>
      </w:r>
      <w:r>
        <w:rPr>
          <w:rStyle w:val="charItals"/>
          <w:b/>
        </w:rPr>
        <w:t>y</w:t>
      </w:r>
      <w:r>
        <w:t xml:space="preserve"> must be taken as equal to twice the moment of inertia of the compression flange about the aforesaid axis, and provided that if the compression flange of an Australian Standard Beam Section is not compounded, </w:t>
      </w:r>
      <w:r>
        <w:rPr>
          <w:rStyle w:val="charItals"/>
          <w:b/>
        </w:rPr>
        <w:t>t</w:t>
      </w:r>
      <w:r>
        <w:t xml:space="preserve"> may be determined as prescribed in this section for the standard beam section.</w:t>
      </w:r>
    </w:p>
    <w:p w:rsidR="00B40966" w:rsidRDefault="00B40966">
      <w:pPr>
        <w:pStyle w:val="Amain"/>
      </w:pPr>
      <w:r>
        <w:tab/>
        <w:t>(14)</w:t>
      </w:r>
      <w:r>
        <w:tab/>
        <w:t xml:space="preserve">Track rails need not be included when determining flange thicknesses, </w:t>
      </w:r>
      <w:r>
        <w:rPr>
          <w:rStyle w:val="charItals"/>
          <w:b/>
        </w:rPr>
        <w:t>t</w:t>
      </w:r>
      <w:r>
        <w:t>.</w:t>
      </w:r>
    </w:p>
    <w:p w:rsidR="00B40966" w:rsidRDefault="00B40966">
      <w:pPr>
        <w:pStyle w:val="Amain"/>
      </w:pPr>
      <w:r>
        <w:tab/>
        <w:t>(15)</w:t>
      </w:r>
      <w:r>
        <w:tab/>
        <w:t xml:space="preserve">If the principal external loading is concentrated and is applied at the centroid axis of the beam, the formula </w:t>
      </w:r>
      <w:r>
        <w:rPr>
          <w:position w:val="-24"/>
        </w:rPr>
        <w:object w:dxaOrig="660" w:dyaOrig="620">
          <v:shape id="_x0000_i1027" type="#_x0000_t75" style="width:33pt;height:30.75pt" o:ole="" fillcolor="window">
            <v:imagedata r:id="rId52" o:title=""/>
          </v:shape>
          <o:OLEObject Type="Embed" ProgID="Equation.2" ShapeID="_x0000_i1027" DrawAspect="Content" ObjectID="_1595937044" r:id="rId53"/>
        </w:object>
      </w:r>
      <w:r>
        <w:t xml:space="preserve"> tons per square inch may be substituted for the formula stated in subsection (9) (b).</w:t>
      </w:r>
    </w:p>
    <w:p w:rsidR="00B40966" w:rsidRDefault="00B40966">
      <w:pPr>
        <w:pStyle w:val="Amain"/>
      </w:pPr>
      <w:r>
        <w:tab/>
        <w:t>(16)</w:t>
      </w:r>
      <w:r>
        <w:tab/>
        <w:t xml:space="preserve">If the principal external loading is concentrated and is applied to the tension flange of the beam, the formula </w:t>
      </w:r>
      <w:r>
        <w:rPr>
          <w:position w:val="-24"/>
        </w:rPr>
        <w:object w:dxaOrig="680" w:dyaOrig="620">
          <v:shape id="_x0000_i1028" type="#_x0000_t75" style="width:33.75pt;height:30.75pt" o:ole="" fillcolor="window">
            <v:imagedata r:id="rId54" o:title=""/>
          </v:shape>
          <o:OLEObject Type="Embed" ProgID="Equation.2" ShapeID="_x0000_i1028" DrawAspect="Content" ObjectID="_1595937045" r:id="rId55"/>
        </w:object>
      </w:r>
      <w:r>
        <w:t xml:space="preserve"> tons per square inch may be substituted for the formula stated in subsection (9) (b).</w:t>
      </w:r>
    </w:p>
    <w:p w:rsidR="00B40966" w:rsidRDefault="00B40966">
      <w:pPr>
        <w:pStyle w:val="Amain"/>
      </w:pPr>
      <w:r>
        <w:tab/>
        <w:t>(17)</w:t>
      </w:r>
      <w:r>
        <w:tab/>
        <w:t>These maximum stresses are permissible only for beams or cantilevers of mild steel conforming to Australian Standard Specification No A.I—1940, ‘Rolled Steel Sections for Structural Purposes’.</w:t>
      </w:r>
    </w:p>
    <w:p w:rsidR="00B40966" w:rsidRDefault="00B40966">
      <w:pPr>
        <w:pStyle w:val="Amain"/>
      </w:pPr>
      <w:r>
        <w:tab/>
        <w:t>(18)</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B40966" w:rsidRDefault="00B40966">
      <w:pPr>
        <w:pStyle w:val="Apara"/>
      </w:pPr>
      <w:r>
        <w:tab/>
        <w:t>(a)</w:t>
      </w:r>
      <w:r>
        <w:tab/>
        <w:t>17</w:t>
      </w:r>
      <w:r>
        <w:rPr>
          <w:position w:val="6"/>
          <w:sz w:val="18"/>
        </w:rPr>
        <w:t>6</w:t>
      </w:r>
      <w:r>
        <w:t>/</w:t>
      </w:r>
      <w:r>
        <w:rPr>
          <w:sz w:val="18"/>
        </w:rPr>
        <w:t>10</w:t>
      </w:r>
      <w:r>
        <w:t xml:space="preserve"> tons per square inch; or</w:t>
      </w:r>
    </w:p>
    <w:p w:rsidR="00B40966" w:rsidRDefault="00B40966">
      <w:pPr>
        <w:pStyle w:val="Apara"/>
      </w:pPr>
      <w:r>
        <w:tab/>
        <w:t>(b)</w:t>
      </w:r>
      <w:r>
        <w:tab/>
        <w:t>that determined by the formula stated in subsection (9) (b) or the alternative provided in subsection (15) or (16).</w:t>
      </w:r>
    </w:p>
    <w:p w:rsidR="00B40966" w:rsidRDefault="00B40966">
      <w:pPr>
        <w:pStyle w:val="Amain"/>
        <w:keepLines/>
      </w:pPr>
      <w:r>
        <w:tab/>
        <w:t>(19)</w:t>
      </w:r>
      <w:r>
        <w:tab/>
        <w:t>If a member of H, T or I section is used as a beam and the principal external loading is applied to the compression flange, and if the loading is evenly distributed throughout the span of the beam and is greater in magnitude than any concentrated loading that may be simultaneously applied, the stress imposed or developed in the flange shall not exceed the lesser of the following stresses—</w:t>
      </w:r>
    </w:p>
    <w:p w:rsidR="00B40966" w:rsidRDefault="00B40966">
      <w:pPr>
        <w:pStyle w:val="Apara"/>
      </w:pPr>
      <w:r>
        <w:tab/>
        <w:t>(a)</w:t>
      </w:r>
      <w:r>
        <w:tab/>
        <w:t>14</w:t>
      </w:r>
      <w:r>
        <w:rPr>
          <w:position w:val="6"/>
          <w:sz w:val="18"/>
        </w:rPr>
        <w:t>4</w:t>
      </w:r>
      <w:r>
        <w:t>/</w:t>
      </w:r>
      <w:r>
        <w:rPr>
          <w:sz w:val="18"/>
        </w:rPr>
        <w:t>10</w:t>
      </w:r>
      <w:r>
        <w:t xml:space="preserve"> tons per square inch, or</w:t>
      </w:r>
    </w:p>
    <w:p w:rsidR="00B40966" w:rsidRDefault="00B40966">
      <w:pPr>
        <w:pStyle w:val="Apara"/>
      </w:pPr>
      <w:r>
        <w:tab/>
        <w:t>(b)</w:t>
      </w:r>
      <w:r>
        <w:tab/>
        <w:t xml:space="preserve">that determined by the formula </w:t>
      </w:r>
      <w:r>
        <w:rPr>
          <w:position w:val="-24"/>
        </w:rPr>
        <w:object w:dxaOrig="660" w:dyaOrig="620">
          <v:shape id="_x0000_i1029" type="#_x0000_t75" style="width:33pt;height:30.75pt" o:ole="" fillcolor="window">
            <v:imagedata r:id="rId56" o:title=""/>
          </v:shape>
          <o:OLEObject Type="Embed" ProgID="Equation.2" ShapeID="_x0000_i1029" DrawAspect="Content" ObjectID="_1595937046" r:id="rId57"/>
        </w:object>
      </w:r>
      <w:r>
        <w:t xml:space="preserve"> tons per square inch.</w:t>
      </w:r>
    </w:p>
    <w:p w:rsidR="00B40966" w:rsidRDefault="00B40966">
      <w:pPr>
        <w:pStyle w:val="Amain"/>
        <w:keepNext/>
      </w:pPr>
      <w:r>
        <w:tab/>
        <w:t>(20)</w:t>
      </w:r>
      <w:r>
        <w:tab/>
        <w:t>In subsection (19):</w:t>
      </w:r>
    </w:p>
    <w:p w:rsidR="00B40966" w:rsidRDefault="00B40966">
      <w:pPr>
        <w:pStyle w:val="aDef"/>
        <w:rPr>
          <w:rStyle w:val="charItals"/>
          <w:i w:val="0"/>
        </w:rPr>
      </w:pPr>
      <w:r>
        <w:rPr>
          <w:rStyle w:val="charItals"/>
          <w:b/>
        </w:rPr>
        <w:t>b</w:t>
      </w:r>
      <w:r>
        <w:rPr>
          <w:rStyle w:val="charItals"/>
          <w:i w:val="0"/>
        </w:rPr>
        <w:t>—see subsection (10).</w:t>
      </w:r>
    </w:p>
    <w:p w:rsidR="00B40966" w:rsidRDefault="00B40966">
      <w:pPr>
        <w:pStyle w:val="aDef"/>
        <w:rPr>
          <w:rStyle w:val="charItals"/>
          <w:i w:val="0"/>
        </w:rPr>
      </w:pPr>
      <w:r>
        <w:rPr>
          <w:rStyle w:val="charItals"/>
          <w:b/>
        </w:rPr>
        <w:t>d</w:t>
      </w:r>
      <w:r>
        <w:rPr>
          <w:rStyle w:val="charItals"/>
          <w:i w:val="0"/>
        </w:rPr>
        <w:t>—see subsection (10).</w:t>
      </w:r>
    </w:p>
    <w:p w:rsidR="00B40966" w:rsidRDefault="00B40966">
      <w:pPr>
        <w:pStyle w:val="aDef"/>
        <w:rPr>
          <w:rStyle w:val="charItals"/>
          <w:i w:val="0"/>
        </w:rPr>
      </w:pPr>
      <w:r>
        <w:rPr>
          <w:rStyle w:val="charItals"/>
          <w:b/>
        </w:rPr>
        <w:t>l</w:t>
      </w:r>
      <w:r>
        <w:rPr>
          <w:rStyle w:val="charItals"/>
          <w:i w:val="0"/>
        </w:rPr>
        <w:t>—see subsection (10).</w:t>
      </w:r>
    </w:p>
    <w:p w:rsidR="00B40966" w:rsidRDefault="00B40966">
      <w:pPr>
        <w:pStyle w:val="aDef"/>
        <w:rPr>
          <w:rStyle w:val="charItals"/>
          <w:i w:val="0"/>
        </w:rPr>
      </w:pPr>
      <w:r>
        <w:rPr>
          <w:rStyle w:val="charItals"/>
          <w:b/>
        </w:rPr>
        <w:t>t</w:t>
      </w:r>
      <w:r>
        <w:rPr>
          <w:rStyle w:val="charItals"/>
          <w:i w:val="0"/>
        </w:rPr>
        <w:t>—see subsection (10).</w:t>
      </w:r>
    </w:p>
    <w:p w:rsidR="00B40966" w:rsidRDefault="00B40966">
      <w:pPr>
        <w:pStyle w:val="Amain"/>
      </w:pPr>
      <w:r>
        <w:tab/>
        <w:t>(21)</w:t>
      </w:r>
      <w:r>
        <w:tab/>
        <w:t xml:space="preserve">If the external loading is applied at the centroid axis of the beam, the formula </w:t>
      </w:r>
      <w:r>
        <w:rPr>
          <w:position w:val="-24"/>
        </w:rPr>
        <w:object w:dxaOrig="660" w:dyaOrig="620">
          <v:shape id="_x0000_i1030" type="#_x0000_t75" style="width:33pt;height:30.75pt" o:ole="" fillcolor="window">
            <v:imagedata r:id="rId58" o:title=""/>
          </v:shape>
          <o:OLEObject Type="Embed" ProgID="Equation.2" ShapeID="_x0000_i1030" DrawAspect="Content" ObjectID="_1595937047" r:id="rId59"/>
        </w:object>
      </w:r>
      <w:r>
        <w:t xml:space="preserve"> tons per square inch may be substituted for that stated in subsection (19) (b), and if the loading is applied to the tension flange of the beam, the formula </w:t>
      </w:r>
      <w:r>
        <w:rPr>
          <w:position w:val="-24"/>
        </w:rPr>
        <w:object w:dxaOrig="660" w:dyaOrig="620">
          <v:shape id="_x0000_i1031" type="#_x0000_t75" style="width:33pt;height:30.75pt" o:ole="" fillcolor="window">
            <v:imagedata r:id="rId60" o:title=""/>
          </v:shape>
          <o:OLEObject Type="Embed" ProgID="Equation.2" ShapeID="_x0000_i1031" DrawAspect="Content" ObjectID="_1595937048" r:id="rId61"/>
        </w:object>
      </w:r>
      <w:r>
        <w:t xml:space="preserve"> tons per square inch may be so substituted.</w:t>
      </w:r>
    </w:p>
    <w:p w:rsidR="00B40966" w:rsidRDefault="00B40966">
      <w:pPr>
        <w:pStyle w:val="Amain"/>
      </w:pPr>
      <w:r>
        <w:tab/>
        <w:t>(22)</w:t>
      </w:r>
      <w:r>
        <w:tab/>
        <w:t>These maximum stresses are permissible only for beams or cantilevers of mild steel conforming to Australian Standard Specification No A.I.—1940, ‘Rolled Steel Sections for Structural Purposes’.</w:t>
      </w:r>
    </w:p>
    <w:p w:rsidR="00B40966" w:rsidRDefault="00B40966">
      <w:pPr>
        <w:pStyle w:val="Amain"/>
        <w:keepLines/>
      </w:pPr>
      <w:r>
        <w:tab/>
        <w:t>(23)</w:t>
      </w:r>
      <w:r>
        <w:tab/>
        <w:t>For a beam or cantilever of the same type, but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stress imposed or developed in the tension flange shall not exceed 15 tons per square inch, and in the compression flange of the beam, the lesser of the following stresses:</w:t>
      </w:r>
    </w:p>
    <w:p w:rsidR="00B40966" w:rsidRDefault="00B40966">
      <w:pPr>
        <w:pStyle w:val="Apara"/>
      </w:pPr>
      <w:r>
        <w:tab/>
        <w:t>(a)</w:t>
      </w:r>
      <w:r>
        <w:tab/>
        <w:t>17</w:t>
      </w:r>
      <w:r>
        <w:rPr>
          <w:position w:val="6"/>
          <w:sz w:val="18"/>
        </w:rPr>
        <w:t>6</w:t>
      </w:r>
      <w:r>
        <w:t>/</w:t>
      </w:r>
      <w:r>
        <w:rPr>
          <w:sz w:val="18"/>
        </w:rPr>
        <w:t>10</w:t>
      </w:r>
      <w:r>
        <w:t xml:space="preserve"> tons per square inch; or</w:t>
      </w:r>
    </w:p>
    <w:p w:rsidR="00B40966" w:rsidRDefault="00B40966">
      <w:pPr>
        <w:pStyle w:val="Apara"/>
      </w:pPr>
      <w:r>
        <w:tab/>
        <w:t>(b)</w:t>
      </w:r>
      <w:r>
        <w:tab/>
        <w:t>that determined by the formula stated in subsection (19) (b) or the alternative provided in subsection (21).</w:t>
      </w:r>
    </w:p>
    <w:p w:rsidR="00B40966" w:rsidRDefault="00B40966">
      <w:pPr>
        <w:pStyle w:val="Amain"/>
      </w:pPr>
      <w:r>
        <w:tab/>
        <w:t>(24)</w:t>
      </w:r>
      <w:r>
        <w:tab/>
        <w:t xml:space="preserve">The computed deflection of a steel beam in the direction of either the major or minor rectilinear axis of any cross-section shall not exceed </w:t>
      </w:r>
      <w:r>
        <w:rPr>
          <w:position w:val="6"/>
          <w:sz w:val="18"/>
        </w:rPr>
        <w:t>1</w:t>
      </w:r>
      <w:r>
        <w:t>/</w:t>
      </w:r>
      <w:r>
        <w:rPr>
          <w:sz w:val="18"/>
        </w:rPr>
        <w:t>380</w:t>
      </w:r>
      <w:r>
        <w:t xml:space="preserve"> part of the span of the beam.</w:t>
      </w:r>
    </w:p>
    <w:p w:rsidR="00B40966" w:rsidRDefault="00B40966">
      <w:pPr>
        <w:pStyle w:val="Amain"/>
      </w:pPr>
      <w:r>
        <w:tab/>
        <w:t>(25)</w:t>
      </w:r>
      <w:r>
        <w:tab/>
        <w:t xml:space="preserve">The computed deflection at the extremity of a steel cantilever shall not, when measured in the direction of either the major or minor rectilinear axis of any cross-section, exceed </w:t>
      </w:r>
      <w:r>
        <w:rPr>
          <w:position w:val="6"/>
          <w:sz w:val="18"/>
        </w:rPr>
        <w:t>1</w:t>
      </w:r>
      <w:r>
        <w:t>/</w:t>
      </w:r>
      <w:r>
        <w:rPr>
          <w:sz w:val="18"/>
        </w:rPr>
        <w:t>190</w:t>
      </w:r>
      <w:r>
        <w:t xml:space="preserve"> part of the length of the cantilever.</w:t>
      </w:r>
    </w:p>
    <w:p w:rsidR="00B40966" w:rsidRDefault="00B40966">
      <w:pPr>
        <w:pStyle w:val="Amain"/>
      </w:pPr>
      <w:r>
        <w:tab/>
        <w:t>(26)</w:t>
      </w:r>
      <w:r>
        <w:tab/>
        <w:t>For the purpose of computing the deflections, the modulus of elasticity of steel shall be deemed to be 13 000 tons per square inch.</w:t>
      </w:r>
    </w:p>
    <w:p w:rsidR="00B40966" w:rsidRDefault="00B40966">
      <w:pPr>
        <w:pStyle w:val="Amain"/>
      </w:pPr>
      <w:r>
        <w:tab/>
        <w:t>(27)</w:t>
      </w:r>
      <w:r>
        <w:tab/>
        <w:t>In computing deflections it shall be necessary to increase the forces producing the deflections in the way provided by section 125.</w:t>
      </w:r>
    </w:p>
    <w:p w:rsidR="00B40966" w:rsidRDefault="00B40966">
      <w:pPr>
        <w:pStyle w:val="Amain"/>
      </w:pPr>
      <w:r>
        <w:tab/>
        <w:t>(28)</w:t>
      </w:r>
      <w:r>
        <w:tab/>
        <w:t>Forces shall be considered to act simultaneously, and the horizontal forces referred to in section 124 shall be included.</w:t>
      </w:r>
    </w:p>
    <w:p w:rsidR="00B40966" w:rsidRDefault="00B40966">
      <w:pPr>
        <w:pStyle w:val="Amain"/>
      </w:pPr>
      <w:r>
        <w:tab/>
        <w:t>(29)</w:t>
      </w:r>
      <w:r>
        <w:tab/>
        <w:t>The maximum vertical shearing stress in the webs of rolled steel joists, channels or plate-web girders of mild steel conforming to Australian Standard Specification No A.I—1940 ‘Rolled Steel Sections for Structural Purposes’ shall not exceed 6 tons per square inch.</w:t>
      </w:r>
    </w:p>
    <w:p w:rsidR="00B40966" w:rsidRDefault="00B40966">
      <w:pPr>
        <w:pStyle w:val="Amain"/>
      </w:pPr>
      <w:r>
        <w:tab/>
        <w:t>(30)</w:t>
      </w:r>
      <w:r>
        <w:tab/>
        <w:t>If the members are of steel conforming to British Standard Specification No 548—1934, ‘High Tensile Structural Steel for Bridges, etc, and General Building Construction’, or British Standard Specification No 968—1941, ‘High Tensile (Fusion Welding Quality) Steel for Bridges, etc, and General Building Construction’, the maximum vertical shearing stresses in the webs shall not exceed 7</w:t>
      </w:r>
      <w:r>
        <w:rPr>
          <w:position w:val="6"/>
          <w:sz w:val="18"/>
        </w:rPr>
        <w:t>1</w:t>
      </w:r>
      <w:r>
        <w:t>/</w:t>
      </w:r>
      <w:r>
        <w:rPr>
          <w:sz w:val="18"/>
        </w:rPr>
        <w:t>4</w:t>
      </w:r>
      <w:r>
        <w:t xml:space="preserve"> tons per square inch.</w:t>
      </w:r>
    </w:p>
    <w:p w:rsidR="00B40966" w:rsidRDefault="00B40966">
      <w:pPr>
        <w:pStyle w:val="Amain"/>
        <w:keepNext/>
      </w:pPr>
      <w:r>
        <w:tab/>
        <w:t>(31)</w:t>
      </w:r>
      <w:r>
        <w:tab/>
        <w:t>The shearing stresses mentioned in subsections (29) and (30) are permissible only if the ratio—</w:t>
      </w:r>
    </w:p>
    <w:p w:rsidR="00B40966" w:rsidRDefault="00B40966">
      <w:pPr>
        <w:pStyle w:val="Formula"/>
        <w:keepNext/>
      </w:pPr>
      <w:r>
        <w:rPr>
          <w:position w:val="-24"/>
        </w:rPr>
        <w:object w:dxaOrig="1740" w:dyaOrig="620">
          <v:shape id="_x0000_i1032" type="#_x0000_t75" style="width:87pt;height:30.75pt" o:ole="" fillcolor="window">
            <v:imagedata r:id="rId62" o:title=""/>
          </v:shape>
          <o:OLEObject Type="Embed" ProgID="Equation.3" ShapeID="_x0000_i1032" DrawAspect="Content" ObjectID="_1595937049" r:id="rId63"/>
        </w:object>
      </w:r>
    </w:p>
    <w:p w:rsidR="00B40966" w:rsidRDefault="00B40966">
      <w:pPr>
        <w:pStyle w:val="Amainreturn"/>
      </w:pPr>
      <w:r>
        <w:t>does not exceed 83 for the mild steel or 75 for the high tensile steel members.</w:t>
      </w:r>
    </w:p>
    <w:p w:rsidR="00B40966" w:rsidRDefault="00B40966">
      <w:pPr>
        <w:pStyle w:val="Amain"/>
      </w:pPr>
      <w:r>
        <w:tab/>
        <w:t>(32)</w:t>
      </w:r>
      <w:r>
        <w:tab/>
        <w:t>For the purposes of web-shearing computations the depth of web of a rolled steel joist or channel may be taken as the full depth of the joist or channel, and the depth of web of a plate girder may be taken as the depth of the girder, measured between the centroid axes of the respective compression and tension flanges.</w:t>
      </w:r>
    </w:p>
    <w:p w:rsidR="00B40966" w:rsidRDefault="00B40966">
      <w:pPr>
        <w:pStyle w:val="Amain"/>
      </w:pPr>
      <w:r>
        <w:tab/>
        <w:t>(33)</w:t>
      </w:r>
      <w:r>
        <w:tab/>
        <w:t>If the ratios of depth to web thickness mentioned in subsection (31) are exceeded, the maximum vertical shearing stress shall not exceed that determined by the formula—</w:t>
      </w:r>
    </w:p>
    <w:p w:rsidR="00B40966" w:rsidRDefault="00B40966">
      <w:pPr>
        <w:pStyle w:val="Formula"/>
      </w:pPr>
      <w:r>
        <w:rPr>
          <w:position w:val="-30"/>
        </w:rPr>
        <w:object w:dxaOrig="5000" w:dyaOrig="720">
          <v:shape id="_x0000_i1033" type="#_x0000_t75" style="width:249.75pt;height:36pt" o:ole="" fillcolor="window">
            <v:imagedata r:id="rId64" o:title=""/>
          </v:shape>
          <o:OLEObject Type="Embed" ProgID="Equation.3" ShapeID="_x0000_i1033" DrawAspect="Content" ObjectID="_1595937050" r:id="rId65"/>
        </w:object>
      </w:r>
    </w:p>
    <w:p w:rsidR="00B40966" w:rsidRDefault="00B40966">
      <w:pPr>
        <w:pStyle w:val="Amain"/>
      </w:pPr>
      <w:r>
        <w:tab/>
        <w:t>(34)</w:t>
      </w:r>
      <w:r>
        <w:tab/>
        <w:t xml:space="preserve">For subsection (33), the value of </w:t>
      </w:r>
      <w:r>
        <w:rPr>
          <w:b/>
        </w:rPr>
        <w:t>K</w:t>
      </w:r>
      <w:r>
        <w:t xml:space="preserve"> shall be selected from table 126.3 in conformity with, and as appropriate to the ratio </w:t>
      </w:r>
      <w:r>
        <w:rPr>
          <w:position w:val="-24"/>
        </w:rPr>
        <w:object w:dxaOrig="340" w:dyaOrig="620">
          <v:shape id="_x0000_i1034" type="#_x0000_t75" style="width:17.25pt;height:30.75pt" o:ole="" fillcolor="window">
            <v:imagedata r:id="rId66" o:title=""/>
          </v:shape>
          <o:OLEObject Type="Embed" ProgID="Equation.2" ShapeID="_x0000_i1034" DrawAspect="Content" ObjectID="_1595937051" r:id="rId67"/>
        </w:object>
      </w:r>
      <w:r>
        <w:t xml:space="preserve"> where </w:t>
      </w:r>
      <w:r>
        <w:rPr>
          <w:rStyle w:val="charItals"/>
          <w:b/>
        </w:rPr>
        <w:t>d</w:t>
      </w:r>
      <w:r>
        <w:rPr>
          <w:b/>
          <w:position w:val="-6"/>
          <w:sz w:val="12"/>
        </w:rPr>
        <w:t>1</w:t>
      </w:r>
      <w:r>
        <w:t xml:space="preserve"> is the longer and </w:t>
      </w:r>
      <w:r>
        <w:rPr>
          <w:rStyle w:val="charItals"/>
          <w:b/>
        </w:rPr>
        <w:t>d</w:t>
      </w:r>
      <w:r>
        <w:t xml:space="preserve"> the lesser rectilinear dimensions of the panels into which the web is divided by effective stiffeners, measured in the vicinity of the stress assessed.</w:t>
      </w:r>
    </w:p>
    <w:p w:rsidR="00B40966" w:rsidRDefault="00B40966">
      <w:pPr>
        <w:pStyle w:val="TableHd"/>
      </w:pPr>
      <w:r>
        <w:t>Table 126.3</w:t>
      </w:r>
    </w:p>
    <w:tbl>
      <w:tblPr>
        <w:tblW w:w="7178" w:type="dxa"/>
        <w:tblInd w:w="80" w:type="dxa"/>
        <w:tblLayout w:type="fixed"/>
        <w:tblCellMar>
          <w:left w:w="80" w:type="dxa"/>
          <w:right w:w="80" w:type="dxa"/>
        </w:tblCellMar>
        <w:tblLook w:val="0000" w:firstRow="0" w:lastRow="0" w:firstColumn="0" w:lastColumn="0" w:noHBand="0" w:noVBand="0"/>
      </w:tblPr>
      <w:tblGrid>
        <w:gridCol w:w="1311"/>
        <w:gridCol w:w="684"/>
        <w:gridCol w:w="570"/>
        <w:gridCol w:w="570"/>
        <w:gridCol w:w="570"/>
        <w:gridCol w:w="570"/>
        <w:gridCol w:w="570"/>
        <w:gridCol w:w="570"/>
        <w:gridCol w:w="570"/>
        <w:gridCol w:w="570"/>
        <w:gridCol w:w="623"/>
      </w:tblGrid>
      <w:tr w:rsidR="00B40966">
        <w:trPr>
          <w:cantSplit/>
        </w:trPr>
        <w:tc>
          <w:tcPr>
            <w:tcW w:w="1311" w:type="dxa"/>
            <w:tcBorders>
              <w:top w:val="single" w:sz="6" w:space="0" w:color="auto"/>
            </w:tcBorders>
          </w:tcPr>
          <w:p w:rsidR="00B40966" w:rsidRDefault="00B40966">
            <w:r>
              <w:t xml:space="preserve">ratio   </w:t>
            </w:r>
            <w:r>
              <w:fldChar w:fldCharType="begin"/>
            </w:r>
            <w:r>
              <w:instrText xml:space="preserve"> EQ \F(</w:instrText>
            </w:r>
            <w:r>
              <w:rPr>
                <w:i/>
              </w:rPr>
              <w:instrText>d</w:instrText>
            </w:r>
            <w:r>
              <w:rPr>
                <w:position w:val="-6"/>
                <w:sz w:val="10"/>
              </w:rPr>
              <w:instrText>1</w:instrText>
            </w:r>
            <w:r>
              <w:instrText>,</w:instrText>
            </w:r>
            <w:r>
              <w:rPr>
                <w:i/>
              </w:rPr>
              <w:instrText>d</w:instrText>
            </w:r>
            <w:r>
              <w:instrText xml:space="preserve">) </w:instrText>
            </w:r>
            <w:r>
              <w:fldChar w:fldCharType="end"/>
            </w:r>
          </w:p>
        </w:tc>
        <w:tc>
          <w:tcPr>
            <w:tcW w:w="684" w:type="dxa"/>
            <w:tcBorders>
              <w:top w:val="single" w:sz="6" w:space="0" w:color="auto"/>
            </w:tcBorders>
          </w:tcPr>
          <w:p w:rsidR="00B40966" w:rsidRDefault="00B40966">
            <w:pPr>
              <w:pStyle w:val="TableText"/>
              <w:spacing w:before="180"/>
            </w:pPr>
            <w:r>
              <w:t>1.0</w:t>
            </w:r>
          </w:p>
        </w:tc>
        <w:tc>
          <w:tcPr>
            <w:tcW w:w="570" w:type="dxa"/>
            <w:tcBorders>
              <w:top w:val="single" w:sz="6" w:space="0" w:color="auto"/>
            </w:tcBorders>
          </w:tcPr>
          <w:p w:rsidR="00B40966" w:rsidRDefault="00B40966">
            <w:pPr>
              <w:pStyle w:val="TableText"/>
              <w:spacing w:before="180"/>
            </w:pPr>
            <w:r>
              <w:t>1.2</w:t>
            </w:r>
          </w:p>
        </w:tc>
        <w:tc>
          <w:tcPr>
            <w:tcW w:w="570" w:type="dxa"/>
            <w:tcBorders>
              <w:top w:val="single" w:sz="6" w:space="0" w:color="auto"/>
            </w:tcBorders>
          </w:tcPr>
          <w:p w:rsidR="00B40966" w:rsidRDefault="00B40966">
            <w:pPr>
              <w:pStyle w:val="TableText"/>
              <w:spacing w:before="180"/>
            </w:pPr>
            <w:r>
              <w:t>1.4</w:t>
            </w:r>
          </w:p>
        </w:tc>
        <w:tc>
          <w:tcPr>
            <w:tcW w:w="570" w:type="dxa"/>
            <w:tcBorders>
              <w:top w:val="single" w:sz="6" w:space="0" w:color="auto"/>
            </w:tcBorders>
          </w:tcPr>
          <w:p w:rsidR="00B40966" w:rsidRDefault="00B40966">
            <w:pPr>
              <w:pStyle w:val="TableText"/>
              <w:spacing w:before="180"/>
            </w:pPr>
            <w:r>
              <w:t>1.5</w:t>
            </w:r>
          </w:p>
        </w:tc>
        <w:tc>
          <w:tcPr>
            <w:tcW w:w="570" w:type="dxa"/>
            <w:tcBorders>
              <w:top w:val="single" w:sz="6" w:space="0" w:color="auto"/>
            </w:tcBorders>
          </w:tcPr>
          <w:p w:rsidR="00B40966" w:rsidRDefault="00B40966">
            <w:pPr>
              <w:pStyle w:val="TableText"/>
              <w:spacing w:before="180"/>
            </w:pPr>
            <w:r>
              <w:t>1.6</w:t>
            </w:r>
          </w:p>
        </w:tc>
        <w:tc>
          <w:tcPr>
            <w:tcW w:w="570" w:type="dxa"/>
            <w:tcBorders>
              <w:top w:val="single" w:sz="6" w:space="0" w:color="auto"/>
            </w:tcBorders>
          </w:tcPr>
          <w:p w:rsidR="00B40966" w:rsidRDefault="00B40966">
            <w:pPr>
              <w:pStyle w:val="TableText"/>
              <w:spacing w:before="180"/>
            </w:pPr>
            <w:r>
              <w:t>1.8</w:t>
            </w:r>
          </w:p>
        </w:tc>
        <w:tc>
          <w:tcPr>
            <w:tcW w:w="570" w:type="dxa"/>
            <w:tcBorders>
              <w:top w:val="single" w:sz="6" w:space="0" w:color="auto"/>
            </w:tcBorders>
          </w:tcPr>
          <w:p w:rsidR="00B40966" w:rsidRDefault="00B40966">
            <w:pPr>
              <w:pStyle w:val="TableText"/>
              <w:spacing w:before="180"/>
            </w:pPr>
            <w:r>
              <w:t>2.0</w:t>
            </w:r>
          </w:p>
        </w:tc>
        <w:tc>
          <w:tcPr>
            <w:tcW w:w="570" w:type="dxa"/>
            <w:tcBorders>
              <w:top w:val="single" w:sz="6" w:space="0" w:color="auto"/>
            </w:tcBorders>
          </w:tcPr>
          <w:p w:rsidR="00B40966" w:rsidRDefault="00B40966">
            <w:pPr>
              <w:pStyle w:val="TableText"/>
              <w:spacing w:before="180"/>
            </w:pPr>
            <w:r>
              <w:t>2.5</w:t>
            </w:r>
          </w:p>
        </w:tc>
        <w:tc>
          <w:tcPr>
            <w:tcW w:w="570" w:type="dxa"/>
            <w:tcBorders>
              <w:top w:val="single" w:sz="6" w:space="0" w:color="auto"/>
            </w:tcBorders>
          </w:tcPr>
          <w:p w:rsidR="00B40966" w:rsidRDefault="00B40966">
            <w:pPr>
              <w:pStyle w:val="TableText"/>
              <w:spacing w:before="180"/>
            </w:pPr>
            <w:r>
              <w:t>3.0</w:t>
            </w:r>
          </w:p>
        </w:tc>
        <w:tc>
          <w:tcPr>
            <w:tcW w:w="623" w:type="dxa"/>
            <w:tcBorders>
              <w:top w:val="single" w:sz="6" w:space="0" w:color="auto"/>
            </w:tcBorders>
          </w:tcPr>
          <w:p w:rsidR="00B40966" w:rsidRDefault="00B40966">
            <w:pPr>
              <w:spacing w:before="180"/>
            </w:pPr>
            <w:r>
              <w:rPr>
                <w:position w:val="-4"/>
              </w:rPr>
              <w:object w:dxaOrig="240" w:dyaOrig="200">
                <v:shape id="_x0000_i1035" type="#_x0000_t75" style="width:12pt;height:9.75pt" o:ole="" fillcolor="window">
                  <v:imagedata r:id="rId68" o:title=""/>
                </v:shape>
                <o:OLEObject Type="Embed" ProgID="Equation.3" ShapeID="_x0000_i1035" DrawAspect="Content" ObjectID="_1595937052" r:id="rId69"/>
              </w:object>
            </w:r>
          </w:p>
        </w:tc>
      </w:tr>
      <w:tr w:rsidR="00B40966">
        <w:trPr>
          <w:cantSplit/>
        </w:trPr>
        <w:tc>
          <w:tcPr>
            <w:tcW w:w="1311" w:type="dxa"/>
            <w:tcBorders>
              <w:top w:val="single" w:sz="6" w:space="0" w:color="auto"/>
              <w:bottom w:val="single" w:sz="6" w:space="0" w:color="auto"/>
            </w:tcBorders>
          </w:tcPr>
          <w:p w:rsidR="00B40966" w:rsidRDefault="00B40966">
            <w:pPr>
              <w:pStyle w:val="TableText"/>
            </w:pPr>
            <w:r>
              <w:t>K</w:t>
            </w:r>
            <w:r>
              <w:tab/>
            </w:r>
          </w:p>
        </w:tc>
        <w:tc>
          <w:tcPr>
            <w:tcW w:w="684" w:type="dxa"/>
            <w:tcBorders>
              <w:top w:val="single" w:sz="6" w:space="0" w:color="auto"/>
              <w:bottom w:val="single" w:sz="6" w:space="0" w:color="auto"/>
            </w:tcBorders>
          </w:tcPr>
          <w:p w:rsidR="00B40966" w:rsidRDefault="00B40966">
            <w:pPr>
              <w:pStyle w:val="TableText"/>
            </w:pPr>
            <w:r>
              <w:t>9.42</w:t>
            </w:r>
          </w:p>
        </w:tc>
        <w:tc>
          <w:tcPr>
            <w:tcW w:w="570" w:type="dxa"/>
            <w:tcBorders>
              <w:top w:val="single" w:sz="6" w:space="0" w:color="auto"/>
              <w:bottom w:val="single" w:sz="6" w:space="0" w:color="auto"/>
            </w:tcBorders>
          </w:tcPr>
          <w:p w:rsidR="00B40966" w:rsidRDefault="00B40966">
            <w:pPr>
              <w:pStyle w:val="TableText"/>
            </w:pPr>
            <w:r>
              <w:t>8.0</w:t>
            </w:r>
          </w:p>
        </w:tc>
        <w:tc>
          <w:tcPr>
            <w:tcW w:w="570" w:type="dxa"/>
            <w:tcBorders>
              <w:top w:val="single" w:sz="6" w:space="0" w:color="auto"/>
              <w:bottom w:val="single" w:sz="6" w:space="0" w:color="auto"/>
            </w:tcBorders>
          </w:tcPr>
          <w:p w:rsidR="00B40966" w:rsidRDefault="00B40966">
            <w:pPr>
              <w:pStyle w:val="TableText"/>
            </w:pPr>
            <w:r>
              <w:t>7.3</w:t>
            </w:r>
          </w:p>
        </w:tc>
        <w:tc>
          <w:tcPr>
            <w:tcW w:w="570" w:type="dxa"/>
            <w:tcBorders>
              <w:top w:val="single" w:sz="6" w:space="0" w:color="auto"/>
              <w:bottom w:val="single" w:sz="6" w:space="0" w:color="auto"/>
            </w:tcBorders>
          </w:tcPr>
          <w:p w:rsidR="00B40966" w:rsidRDefault="00B40966">
            <w:pPr>
              <w:pStyle w:val="TableText"/>
            </w:pPr>
            <w:r>
              <w:t>7.1</w:t>
            </w:r>
          </w:p>
        </w:tc>
        <w:tc>
          <w:tcPr>
            <w:tcW w:w="570" w:type="dxa"/>
            <w:tcBorders>
              <w:top w:val="single" w:sz="6" w:space="0" w:color="auto"/>
              <w:bottom w:val="single" w:sz="6" w:space="0" w:color="auto"/>
            </w:tcBorders>
          </w:tcPr>
          <w:p w:rsidR="00B40966" w:rsidRDefault="00B40966">
            <w:pPr>
              <w:pStyle w:val="TableText"/>
            </w:pPr>
            <w:r>
              <w:t>7.0</w:t>
            </w:r>
          </w:p>
        </w:tc>
        <w:tc>
          <w:tcPr>
            <w:tcW w:w="570" w:type="dxa"/>
            <w:tcBorders>
              <w:top w:val="single" w:sz="6" w:space="0" w:color="auto"/>
              <w:bottom w:val="single" w:sz="6" w:space="0" w:color="auto"/>
            </w:tcBorders>
          </w:tcPr>
          <w:p w:rsidR="00B40966" w:rsidRDefault="00B40966">
            <w:pPr>
              <w:pStyle w:val="TableText"/>
            </w:pPr>
            <w:r>
              <w:t>6.8</w:t>
            </w:r>
          </w:p>
        </w:tc>
        <w:tc>
          <w:tcPr>
            <w:tcW w:w="570" w:type="dxa"/>
            <w:tcBorders>
              <w:top w:val="single" w:sz="6" w:space="0" w:color="auto"/>
              <w:bottom w:val="single" w:sz="6" w:space="0" w:color="auto"/>
            </w:tcBorders>
          </w:tcPr>
          <w:p w:rsidR="00B40966" w:rsidRDefault="00B40966">
            <w:pPr>
              <w:pStyle w:val="TableText"/>
            </w:pPr>
            <w:r>
              <w:t>6.6</w:t>
            </w:r>
          </w:p>
        </w:tc>
        <w:tc>
          <w:tcPr>
            <w:tcW w:w="570" w:type="dxa"/>
            <w:tcBorders>
              <w:top w:val="single" w:sz="6" w:space="0" w:color="auto"/>
              <w:bottom w:val="single" w:sz="6" w:space="0" w:color="auto"/>
            </w:tcBorders>
          </w:tcPr>
          <w:p w:rsidR="00B40966" w:rsidRDefault="00B40966">
            <w:pPr>
              <w:pStyle w:val="TableText"/>
            </w:pPr>
            <w:r>
              <w:t>6.3</w:t>
            </w:r>
          </w:p>
        </w:tc>
        <w:tc>
          <w:tcPr>
            <w:tcW w:w="570" w:type="dxa"/>
            <w:tcBorders>
              <w:top w:val="single" w:sz="6" w:space="0" w:color="auto"/>
              <w:bottom w:val="single" w:sz="6" w:space="0" w:color="auto"/>
            </w:tcBorders>
          </w:tcPr>
          <w:p w:rsidR="00B40966" w:rsidRDefault="00B40966">
            <w:pPr>
              <w:pStyle w:val="TableText"/>
            </w:pPr>
            <w:r>
              <w:t>6.1</w:t>
            </w:r>
          </w:p>
        </w:tc>
        <w:tc>
          <w:tcPr>
            <w:tcW w:w="623" w:type="dxa"/>
            <w:tcBorders>
              <w:top w:val="single" w:sz="6" w:space="0" w:color="auto"/>
              <w:bottom w:val="single" w:sz="6" w:space="0" w:color="auto"/>
            </w:tcBorders>
          </w:tcPr>
          <w:p w:rsidR="00B40966" w:rsidRDefault="00B40966">
            <w:pPr>
              <w:pStyle w:val="TableText"/>
            </w:pPr>
            <w:r>
              <w:t>5.35</w:t>
            </w:r>
          </w:p>
        </w:tc>
      </w:tr>
    </w:tbl>
    <w:p w:rsidR="00B40966" w:rsidRDefault="00B40966"/>
    <w:p w:rsidR="00B40966" w:rsidRDefault="00B40966">
      <w:pPr>
        <w:pStyle w:val="Amain"/>
      </w:pPr>
      <w:r>
        <w:tab/>
        <w:t>(35)</w:t>
      </w:r>
      <w:r>
        <w:tab/>
        <w:t>If vertical shearing stresses are low and the depth of web is less than 132 times the web thickness for mild, or 120 times the web thickness for high tensile steels as mentioned in subsections (29) and (30), the following compressive stresses shall not be exceeded at any section of the web:</w:t>
      </w:r>
    </w:p>
    <w:p w:rsidR="00B40966" w:rsidRDefault="00B40966">
      <w:pPr>
        <w:pStyle w:val="Apara"/>
      </w:pPr>
      <w:r>
        <w:tab/>
        <w:t>(a)</w:t>
      </w:r>
      <w:r>
        <w:tab/>
        <w:t>for such mild steel—8 tons per square inch;</w:t>
      </w:r>
    </w:p>
    <w:p w:rsidR="00B40966" w:rsidRDefault="00B40966">
      <w:pPr>
        <w:pStyle w:val="Apara"/>
      </w:pPr>
      <w:r>
        <w:tab/>
        <w:t>(b)</w:t>
      </w:r>
      <w:r>
        <w:tab/>
        <w:t>for such high tensile steel—9 tons per square inch.</w:t>
      </w:r>
    </w:p>
    <w:p w:rsidR="00B40966" w:rsidRDefault="00B40966">
      <w:pPr>
        <w:pStyle w:val="Amain"/>
      </w:pPr>
      <w:r>
        <w:tab/>
        <w:t>(36)</w:t>
      </w:r>
      <w:r>
        <w:tab/>
        <w:t>If relationships of web depths to thicknesses mentioned in subsection (35) are exceeded, the compressive stress in the web shall not exceed that determined by the formula—</w:t>
      </w:r>
    </w:p>
    <w:p w:rsidR="00B40966" w:rsidRDefault="00B40966">
      <w:pPr>
        <w:pStyle w:val="Formula"/>
      </w:pPr>
      <w:r>
        <w:rPr>
          <w:position w:val="-30"/>
        </w:rPr>
        <w:object w:dxaOrig="5000" w:dyaOrig="720">
          <v:shape id="_x0000_i1036" type="#_x0000_t75" style="width:249.75pt;height:36pt" o:ole="" fillcolor="window">
            <v:imagedata r:id="rId70" o:title=""/>
          </v:shape>
          <o:OLEObject Type="Embed" ProgID="Equation.3" ShapeID="_x0000_i1036" DrawAspect="Content" ObjectID="_1595937053" r:id="rId71"/>
        </w:object>
      </w:r>
    </w:p>
    <w:p w:rsidR="00B40966" w:rsidRDefault="00B40966">
      <w:pPr>
        <w:pStyle w:val="Amain"/>
      </w:pPr>
      <w:r>
        <w:tab/>
        <w:t>(37)</w:t>
      </w:r>
      <w:r>
        <w:tab/>
        <w:t xml:space="preserve">For subsection (36), the value of </w:t>
      </w:r>
      <w:r>
        <w:rPr>
          <w:b/>
        </w:rPr>
        <w:t>K</w:t>
      </w:r>
      <w:r>
        <w:t xml:space="preserve"> shall be selected from table 126.4 in conformity with, and appropriate to the ratio </w:t>
      </w:r>
      <w:r>
        <w:rPr>
          <w:position w:val="-24"/>
        </w:rPr>
        <w:object w:dxaOrig="340" w:dyaOrig="620">
          <v:shape id="_x0000_i1037" type="#_x0000_t75" style="width:17.25pt;height:30.75pt" o:ole="" fillcolor="window">
            <v:imagedata r:id="rId66" o:title=""/>
          </v:shape>
          <o:OLEObject Type="Embed" ProgID="Equation.2" ShapeID="_x0000_i1037" DrawAspect="Content" ObjectID="_1595937054" r:id="rId72"/>
        </w:object>
      </w:r>
      <w:r>
        <w:t xml:space="preserve"> with the same meaning as mentioned in subsection (34).</w:t>
      </w:r>
    </w:p>
    <w:p w:rsidR="00B40966" w:rsidRDefault="00B40966">
      <w:pPr>
        <w:pStyle w:val="TableHd"/>
        <w:ind w:hanging="1542"/>
      </w:pPr>
      <w:r>
        <w:t>Table 126.4</w:t>
      </w:r>
    </w:p>
    <w:tbl>
      <w:tblPr>
        <w:tblW w:w="8892" w:type="dxa"/>
        <w:tblInd w:w="-262" w:type="dxa"/>
        <w:tblLayout w:type="fixed"/>
        <w:tblCellMar>
          <w:left w:w="80" w:type="dxa"/>
          <w:right w:w="80" w:type="dxa"/>
        </w:tblCellMar>
        <w:tblLook w:val="0000" w:firstRow="0" w:lastRow="0" w:firstColumn="0" w:lastColumn="0" w:noHBand="0" w:noVBand="0"/>
      </w:tblPr>
      <w:tblGrid>
        <w:gridCol w:w="1311"/>
        <w:gridCol w:w="627"/>
        <w:gridCol w:w="627"/>
        <w:gridCol w:w="627"/>
        <w:gridCol w:w="627"/>
        <w:gridCol w:w="627"/>
        <w:gridCol w:w="627"/>
        <w:gridCol w:w="627"/>
        <w:gridCol w:w="627"/>
        <w:gridCol w:w="627"/>
        <w:gridCol w:w="627"/>
        <w:gridCol w:w="627"/>
        <w:gridCol w:w="684"/>
      </w:tblGrid>
      <w:tr w:rsidR="00B40966">
        <w:trPr>
          <w:cantSplit/>
        </w:trPr>
        <w:tc>
          <w:tcPr>
            <w:tcW w:w="1311" w:type="dxa"/>
            <w:tcBorders>
              <w:top w:val="single" w:sz="6" w:space="0" w:color="auto"/>
            </w:tcBorders>
          </w:tcPr>
          <w:p w:rsidR="00B40966" w:rsidRDefault="00B40966">
            <w:r>
              <w:t xml:space="preserve">ratio    </w:t>
            </w:r>
            <w:r>
              <w:fldChar w:fldCharType="begin"/>
            </w:r>
            <w:r>
              <w:instrText xml:space="preserve"> EQ \F(d1,d) </w:instrText>
            </w:r>
            <w:r>
              <w:fldChar w:fldCharType="end"/>
            </w:r>
          </w:p>
        </w:tc>
        <w:tc>
          <w:tcPr>
            <w:tcW w:w="627" w:type="dxa"/>
            <w:tcBorders>
              <w:top w:val="single" w:sz="6" w:space="0" w:color="auto"/>
            </w:tcBorders>
          </w:tcPr>
          <w:p w:rsidR="00B40966" w:rsidRDefault="00B40966">
            <w:pPr>
              <w:pStyle w:val="TableText"/>
              <w:spacing w:before="180"/>
            </w:pPr>
            <w:r>
              <w:t>0.4</w:t>
            </w:r>
          </w:p>
        </w:tc>
        <w:tc>
          <w:tcPr>
            <w:tcW w:w="627" w:type="dxa"/>
            <w:tcBorders>
              <w:top w:val="single" w:sz="6" w:space="0" w:color="auto"/>
            </w:tcBorders>
          </w:tcPr>
          <w:p w:rsidR="00B40966" w:rsidRDefault="00B40966">
            <w:pPr>
              <w:pStyle w:val="TableText"/>
              <w:spacing w:before="180"/>
            </w:pPr>
            <w:r>
              <w:t>0.5</w:t>
            </w:r>
          </w:p>
        </w:tc>
        <w:tc>
          <w:tcPr>
            <w:tcW w:w="627" w:type="dxa"/>
            <w:tcBorders>
              <w:top w:val="single" w:sz="6" w:space="0" w:color="auto"/>
            </w:tcBorders>
          </w:tcPr>
          <w:p w:rsidR="00B40966" w:rsidRDefault="00B40966">
            <w:pPr>
              <w:pStyle w:val="TableText"/>
              <w:spacing w:before="180"/>
            </w:pPr>
            <w:r>
              <w:t>0.6</w:t>
            </w:r>
          </w:p>
        </w:tc>
        <w:tc>
          <w:tcPr>
            <w:tcW w:w="627" w:type="dxa"/>
            <w:tcBorders>
              <w:top w:val="single" w:sz="6" w:space="0" w:color="auto"/>
            </w:tcBorders>
          </w:tcPr>
          <w:p w:rsidR="00B40966" w:rsidRDefault="00B40966">
            <w:pPr>
              <w:pStyle w:val="TableText"/>
              <w:spacing w:before="180"/>
            </w:pPr>
            <w:r>
              <w:t>0.67</w:t>
            </w:r>
          </w:p>
        </w:tc>
        <w:tc>
          <w:tcPr>
            <w:tcW w:w="627" w:type="dxa"/>
            <w:tcBorders>
              <w:top w:val="single" w:sz="6" w:space="0" w:color="auto"/>
            </w:tcBorders>
          </w:tcPr>
          <w:p w:rsidR="00B40966" w:rsidRDefault="00B40966">
            <w:pPr>
              <w:pStyle w:val="TableText"/>
              <w:spacing w:before="180"/>
            </w:pPr>
            <w:r>
              <w:t>0.75</w:t>
            </w:r>
          </w:p>
        </w:tc>
        <w:tc>
          <w:tcPr>
            <w:tcW w:w="627" w:type="dxa"/>
            <w:tcBorders>
              <w:top w:val="single" w:sz="6" w:space="0" w:color="auto"/>
            </w:tcBorders>
          </w:tcPr>
          <w:p w:rsidR="00B40966" w:rsidRDefault="00B40966">
            <w:pPr>
              <w:pStyle w:val="TableText"/>
              <w:spacing w:before="180"/>
            </w:pPr>
            <w:r>
              <w:t>0.8</w:t>
            </w:r>
          </w:p>
        </w:tc>
        <w:tc>
          <w:tcPr>
            <w:tcW w:w="627" w:type="dxa"/>
            <w:tcBorders>
              <w:top w:val="single" w:sz="6" w:space="0" w:color="auto"/>
            </w:tcBorders>
          </w:tcPr>
          <w:p w:rsidR="00B40966" w:rsidRDefault="00B40966">
            <w:pPr>
              <w:pStyle w:val="TableText"/>
              <w:spacing w:before="180"/>
            </w:pPr>
            <w:r>
              <w:t>0.9</w:t>
            </w:r>
          </w:p>
        </w:tc>
        <w:tc>
          <w:tcPr>
            <w:tcW w:w="627" w:type="dxa"/>
            <w:tcBorders>
              <w:top w:val="single" w:sz="6" w:space="0" w:color="auto"/>
            </w:tcBorders>
          </w:tcPr>
          <w:p w:rsidR="00B40966" w:rsidRDefault="00B40966">
            <w:pPr>
              <w:pStyle w:val="TableText"/>
              <w:spacing w:before="180"/>
            </w:pPr>
            <w:r>
              <w:t>1.0</w:t>
            </w:r>
          </w:p>
        </w:tc>
        <w:tc>
          <w:tcPr>
            <w:tcW w:w="627" w:type="dxa"/>
            <w:tcBorders>
              <w:top w:val="single" w:sz="6" w:space="0" w:color="auto"/>
            </w:tcBorders>
          </w:tcPr>
          <w:p w:rsidR="00B40966" w:rsidRDefault="00B40966">
            <w:pPr>
              <w:pStyle w:val="TableText"/>
              <w:spacing w:before="180"/>
            </w:pPr>
            <w:r>
              <w:t>1.5</w:t>
            </w:r>
          </w:p>
        </w:tc>
        <w:tc>
          <w:tcPr>
            <w:tcW w:w="627" w:type="dxa"/>
            <w:tcBorders>
              <w:top w:val="single" w:sz="6" w:space="0" w:color="auto"/>
            </w:tcBorders>
          </w:tcPr>
          <w:p w:rsidR="00B40966" w:rsidRDefault="00B40966">
            <w:pPr>
              <w:pStyle w:val="TableText"/>
              <w:spacing w:before="180"/>
            </w:pPr>
            <w:r>
              <w:t>2.0</w:t>
            </w:r>
          </w:p>
        </w:tc>
        <w:tc>
          <w:tcPr>
            <w:tcW w:w="627" w:type="dxa"/>
            <w:tcBorders>
              <w:top w:val="single" w:sz="6" w:space="0" w:color="auto"/>
            </w:tcBorders>
          </w:tcPr>
          <w:p w:rsidR="00B40966" w:rsidRDefault="00B40966">
            <w:pPr>
              <w:pStyle w:val="TableText"/>
              <w:spacing w:before="180"/>
            </w:pPr>
            <w:r>
              <w:t>3.0</w:t>
            </w:r>
          </w:p>
        </w:tc>
        <w:tc>
          <w:tcPr>
            <w:tcW w:w="684" w:type="dxa"/>
            <w:tcBorders>
              <w:top w:val="single" w:sz="6" w:space="0" w:color="auto"/>
            </w:tcBorders>
          </w:tcPr>
          <w:p w:rsidR="00B40966" w:rsidRDefault="00B40966">
            <w:pPr>
              <w:pStyle w:val="TableText"/>
              <w:spacing w:before="180"/>
            </w:pPr>
            <w:r>
              <w:t>8</w:t>
            </w:r>
          </w:p>
        </w:tc>
      </w:tr>
      <w:tr w:rsidR="00B40966">
        <w:trPr>
          <w:cantSplit/>
        </w:trPr>
        <w:tc>
          <w:tcPr>
            <w:tcW w:w="1311" w:type="dxa"/>
            <w:tcBorders>
              <w:top w:val="single" w:sz="6" w:space="0" w:color="auto"/>
              <w:bottom w:val="single" w:sz="6" w:space="0" w:color="auto"/>
            </w:tcBorders>
          </w:tcPr>
          <w:p w:rsidR="00B40966" w:rsidRDefault="00B40966">
            <w:pPr>
              <w:pStyle w:val="TableText"/>
            </w:pPr>
            <w:r>
              <w:t>K</w:t>
            </w:r>
            <w:r>
              <w:tab/>
            </w:r>
          </w:p>
        </w:tc>
        <w:tc>
          <w:tcPr>
            <w:tcW w:w="627" w:type="dxa"/>
            <w:tcBorders>
              <w:top w:val="single" w:sz="6" w:space="0" w:color="auto"/>
              <w:bottom w:val="single" w:sz="6" w:space="0" w:color="auto"/>
            </w:tcBorders>
          </w:tcPr>
          <w:p w:rsidR="00B40966" w:rsidRDefault="00B40966">
            <w:pPr>
              <w:pStyle w:val="TableText"/>
            </w:pPr>
            <w:r>
              <w:t>23.9</w:t>
            </w:r>
          </w:p>
        </w:tc>
        <w:tc>
          <w:tcPr>
            <w:tcW w:w="627" w:type="dxa"/>
            <w:tcBorders>
              <w:top w:val="single" w:sz="6" w:space="0" w:color="auto"/>
              <w:bottom w:val="single" w:sz="6" w:space="0" w:color="auto"/>
            </w:tcBorders>
          </w:tcPr>
          <w:p w:rsidR="00B40966" w:rsidRDefault="00B40966">
            <w:pPr>
              <w:pStyle w:val="TableText"/>
            </w:pPr>
            <w:r>
              <w:t>21.1</w:t>
            </w:r>
          </w:p>
        </w:tc>
        <w:tc>
          <w:tcPr>
            <w:tcW w:w="627" w:type="dxa"/>
            <w:tcBorders>
              <w:top w:val="single" w:sz="6" w:space="0" w:color="auto"/>
              <w:bottom w:val="single" w:sz="6" w:space="0" w:color="auto"/>
            </w:tcBorders>
          </w:tcPr>
          <w:p w:rsidR="00B40966" w:rsidRDefault="00B40966">
            <w:pPr>
              <w:pStyle w:val="TableText"/>
            </w:pPr>
            <w:r>
              <w:t>19.8</w:t>
            </w:r>
          </w:p>
        </w:tc>
        <w:tc>
          <w:tcPr>
            <w:tcW w:w="627" w:type="dxa"/>
            <w:tcBorders>
              <w:top w:val="single" w:sz="6" w:space="0" w:color="auto"/>
              <w:bottom w:val="single" w:sz="6" w:space="0" w:color="auto"/>
            </w:tcBorders>
          </w:tcPr>
          <w:p w:rsidR="00B40966" w:rsidRDefault="00B40966">
            <w:pPr>
              <w:pStyle w:val="TableText"/>
            </w:pPr>
            <w:r>
              <w:t>19.7</w:t>
            </w:r>
          </w:p>
        </w:tc>
        <w:tc>
          <w:tcPr>
            <w:tcW w:w="627" w:type="dxa"/>
            <w:tcBorders>
              <w:top w:val="single" w:sz="6" w:space="0" w:color="auto"/>
              <w:bottom w:val="single" w:sz="6" w:space="0" w:color="auto"/>
            </w:tcBorders>
          </w:tcPr>
          <w:p w:rsidR="00B40966" w:rsidRDefault="00B40966">
            <w:pPr>
              <w:pStyle w:val="TableText"/>
            </w:pPr>
            <w:r>
              <w:t>19.8</w:t>
            </w:r>
          </w:p>
        </w:tc>
        <w:tc>
          <w:tcPr>
            <w:tcW w:w="627" w:type="dxa"/>
            <w:tcBorders>
              <w:top w:val="single" w:sz="6" w:space="0" w:color="auto"/>
              <w:bottom w:val="single" w:sz="6" w:space="0" w:color="auto"/>
            </w:tcBorders>
          </w:tcPr>
          <w:p w:rsidR="00B40966" w:rsidRDefault="00B40966">
            <w:pPr>
              <w:pStyle w:val="TableText"/>
            </w:pPr>
            <w:r>
              <w:t>20.1</w:t>
            </w:r>
          </w:p>
        </w:tc>
        <w:tc>
          <w:tcPr>
            <w:tcW w:w="627" w:type="dxa"/>
            <w:tcBorders>
              <w:top w:val="single" w:sz="6" w:space="0" w:color="auto"/>
              <w:bottom w:val="single" w:sz="6" w:space="0" w:color="auto"/>
            </w:tcBorders>
          </w:tcPr>
          <w:p w:rsidR="00B40966" w:rsidRDefault="00B40966">
            <w:pPr>
              <w:pStyle w:val="TableText"/>
            </w:pPr>
            <w:r>
              <w:t>21.1</w:t>
            </w:r>
          </w:p>
        </w:tc>
        <w:tc>
          <w:tcPr>
            <w:tcW w:w="627" w:type="dxa"/>
            <w:tcBorders>
              <w:top w:val="single" w:sz="6" w:space="0" w:color="auto"/>
              <w:bottom w:val="single" w:sz="6" w:space="0" w:color="auto"/>
            </w:tcBorders>
          </w:tcPr>
          <w:p w:rsidR="00B40966" w:rsidRDefault="00B40966">
            <w:pPr>
              <w:pStyle w:val="TableText"/>
            </w:pPr>
            <w:r>
              <w:t>21.1</w:t>
            </w:r>
          </w:p>
        </w:tc>
        <w:tc>
          <w:tcPr>
            <w:tcW w:w="627" w:type="dxa"/>
            <w:tcBorders>
              <w:top w:val="single" w:sz="6" w:space="0" w:color="auto"/>
              <w:bottom w:val="single" w:sz="6" w:space="0" w:color="auto"/>
            </w:tcBorders>
          </w:tcPr>
          <w:p w:rsidR="00B40966" w:rsidRDefault="00B40966">
            <w:pPr>
              <w:pStyle w:val="TableText"/>
            </w:pPr>
            <w:r>
              <w:t>19.8</w:t>
            </w:r>
          </w:p>
        </w:tc>
        <w:tc>
          <w:tcPr>
            <w:tcW w:w="627" w:type="dxa"/>
            <w:tcBorders>
              <w:top w:val="single" w:sz="6" w:space="0" w:color="auto"/>
              <w:bottom w:val="single" w:sz="6" w:space="0" w:color="auto"/>
            </w:tcBorders>
          </w:tcPr>
          <w:p w:rsidR="00B40966" w:rsidRDefault="00B40966">
            <w:pPr>
              <w:pStyle w:val="TableText"/>
            </w:pPr>
            <w:r>
              <w:t>19.7</w:t>
            </w:r>
          </w:p>
        </w:tc>
        <w:tc>
          <w:tcPr>
            <w:tcW w:w="627" w:type="dxa"/>
            <w:tcBorders>
              <w:top w:val="single" w:sz="6" w:space="0" w:color="auto"/>
              <w:bottom w:val="single" w:sz="6" w:space="0" w:color="auto"/>
            </w:tcBorders>
          </w:tcPr>
          <w:p w:rsidR="00B40966" w:rsidRDefault="00B40966">
            <w:pPr>
              <w:pStyle w:val="TableText"/>
            </w:pPr>
            <w:r>
              <w:t>19.8</w:t>
            </w:r>
          </w:p>
        </w:tc>
        <w:tc>
          <w:tcPr>
            <w:tcW w:w="684" w:type="dxa"/>
            <w:tcBorders>
              <w:top w:val="single" w:sz="6" w:space="0" w:color="auto"/>
              <w:bottom w:val="single" w:sz="6" w:space="0" w:color="auto"/>
            </w:tcBorders>
          </w:tcPr>
          <w:p w:rsidR="00B40966" w:rsidRDefault="00B40966">
            <w:pPr>
              <w:pStyle w:val="TableText"/>
            </w:pPr>
            <w:r>
              <w:t>19.7</w:t>
            </w:r>
          </w:p>
        </w:tc>
      </w:tr>
    </w:tbl>
    <w:p w:rsidR="00B40966" w:rsidRDefault="00B40966"/>
    <w:p w:rsidR="00B40966" w:rsidRDefault="00B40966">
      <w:pPr>
        <w:pStyle w:val="Amain"/>
      </w:pPr>
      <w:r>
        <w:tab/>
        <w:t>(38)</w:t>
      </w:r>
      <w:r>
        <w:tab/>
        <w:t>The stress at the bottom of the Whitworth thread of a bolt or tie rod or other threaded member of mild steel shall not exceed—</w:t>
      </w:r>
    </w:p>
    <w:p w:rsidR="00B40966" w:rsidRDefault="00B40966">
      <w:pPr>
        <w:pStyle w:val="Apara"/>
      </w:pPr>
      <w:r>
        <w:tab/>
        <w:t>(a)</w:t>
      </w:r>
      <w:r>
        <w:tab/>
        <w:t xml:space="preserve">8 000 pounds per square inch for threads up to and including </w:t>
      </w:r>
      <w:r>
        <w:rPr>
          <w:position w:val="6"/>
          <w:sz w:val="18"/>
        </w:rPr>
        <w:t>1</w:t>
      </w:r>
      <w:r>
        <w:t>/</w:t>
      </w:r>
      <w:r>
        <w:rPr>
          <w:sz w:val="18"/>
        </w:rPr>
        <w:t>2</w:t>
      </w:r>
      <w:r>
        <w:t xml:space="preserve"> an inch in diameter;</w:t>
      </w:r>
    </w:p>
    <w:p w:rsidR="00B40966" w:rsidRDefault="00B40966">
      <w:pPr>
        <w:pStyle w:val="Apara"/>
        <w:rPr>
          <w:color w:val="000000"/>
        </w:rPr>
      </w:pPr>
      <w:r>
        <w:rPr>
          <w:color w:val="000000"/>
        </w:rPr>
        <w:tab/>
        <w:t>(b)</w:t>
      </w:r>
      <w:r>
        <w:rPr>
          <w:color w:val="000000"/>
        </w:rPr>
        <w:tab/>
        <w:t xml:space="preserve">12 000 </w:t>
      </w:r>
      <w:r>
        <w:t>pounds</w:t>
      </w:r>
      <w:r>
        <w:rPr>
          <w:color w:val="000000"/>
        </w:rPr>
        <w:t xml:space="preserve"> per square inch for threads </w:t>
      </w:r>
      <w:r>
        <w:rPr>
          <w:color w:val="000000"/>
          <w:position w:val="6"/>
          <w:sz w:val="18"/>
        </w:rPr>
        <w:t>5</w:t>
      </w:r>
      <w:r>
        <w:rPr>
          <w:color w:val="000000"/>
        </w:rPr>
        <w:t>/</w:t>
      </w:r>
      <w:r>
        <w:rPr>
          <w:color w:val="000000"/>
          <w:sz w:val="18"/>
        </w:rPr>
        <w:t>8</w:t>
      </w:r>
      <w:r>
        <w:rPr>
          <w:color w:val="000000"/>
        </w:rPr>
        <w:t xml:space="preserve"> of an inch in diameter;</w:t>
      </w:r>
    </w:p>
    <w:p w:rsidR="00B40966" w:rsidRDefault="00B40966">
      <w:pPr>
        <w:pStyle w:val="Apara"/>
        <w:rPr>
          <w:color w:val="000000"/>
        </w:rPr>
      </w:pPr>
      <w:r>
        <w:rPr>
          <w:color w:val="000000"/>
        </w:rPr>
        <w:tab/>
        <w:t>(c)</w:t>
      </w:r>
      <w:r>
        <w:rPr>
          <w:color w:val="000000"/>
        </w:rPr>
        <w:tab/>
        <w:t xml:space="preserve">16 000 </w:t>
      </w:r>
      <w:r>
        <w:t>pounds</w:t>
      </w:r>
      <w:r>
        <w:rPr>
          <w:color w:val="000000"/>
        </w:rPr>
        <w:t xml:space="preserve"> per square inch for threads </w:t>
      </w:r>
      <w:r>
        <w:rPr>
          <w:color w:val="000000"/>
          <w:position w:val="6"/>
          <w:sz w:val="18"/>
        </w:rPr>
        <w:t>3</w:t>
      </w:r>
      <w:r>
        <w:rPr>
          <w:color w:val="000000"/>
        </w:rPr>
        <w:t>/</w:t>
      </w:r>
      <w:r>
        <w:rPr>
          <w:color w:val="000000"/>
          <w:sz w:val="18"/>
        </w:rPr>
        <w:t>4</w:t>
      </w:r>
      <w:r>
        <w:rPr>
          <w:color w:val="000000"/>
        </w:rPr>
        <w:t xml:space="preserve"> of an inch in diameter;</w:t>
      </w:r>
    </w:p>
    <w:p w:rsidR="00B40966" w:rsidRDefault="00B40966">
      <w:pPr>
        <w:pStyle w:val="Apara"/>
        <w:rPr>
          <w:color w:val="000000"/>
        </w:rPr>
      </w:pPr>
      <w:r>
        <w:rPr>
          <w:color w:val="000000"/>
        </w:rPr>
        <w:tab/>
        <w:t>(d)</w:t>
      </w:r>
      <w:r>
        <w:rPr>
          <w:color w:val="000000"/>
        </w:rPr>
        <w:tab/>
        <w:t xml:space="preserve">20 000 </w:t>
      </w:r>
      <w:r>
        <w:t>pounds</w:t>
      </w:r>
      <w:r>
        <w:rPr>
          <w:color w:val="000000"/>
        </w:rPr>
        <w:t xml:space="preserve"> per square inch for threads </w:t>
      </w:r>
      <w:r>
        <w:rPr>
          <w:color w:val="000000"/>
          <w:position w:val="6"/>
          <w:sz w:val="18"/>
        </w:rPr>
        <w:t>7</w:t>
      </w:r>
      <w:r>
        <w:rPr>
          <w:color w:val="000000"/>
        </w:rPr>
        <w:t>/</w:t>
      </w:r>
      <w:r>
        <w:rPr>
          <w:color w:val="000000"/>
          <w:sz w:val="18"/>
        </w:rPr>
        <w:t>8</w:t>
      </w:r>
      <w:r>
        <w:rPr>
          <w:color w:val="000000"/>
        </w:rPr>
        <w:t xml:space="preserve"> of an inch in diameter;</w:t>
      </w:r>
    </w:p>
    <w:p w:rsidR="00B40966" w:rsidRDefault="00B40966">
      <w:pPr>
        <w:pStyle w:val="Apara"/>
        <w:rPr>
          <w:color w:val="000000"/>
        </w:rPr>
      </w:pPr>
      <w:r>
        <w:rPr>
          <w:color w:val="000000"/>
        </w:rPr>
        <w:tab/>
        <w:t>(e)</w:t>
      </w:r>
      <w:r>
        <w:rPr>
          <w:color w:val="000000"/>
        </w:rPr>
        <w:tab/>
        <w:t xml:space="preserve">24 000 </w:t>
      </w:r>
      <w:r>
        <w:t>pounds</w:t>
      </w:r>
      <w:r>
        <w:rPr>
          <w:color w:val="000000"/>
        </w:rPr>
        <w:t xml:space="preserve"> per square inch for threads 1 inch in diameter;</w:t>
      </w:r>
    </w:p>
    <w:p w:rsidR="00B40966" w:rsidRDefault="00B40966">
      <w:pPr>
        <w:pStyle w:val="Apara"/>
        <w:rPr>
          <w:color w:val="000000"/>
        </w:rPr>
      </w:pPr>
      <w:r>
        <w:rPr>
          <w:color w:val="000000"/>
        </w:rPr>
        <w:tab/>
        <w:t>(f)</w:t>
      </w:r>
      <w:r>
        <w:rPr>
          <w:color w:val="000000"/>
        </w:rPr>
        <w:tab/>
        <w:t xml:space="preserve">25 000 </w:t>
      </w:r>
      <w:r>
        <w:t>pounds</w:t>
      </w:r>
      <w:r>
        <w:rPr>
          <w:color w:val="000000"/>
        </w:rPr>
        <w:t xml:space="preserve"> per square inch for threads 1</w:t>
      </w:r>
      <w:r>
        <w:rPr>
          <w:color w:val="000000"/>
          <w:position w:val="6"/>
          <w:sz w:val="18"/>
        </w:rPr>
        <w:t>1</w:t>
      </w:r>
      <w:r>
        <w:rPr>
          <w:color w:val="000000"/>
        </w:rPr>
        <w:t>/</w:t>
      </w:r>
      <w:r>
        <w:rPr>
          <w:color w:val="000000"/>
          <w:sz w:val="18"/>
        </w:rPr>
        <w:t>8</w:t>
      </w:r>
      <w:r>
        <w:rPr>
          <w:color w:val="000000"/>
        </w:rPr>
        <w:t xml:space="preserve"> inches in diameter;</w:t>
      </w:r>
    </w:p>
    <w:p w:rsidR="00B40966" w:rsidRDefault="00B40966">
      <w:pPr>
        <w:pStyle w:val="Apara"/>
        <w:rPr>
          <w:color w:val="000000"/>
        </w:rPr>
      </w:pPr>
      <w:r>
        <w:rPr>
          <w:color w:val="000000"/>
        </w:rPr>
        <w:tab/>
        <w:t>(g)</w:t>
      </w:r>
      <w:r>
        <w:rPr>
          <w:color w:val="000000"/>
        </w:rPr>
        <w:tab/>
        <w:t>26 000 pounds per square inch for threads 1</w:t>
      </w:r>
      <w:r>
        <w:rPr>
          <w:color w:val="000000"/>
          <w:position w:val="6"/>
          <w:sz w:val="18"/>
        </w:rPr>
        <w:t>1</w:t>
      </w:r>
      <w:r>
        <w:rPr>
          <w:color w:val="000000"/>
        </w:rPr>
        <w:t>/</w:t>
      </w:r>
      <w:r>
        <w:rPr>
          <w:color w:val="000000"/>
          <w:sz w:val="18"/>
        </w:rPr>
        <w:t>4</w:t>
      </w:r>
      <w:r>
        <w:rPr>
          <w:color w:val="000000"/>
        </w:rPr>
        <w:t xml:space="preserve"> inches in </w:t>
      </w:r>
      <w:r>
        <w:t>diameter</w:t>
      </w:r>
      <w:r>
        <w:rPr>
          <w:color w:val="000000"/>
        </w:rPr>
        <w:t>;</w:t>
      </w:r>
    </w:p>
    <w:p w:rsidR="00B40966" w:rsidRDefault="00B40966">
      <w:pPr>
        <w:pStyle w:val="Apara"/>
        <w:rPr>
          <w:color w:val="000000"/>
        </w:rPr>
      </w:pPr>
      <w:r>
        <w:rPr>
          <w:color w:val="000000"/>
        </w:rPr>
        <w:tab/>
        <w:t>(h)</w:t>
      </w:r>
      <w:r>
        <w:rPr>
          <w:color w:val="000000"/>
        </w:rPr>
        <w:tab/>
        <w:t xml:space="preserve">27 000 </w:t>
      </w:r>
      <w:r>
        <w:t>pounds</w:t>
      </w:r>
      <w:r>
        <w:rPr>
          <w:color w:val="000000"/>
        </w:rPr>
        <w:t xml:space="preserve"> per square inch for threads 1</w:t>
      </w:r>
      <w:r>
        <w:rPr>
          <w:color w:val="000000"/>
          <w:position w:val="6"/>
          <w:sz w:val="18"/>
        </w:rPr>
        <w:t>3</w:t>
      </w:r>
      <w:r>
        <w:rPr>
          <w:color w:val="000000"/>
        </w:rPr>
        <w:t>/</w:t>
      </w:r>
      <w:r>
        <w:rPr>
          <w:color w:val="000000"/>
          <w:sz w:val="18"/>
        </w:rPr>
        <w:t>8</w:t>
      </w:r>
      <w:r>
        <w:rPr>
          <w:color w:val="000000"/>
        </w:rPr>
        <w:t xml:space="preserve"> inches in diameter;</w:t>
      </w:r>
    </w:p>
    <w:p w:rsidR="00B40966" w:rsidRDefault="00B40966">
      <w:pPr>
        <w:pStyle w:val="Apara"/>
        <w:rPr>
          <w:color w:val="000000"/>
        </w:rPr>
      </w:pPr>
      <w:r>
        <w:rPr>
          <w:color w:val="000000"/>
        </w:rPr>
        <w:tab/>
        <w:t>(i)</w:t>
      </w:r>
      <w:r>
        <w:rPr>
          <w:color w:val="000000"/>
        </w:rPr>
        <w:tab/>
        <w:t xml:space="preserve">28 000 </w:t>
      </w:r>
      <w:r>
        <w:t>pounds</w:t>
      </w:r>
      <w:r>
        <w:rPr>
          <w:color w:val="000000"/>
        </w:rPr>
        <w:t xml:space="preserve"> per square inch for threads 1</w:t>
      </w:r>
      <w:r>
        <w:rPr>
          <w:color w:val="000000"/>
          <w:position w:val="6"/>
          <w:sz w:val="18"/>
        </w:rPr>
        <w:t>1</w:t>
      </w:r>
      <w:r>
        <w:rPr>
          <w:color w:val="000000"/>
        </w:rPr>
        <w:t>/</w:t>
      </w:r>
      <w:r>
        <w:rPr>
          <w:color w:val="000000"/>
          <w:sz w:val="18"/>
        </w:rPr>
        <w:t>2</w:t>
      </w:r>
      <w:r>
        <w:rPr>
          <w:color w:val="000000"/>
        </w:rPr>
        <w:t xml:space="preserve"> inches and over in diameter.</w:t>
      </w:r>
    </w:p>
    <w:p w:rsidR="00B40966" w:rsidRDefault="00B40966">
      <w:pPr>
        <w:pStyle w:val="Amain"/>
      </w:pPr>
      <w:r>
        <w:tab/>
        <w:t>(39)</w:t>
      </w:r>
      <w:r>
        <w:tab/>
        <w:t>The stress in a compression member, or strut, of mild steel shall not exceed that shown in table 126.5, relevant and appropriate to the ratio of slenderness of the member.</w:t>
      </w:r>
    </w:p>
    <w:p w:rsidR="00B40966" w:rsidRDefault="00B40966">
      <w:pPr>
        <w:pStyle w:val="Amain"/>
        <w:keepNext/>
      </w:pPr>
      <w:r>
        <w:tab/>
        <w:t>(40)</w:t>
      </w:r>
      <w:r>
        <w:tab/>
        <w:t>If the member is of high tensile structural steel, the stress shall not exceed that shown in table 126.6 relevant and appropriate to the ratio of slenderness of the member.</w:t>
      </w:r>
    </w:p>
    <w:p w:rsidR="00B40966" w:rsidRDefault="00B40966">
      <w:pPr>
        <w:pStyle w:val="Amain"/>
        <w:keepLines/>
      </w:pPr>
      <w:r>
        <w:tab/>
        <w:t>(41)</w:t>
      </w:r>
      <w:r>
        <w:tab/>
        <w:t xml:space="preserve">The ratio shall be determined by dividing the greatest length of member that is not supported effectively against lateral deflection, by the least radius of gyration of any cross-section of the member within the central </w:t>
      </w:r>
      <w:r>
        <w:rPr>
          <w:position w:val="6"/>
          <w:sz w:val="18"/>
        </w:rPr>
        <w:t>1</w:t>
      </w:r>
      <w:r>
        <w:t>/</w:t>
      </w:r>
      <w:r>
        <w:rPr>
          <w:sz w:val="18"/>
        </w:rPr>
        <w:t>2</w:t>
      </w:r>
      <w:r>
        <w:t xml:space="preserve"> of the length of the member.</w:t>
      </w:r>
    </w:p>
    <w:p w:rsidR="00B40966" w:rsidRDefault="00B40966">
      <w:pPr>
        <w:pStyle w:val="Amain"/>
      </w:pPr>
      <w:r>
        <w:tab/>
        <w:t>(42)</w:t>
      </w:r>
      <w:r>
        <w:tab/>
        <w:t xml:space="preserve">If 1 end of the member is fixed and the other end free, the ratio of slenderness shall be determined by dividing twice the length of the member by the least radius of gyration of any cross-section within </w:t>
      </w:r>
      <w:r>
        <w:rPr>
          <w:position w:val="6"/>
          <w:sz w:val="18"/>
        </w:rPr>
        <w:t>1</w:t>
      </w:r>
      <w:r>
        <w:t>/</w:t>
      </w:r>
      <w:r>
        <w:rPr>
          <w:sz w:val="18"/>
        </w:rPr>
        <w:t>2</w:t>
      </w:r>
      <w:r>
        <w:t xml:space="preserve"> of the length of the member of the fixed end.</w:t>
      </w:r>
    </w:p>
    <w:p w:rsidR="00B40966" w:rsidRDefault="00B40966">
      <w:pPr>
        <w:pStyle w:val="TableHd"/>
      </w:pPr>
      <w:r>
        <w:t>Table 126.5</w:t>
      </w:r>
      <w:r>
        <w:tab/>
        <w:t>Maximum stresses permissible in mild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80"/>
        <w:gridCol w:w="20"/>
        <w:gridCol w:w="860"/>
      </w:tblGrid>
      <w:tr w:rsidR="00B40966">
        <w:trPr>
          <w:cantSplit/>
          <w:tblHeader/>
        </w:trPr>
        <w:tc>
          <w:tcPr>
            <w:tcW w:w="2100" w:type="dxa"/>
            <w:tcBorders>
              <w:top w:val="single" w:sz="6" w:space="0" w:color="auto"/>
              <w:right w:val="single" w:sz="6" w:space="0" w:color="auto"/>
            </w:tcBorders>
          </w:tcPr>
          <w:p w:rsidR="00B40966" w:rsidRDefault="00B40966">
            <w:pPr>
              <w:pStyle w:val="TableColHd"/>
            </w:pPr>
          </w:p>
        </w:tc>
        <w:tc>
          <w:tcPr>
            <w:tcW w:w="5200" w:type="dxa"/>
            <w:gridSpan w:val="8"/>
            <w:tcBorders>
              <w:top w:val="single" w:sz="6" w:space="0" w:color="auto"/>
            </w:tcBorders>
          </w:tcPr>
          <w:p w:rsidR="00B40966" w:rsidRDefault="00B40966">
            <w:pPr>
              <w:pStyle w:val="TableColHd"/>
              <w:jc w:val="center"/>
            </w:pPr>
            <w:r>
              <w:t>maximum permissible stress in t/in</w:t>
            </w:r>
            <w:r>
              <w:rPr>
                <w:vertAlign w:val="superscript"/>
              </w:rPr>
              <w:t>2</w:t>
            </w:r>
          </w:p>
        </w:tc>
      </w:tr>
      <w:tr w:rsidR="00B40966">
        <w:trPr>
          <w:cantSplit/>
          <w:tblHeader/>
        </w:trPr>
        <w:tc>
          <w:tcPr>
            <w:tcW w:w="2100" w:type="dxa"/>
            <w:vMerge w:val="restart"/>
            <w:tcBorders>
              <w:right w:val="single" w:sz="6" w:space="0" w:color="auto"/>
            </w:tcBorders>
          </w:tcPr>
          <w:p w:rsidR="00B40966" w:rsidRDefault="00B40966">
            <w:pPr>
              <w:pStyle w:val="TableColHd"/>
            </w:pPr>
            <w:r>
              <w:t>ratio of slenderness</w:t>
            </w:r>
          </w:p>
        </w:tc>
        <w:tc>
          <w:tcPr>
            <w:tcW w:w="1720" w:type="dxa"/>
            <w:gridSpan w:val="2"/>
            <w:tcBorders>
              <w:top w:val="single" w:sz="6" w:space="0" w:color="auto"/>
              <w:bottom w:val="single" w:sz="6" w:space="0" w:color="auto"/>
            </w:tcBorders>
          </w:tcPr>
          <w:p w:rsidR="00B40966" w:rsidRDefault="00B40966">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B40966" w:rsidRDefault="00B40966">
            <w:pPr>
              <w:pStyle w:val="TableColHd"/>
              <w:rPr>
                <w:sz w:val="16"/>
              </w:rPr>
            </w:pPr>
            <w:r>
              <w:rPr>
                <w:sz w:val="16"/>
              </w:rPr>
              <w:t>members having both ends fixed</w:t>
            </w:r>
          </w:p>
        </w:tc>
      </w:tr>
      <w:tr w:rsidR="00B40966">
        <w:trPr>
          <w:cantSplit/>
          <w:tblHeader/>
        </w:trPr>
        <w:tc>
          <w:tcPr>
            <w:tcW w:w="2100" w:type="dxa"/>
            <w:vMerge/>
            <w:tcBorders>
              <w:bottom w:val="single" w:sz="6" w:space="0" w:color="auto"/>
              <w:right w:val="single" w:sz="6" w:space="0" w:color="auto"/>
            </w:tcBorders>
          </w:tcPr>
          <w:p w:rsidR="00B40966" w:rsidRDefault="00B40966">
            <w:pPr>
              <w:pStyle w:val="TableColHd"/>
            </w:pPr>
          </w:p>
        </w:tc>
        <w:tc>
          <w:tcPr>
            <w:tcW w:w="860" w:type="dxa"/>
            <w:tcBorders>
              <w:top w:val="single" w:sz="6" w:space="0" w:color="auto"/>
              <w:bottom w:val="single" w:sz="6" w:space="0" w:color="auto"/>
            </w:tcBorders>
          </w:tcPr>
          <w:p w:rsidR="00B40966" w:rsidRDefault="00B40966">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B40966" w:rsidRDefault="00B40966">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B40966" w:rsidRDefault="00B40966">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ColHd"/>
              <w:jc w:val="center"/>
            </w:pPr>
            <w:r>
              <w:t>B</w:t>
            </w:r>
          </w:p>
        </w:tc>
        <w:tc>
          <w:tcPr>
            <w:tcW w:w="880" w:type="dxa"/>
            <w:tcBorders>
              <w:top w:val="single" w:sz="6" w:space="0" w:color="auto"/>
              <w:bottom w:val="single" w:sz="6" w:space="0" w:color="auto"/>
            </w:tcBorders>
          </w:tcPr>
          <w:p w:rsidR="00B40966" w:rsidRDefault="00B40966">
            <w:pPr>
              <w:pStyle w:val="TableColHd"/>
              <w:jc w:val="center"/>
            </w:pPr>
            <w:r>
              <w:t>A</w:t>
            </w:r>
          </w:p>
        </w:tc>
        <w:tc>
          <w:tcPr>
            <w:tcW w:w="880" w:type="dxa"/>
            <w:gridSpan w:val="2"/>
            <w:tcBorders>
              <w:top w:val="single" w:sz="6" w:space="0" w:color="auto"/>
              <w:bottom w:val="single" w:sz="6" w:space="0" w:color="auto"/>
            </w:tcBorders>
          </w:tcPr>
          <w:p w:rsidR="00B40966" w:rsidRDefault="00B40966">
            <w:pPr>
              <w:pStyle w:val="TableColHd"/>
              <w:jc w:val="center"/>
            </w:pPr>
            <w:r>
              <w:t>B</w:t>
            </w:r>
          </w:p>
        </w:tc>
      </w:tr>
      <w:tr w:rsidR="00B40966">
        <w:trPr>
          <w:cantSplit/>
        </w:trPr>
        <w:tc>
          <w:tcPr>
            <w:tcW w:w="2100" w:type="dxa"/>
            <w:tcBorders>
              <w:right w:val="single" w:sz="6" w:space="0" w:color="auto"/>
            </w:tcBorders>
          </w:tcPr>
          <w:p w:rsidR="00B40966" w:rsidRDefault="00B40966">
            <w:pPr>
              <w:pStyle w:val="TableText"/>
            </w:pPr>
            <w:r>
              <w:t>10</w:t>
            </w:r>
          </w:p>
        </w:tc>
        <w:tc>
          <w:tcPr>
            <w:tcW w:w="860" w:type="dxa"/>
          </w:tcPr>
          <w:p w:rsidR="00B40966" w:rsidRDefault="00B40966">
            <w:pPr>
              <w:pStyle w:val="TableText"/>
              <w:jc w:val="center"/>
            </w:pPr>
            <w:r>
              <w:t>14.2</w:t>
            </w:r>
          </w:p>
        </w:tc>
        <w:tc>
          <w:tcPr>
            <w:tcW w:w="860" w:type="dxa"/>
          </w:tcPr>
          <w:p w:rsidR="00B40966" w:rsidRDefault="00B40966">
            <w:pPr>
              <w:pStyle w:val="TableText"/>
              <w:jc w:val="center"/>
            </w:pPr>
            <w:r>
              <w:t>10.8</w:t>
            </w:r>
          </w:p>
        </w:tc>
        <w:tc>
          <w:tcPr>
            <w:tcW w:w="880" w:type="dxa"/>
            <w:gridSpan w:val="2"/>
            <w:tcBorders>
              <w:left w:val="single" w:sz="6" w:space="0" w:color="auto"/>
            </w:tcBorders>
          </w:tcPr>
          <w:p w:rsidR="00B40966" w:rsidRDefault="00B40966">
            <w:pPr>
              <w:pStyle w:val="TableText"/>
              <w:jc w:val="center"/>
            </w:pPr>
            <w:r>
              <w:t>14.2</w:t>
            </w:r>
          </w:p>
        </w:tc>
        <w:tc>
          <w:tcPr>
            <w:tcW w:w="840" w:type="dxa"/>
          </w:tcPr>
          <w:p w:rsidR="00B40966" w:rsidRDefault="00B40966">
            <w:pPr>
              <w:pStyle w:val="TableText"/>
              <w:jc w:val="center"/>
            </w:pPr>
            <w:r>
              <w:t>12.5</w:t>
            </w:r>
          </w:p>
        </w:tc>
        <w:tc>
          <w:tcPr>
            <w:tcW w:w="900" w:type="dxa"/>
            <w:gridSpan w:val="2"/>
            <w:tcBorders>
              <w:left w:val="single" w:sz="6" w:space="0" w:color="auto"/>
            </w:tcBorders>
          </w:tcPr>
          <w:p w:rsidR="00B40966" w:rsidRDefault="00B40966">
            <w:pPr>
              <w:pStyle w:val="TableText"/>
              <w:jc w:val="center"/>
            </w:pPr>
            <w:r>
              <w:t>12.5</w:t>
            </w:r>
          </w:p>
        </w:tc>
        <w:tc>
          <w:tcPr>
            <w:tcW w:w="860" w:type="dxa"/>
          </w:tcPr>
          <w:p w:rsidR="00B40966" w:rsidRDefault="00B40966">
            <w:pPr>
              <w:pStyle w:val="TableText"/>
              <w:jc w:val="center"/>
            </w:pPr>
            <w:r>
              <w:t>14.3</w:t>
            </w:r>
          </w:p>
        </w:tc>
      </w:tr>
      <w:tr w:rsidR="00B40966">
        <w:trPr>
          <w:cantSplit/>
        </w:trPr>
        <w:tc>
          <w:tcPr>
            <w:tcW w:w="2100" w:type="dxa"/>
            <w:tcBorders>
              <w:right w:val="single" w:sz="6" w:space="0" w:color="auto"/>
            </w:tcBorders>
          </w:tcPr>
          <w:p w:rsidR="00B40966" w:rsidRDefault="00B40966">
            <w:pPr>
              <w:pStyle w:val="TableText"/>
            </w:pPr>
            <w:r>
              <w:t>20</w:t>
            </w:r>
          </w:p>
        </w:tc>
        <w:tc>
          <w:tcPr>
            <w:tcW w:w="860" w:type="dxa"/>
          </w:tcPr>
          <w:p w:rsidR="00B40966" w:rsidRDefault="00B40966">
            <w:pPr>
              <w:pStyle w:val="TableText"/>
              <w:jc w:val="center"/>
            </w:pPr>
            <w:r>
              <w:t>13.8</w:t>
            </w:r>
          </w:p>
        </w:tc>
        <w:tc>
          <w:tcPr>
            <w:tcW w:w="860" w:type="dxa"/>
          </w:tcPr>
          <w:p w:rsidR="00B40966" w:rsidRDefault="00B40966">
            <w:pPr>
              <w:pStyle w:val="TableText"/>
              <w:jc w:val="center"/>
            </w:pPr>
            <w:r>
              <w:t>10.7</w:t>
            </w:r>
          </w:p>
        </w:tc>
        <w:tc>
          <w:tcPr>
            <w:tcW w:w="880" w:type="dxa"/>
            <w:gridSpan w:val="2"/>
            <w:tcBorders>
              <w:left w:val="single" w:sz="6" w:space="0" w:color="auto"/>
            </w:tcBorders>
          </w:tcPr>
          <w:p w:rsidR="00B40966" w:rsidRDefault="00B40966">
            <w:pPr>
              <w:pStyle w:val="TableText"/>
              <w:jc w:val="center"/>
            </w:pPr>
            <w:r>
              <w:t>14.0</w:t>
            </w:r>
          </w:p>
        </w:tc>
        <w:tc>
          <w:tcPr>
            <w:tcW w:w="840" w:type="dxa"/>
          </w:tcPr>
          <w:p w:rsidR="00B40966" w:rsidRDefault="00B40966">
            <w:pPr>
              <w:pStyle w:val="TableText"/>
              <w:jc w:val="center"/>
            </w:pPr>
            <w:r>
              <w:t>12.4</w:t>
            </w:r>
          </w:p>
        </w:tc>
        <w:tc>
          <w:tcPr>
            <w:tcW w:w="900" w:type="dxa"/>
            <w:gridSpan w:val="2"/>
            <w:tcBorders>
              <w:left w:val="single" w:sz="6" w:space="0" w:color="auto"/>
            </w:tcBorders>
          </w:tcPr>
          <w:p w:rsidR="00B40966" w:rsidRDefault="00B40966">
            <w:pPr>
              <w:pStyle w:val="TableText"/>
              <w:jc w:val="center"/>
            </w:pPr>
            <w:r>
              <w:t>12.4</w:t>
            </w:r>
          </w:p>
        </w:tc>
        <w:tc>
          <w:tcPr>
            <w:tcW w:w="860" w:type="dxa"/>
          </w:tcPr>
          <w:p w:rsidR="00B40966" w:rsidRDefault="00B40966">
            <w:pPr>
              <w:pStyle w:val="TableText"/>
              <w:jc w:val="center"/>
            </w:pPr>
            <w:r>
              <w:t>14.2</w:t>
            </w:r>
          </w:p>
        </w:tc>
      </w:tr>
      <w:tr w:rsidR="00B40966">
        <w:trPr>
          <w:cantSplit/>
        </w:trPr>
        <w:tc>
          <w:tcPr>
            <w:tcW w:w="2100" w:type="dxa"/>
            <w:tcBorders>
              <w:right w:val="single" w:sz="6" w:space="0" w:color="auto"/>
            </w:tcBorders>
          </w:tcPr>
          <w:p w:rsidR="00B40966" w:rsidRDefault="00B40966">
            <w:pPr>
              <w:pStyle w:val="TableText"/>
            </w:pPr>
            <w:r>
              <w:t>30</w:t>
            </w:r>
          </w:p>
        </w:tc>
        <w:tc>
          <w:tcPr>
            <w:tcW w:w="860" w:type="dxa"/>
          </w:tcPr>
          <w:p w:rsidR="00B40966" w:rsidRDefault="00B40966">
            <w:pPr>
              <w:pStyle w:val="TableText"/>
              <w:jc w:val="center"/>
            </w:pPr>
            <w:r>
              <w:t>13.2</w:t>
            </w:r>
          </w:p>
        </w:tc>
        <w:tc>
          <w:tcPr>
            <w:tcW w:w="860" w:type="dxa"/>
          </w:tcPr>
          <w:p w:rsidR="00B40966" w:rsidRDefault="00B40966">
            <w:pPr>
              <w:pStyle w:val="TableText"/>
              <w:jc w:val="center"/>
            </w:pPr>
            <w:r>
              <w:t>10.6</w:t>
            </w:r>
          </w:p>
        </w:tc>
        <w:tc>
          <w:tcPr>
            <w:tcW w:w="880" w:type="dxa"/>
            <w:gridSpan w:val="2"/>
            <w:tcBorders>
              <w:left w:val="single" w:sz="6" w:space="0" w:color="auto"/>
            </w:tcBorders>
          </w:tcPr>
          <w:p w:rsidR="00B40966" w:rsidRDefault="00B40966">
            <w:pPr>
              <w:pStyle w:val="TableText"/>
              <w:jc w:val="center"/>
            </w:pPr>
            <w:r>
              <w:t>13.6</w:t>
            </w:r>
          </w:p>
        </w:tc>
        <w:tc>
          <w:tcPr>
            <w:tcW w:w="840" w:type="dxa"/>
          </w:tcPr>
          <w:p w:rsidR="00B40966" w:rsidRDefault="00B40966">
            <w:pPr>
              <w:pStyle w:val="TableText"/>
              <w:jc w:val="center"/>
            </w:pPr>
            <w:r>
              <w:t>12.3</w:t>
            </w:r>
          </w:p>
        </w:tc>
        <w:tc>
          <w:tcPr>
            <w:tcW w:w="900" w:type="dxa"/>
            <w:gridSpan w:val="2"/>
            <w:tcBorders>
              <w:left w:val="single" w:sz="6" w:space="0" w:color="auto"/>
            </w:tcBorders>
          </w:tcPr>
          <w:p w:rsidR="00B40966" w:rsidRDefault="00B40966">
            <w:pPr>
              <w:pStyle w:val="TableText"/>
              <w:jc w:val="center"/>
            </w:pPr>
            <w:r>
              <w:t>12.3</w:t>
            </w:r>
          </w:p>
        </w:tc>
        <w:tc>
          <w:tcPr>
            <w:tcW w:w="860" w:type="dxa"/>
          </w:tcPr>
          <w:p w:rsidR="00B40966" w:rsidRDefault="00B40966">
            <w:pPr>
              <w:pStyle w:val="TableText"/>
              <w:jc w:val="center"/>
            </w:pPr>
            <w:r>
              <w:t>14.0</w:t>
            </w:r>
          </w:p>
        </w:tc>
      </w:tr>
      <w:tr w:rsidR="00B40966">
        <w:trPr>
          <w:cantSplit/>
        </w:trPr>
        <w:tc>
          <w:tcPr>
            <w:tcW w:w="2100" w:type="dxa"/>
            <w:tcBorders>
              <w:right w:val="single" w:sz="6" w:space="0" w:color="auto"/>
            </w:tcBorders>
          </w:tcPr>
          <w:p w:rsidR="00B40966" w:rsidRDefault="00B40966">
            <w:pPr>
              <w:pStyle w:val="TableText"/>
            </w:pPr>
            <w:r>
              <w:t>40</w:t>
            </w:r>
          </w:p>
        </w:tc>
        <w:tc>
          <w:tcPr>
            <w:tcW w:w="860" w:type="dxa"/>
          </w:tcPr>
          <w:p w:rsidR="00B40966" w:rsidRDefault="00B40966">
            <w:pPr>
              <w:pStyle w:val="TableText"/>
              <w:jc w:val="center"/>
            </w:pPr>
            <w:r>
              <w:t>12.4</w:t>
            </w:r>
          </w:p>
        </w:tc>
        <w:tc>
          <w:tcPr>
            <w:tcW w:w="860" w:type="dxa"/>
          </w:tcPr>
          <w:p w:rsidR="00B40966" w:rsidRDefault="00B40966">
            <w:pPr>
              <w:pStyle w:val="TableText"/>
              <w:jc w:val="center"/>
            </w:pPr>
            <w:r>
              <w:t>10.4</w:t>
            </w:r>
          </w:p>
        </w:tc>
        <w:tc>
          <w:tcPr>
            <w:tcW w:w="880" w:type="dxa"/>
            <w:gridSpan w:val="2"/>
            <w:tcBorders>
              <w:left w:val="single" w:sz="6" w:space="0" w:color="auto"/>
            </w:tcBorders>
          </w:tcPr>
          <w:p w:rsidR="00B40966" w:rsidRDefault="00B40966">
            <w:pPr>
              <w:pStyle w:val="TableText"/>
              <w:jc w:val="center"/>
            </w:pPr>
            <w:r>
              <w:t>13.0</w:t>
            </w:r>
          </w:p>
        </w:tc>
        <w:tc>
          <w:tcPr>
            <w:tcW w:w="840" w:type="dxa"/>
          </w:tcPr>
          <w:p w:rsidR="00B40966" w:rsidRDefault="00B40966">
            <w:pPr>
              <w:pStyle w:val="TableText"/>
              <w:jc w:val="center"/>
            </w:pPr>
            <w:r>
              <w:t>12.0</w:t>
            </w:r>
          </w:p>
        </w:tc>
        <w:tc>
          <w:tcPr>
            <w:tcW w:w="900" w:type="dxa"/>
            <w:gridSpan w:val="2"/>
            <w:tcBorders>
              <w:left w:val="single" w:sz="6" w:space="0" w:color="auto"/>
            </w:tcBorders>
          </w:tcPr>
          <w:p w:rsidR="00B40966" w:rsidRDefault="00B40966">
            <w:pPr>
              <w:pStyle w:val="TableText"/>
              <w:jc w:val="center"/>
            </w:pPr>
            <w:r>
              <w:t>12.0</w:t>
            </w:r>
          </w:p>
        </w:tc>
        <w:tc>
          <w:tcPr>
            <w:tcW w:w="860" w:type="dxa"/>
          </w:tcPr>
          <w:p w:rsidR="00B40966" w:rsidRDefault="00B40966">
            <w:pPr>
              <w:pStyle w:val="TableText"/>
              <w:jc w:val="center"/>
            </w:pPr>
            <w:r>
              <w:t>13.6</w:t>
            </w:r>
          </w:p>
        </w:tc>
      </w:tr>
      <w:tr w:rsidR="00B40966">
        <w:trPr>
          <w:cantSplit/>
        </w:trPr>
        <w:tc>
          <w:tcPr>
            <w:tcW w:w="2100" w:type="dxa"/>
            <w:tcBorders>
              <w:right w:val="single" w:sz="6" w:space="0" w:color="auto"/>
            </w:tcBorders>
          </w:tcPr>
          <w:p w:rsidR="00B40966" w:rsidRDefault="00B40966">
            <w:pPr>
              <w:pStyle w:val="TableText"/>
            </w:pPr>
            <w:r>
              <w:t>50</w:t>
            </w:r>
          </w:p>
        </w:tc>
        <w:tc>
          <w:tcPr>
            <w:tcW w:w="860" w:type="dxa"/>
          </w:tcPr>
          <w:p w:rsidR="00B40966" w:rsidRDefault="00B40966">
            <w:pPr>
              <w:pStyle w:val="TableText"/>
              <w:jc w:val="center"/>
            </w:pPr>
            <w:r>
              <w:t>11.4</w:t>
            </w:r>
          </w:p>
        </w:tc>
        <w:tc>
          <w:tcPr>
            <w:tcW w:w="860" w:type="dxa"/>
          </w:tcPr>
          <w:p w:rsidR="00B40966" w:rsidRDefault="00B40966">
            <w:pPr>
              <w:pStyle w:val="TableText"/>
              <w:jc w:val="center"/>
            </w:pPr>
            <w:r>
              <w:t>10.0</w:t>
            </w:r>
          </w:p>
        </w:tc>
        <w:tc>
          <w:tcPr>
            <w:tcW w:w="880" w:type="dxa"/>
            <w:gridSpan w:val="2"/>
            <w:tcBorders>
              <w:left w:val="single" w:sz="6" w:space="0" w:color="auto"/>
            </w:tcBorders>
          </w:tcPr>
          <w:p w:rsidR="00B40966" w:rsidRDefault="00B40966">
            <w:pPr>
              <w:pStyle w:val="TableText"/>
              <w:jc w:val="center"/>
            </w:pPr>
            <w:r>
              <w:t>12.3</w:t>
            </w:r>
          </w:p>
        </w:tc>
        <w:tc>
          <w:tcPr>
            <w:tcW w:w="840" w:type="dxa"/>
          </w:tcPr>
          <w:p w:rsidR="00B40966" w:rsidRDefault="00B40966">
            <w:pPr>
              <w:pStyle w:val="TableText"/>
              <w:jc w:val="center"/>
            </w:pPr>
            <w:r>
              <w:t>11.6</w:t>
            </w:r>
          </w:p>
        </w:tc>
        <w:tc>
          <w:tcPr>
            <w:tcW w:w="900" w:type="dxa"/>
            <w:gridSpan w:val="2"/>
            <w:tcBorders>
              <w:left w:val="single" w:sz="6" w:space="0" w:color="auto"/>
            </w:tcBorders>
          </w:tcPr>
          <w:p w:rsidR="00B40966" w:rsidRDefault="00B40966">
            <w:pPr>
              <w:pStyle w:val="TableText"/>
              <w:jc w:val="center"/>
            </w:pPr>
            <w:r>
              <w:t>11.6</w:t>
            </w:r>
          </w:p>
        </w:tc>
        <w:tc>
          <w:tcPr>
            <w:tcW w:w="860" w:type="dxa"/>
          </w:tcPr>
          <w:p w:rsidR="00B40966" w:rsidRDefault="00B40966">
            <w:pPr>
              <w:pStyle w:val="TableText"/>
              <w:jc w:val="center"/>
            </w:pPr>
            <w:r>
              <w:t>13.2</w:t>
            </w:r>
          </w:p>
        </w:tc>
      </w:tr>
      <w:tr w:rsidR="00B40966">
        <w:trPr>
          <w:cantSplit/>
        </w:trPr>
        <w:tc>
          <w:tcPr>
            <w:tcW w:w="2100" w:type="dxa"/>
            <w:tcBorders>
              <w:right w:val="single" w:sz="6" w:space="0" w:color="auto"/>
            </w:tcBorders>
          </w:tcPr>
          <w:p w:rsidR="00B40966" w:rsidRDefault="00B40966">
            <w:pPr>
              <w:pStyle w:val="TableText"/>
            </w:pPr>
            <w:r>
              <w:t>60</w:t>
            </w:r>
          </w:p>
        </w:tc>
        <w:tc>
          <w:tcPr>
            <w:tcW w:w="860" w:type="dxa"/>
          </w:tcPr>
          <w:p w:rsidR="00B40966" w:rsidRDefault="00B40966">
            <w:pPr>
              <w:pStyle w:val="TableText"/>
              <w:jc w:val="center"/>
            </w:pPr>
            <w:r>
              <w:t>10.1</w:t>
            </w:r>
          </w:p>
        </w:tc>
        <w:tc>
          <w:tcPr>
            <w:tcW w:w="860" w:type="dxa"/>
          </w:tcPr>
          <w:p w:rsidR="00B40966" w:rsidRDefault="00B40966">
            <w:pPr>
              <w:pStyle w:val="TableText"/>
              <w:jc w:val="center"/>
            </w:pPr>
            <w:r>
              <w:t>9.5</w:t>
            </w:r>
          </w:p>
        </w:tc>
        <w:tc>
          <w:tcPr>
            <w:tcW w:w="880" w:type="dxa"/>
            <w:gridSpan w:val="2"/>
            <w:tcBorders>
              <w:left w:val="single" w:sz="6" w:space="0" w:color="auto"/>
            </w:tcBorders>
          </w:tcPr>
          <w:p w:rsidR="00B40966" w:rsidRDefault="00B40966">
            <w:pPr>
              <w:pStyle w:val="TableText"/>
              <w:jc w:val="center"/>
            </w:pPr>
            <w:r>
              <w:t>11.4</w:t>
            </w:r>
          </w:p>
        </w:tc>
        <w:tc>
          <w:tcPr>
            <w:tcW w:w="840" w:type="dxa"/>
          </w:tcPr>
          <w:p w:rsidR="00B40966" w:rsidRDefault="00B40966">
            <w:pPr>
              <w:pStyle w:val="TableText"/>
              <w:jc w:val="center"/>
            </w:pPr>
            <w:r>
              <w:t>11.1</w:t>
            </w:r>
          </w:p>
        </w:tc>
        <w:tc>
          <w:tcPr>
            <w:tcW w:w="900" w:type="dxa"/>
            <w:gridSpan w:val="2"/>
            <w:tcBorders>
              <w:left w:val="single" w:sz="6" w:space="0" w:color="auto"/>
            </w:tcBorders>
          </w:tcPr>
          <w:p w:rsidR="00B40966" w:rsidRDefault="00B40966">
            <w:pPr>
              <w:pStyle w:val="TableText"/>
              <w:jc w:val="center"/>
            </w:pPr>
            <w:r>
              <w:t>11.1</w:t>
            </w:r>
          </w:p>
        </w:tc>
        <w:tc>
          <w:tcPr>
            <w:tcW w:w="860" w:type="dxa"/>
          </w:tcPr>
          <w:p w:rsidR="00B40966" w:rsidRDefault="00B40966">
            <w:pPr>
              <w:pStyle w:val="TableText"/>
              <w:jc w:val="center"/>
            </w:pPr>
            <w:r>
              <w:t>12.7</w:t>
            </w:r>
          </w:p>
        </w:tc>
      </w:tr>
      <w:tr w:rsidR="00B40966">
        <w:trPr>
          <w:cantSplit/>
        </w:trPr>
        <w:tc>
          <w:tcPr>
            <w:tcW w:w="2100" w:type="dxa"/>
            <w:tcBorders>
              <w:right w:val="single" w:sz="6" w:space="0" w:color="auto"/>
            </w:tcBorders>
          </w:tcPr>
          <w:p w:rsidR="00B40966" w:rsidRDefault="00B40966">
            <w:pPr>
              <w:pStyle w:val="TableText"/>
            </w:pPr>
            <w:r>
              <w:t>70</w:t>
            </w:r>
          </w:p>
        </w:tc>
        <w:tc>
          <w:tcPr>
            <w:tcW w:w="860" w:type="dxa"/>
          </w:tcPr>
          <w:p w:rsidR="00B40966" w:rsidRDefault="00B40966">
            <w:pPr>
              <w:pStyle w:val="TableText"/>
              <w:jc w:val="center"/>
            </w:pPr>
            <w:r>
              <w:t>9.0</w:t>
            </w:r>
          </w:p>
        </w:tc>
        <w:tc>
          <w:tcPr>
            <w:tcW w:w="860" w:type="dxa"/>
          </w:tcPr>
          <w:p w:rsidR="00B40966" w:rsidRDefault="00B40966">
            <w:pPr>
              <w:pStyle w:val="TableText"/>
              <w:jc w:val="center"/>
            </w:pPr>
            <w:r>
              <w:t>8.8</w:t>
            </w:r>
          </w:p>
        </w:tc>
        <w:tc>
          <w:tcPr>
            <w:tcW w:w="880" w:type="dxa"/>
            <w:gridSpan w:val="2"/>
            <w:tcBorders>
              <w:left w:val="single" w:sz="6" w:space="0" w:color="auto"/>
            </w:tcBorders>
          </w:tcPr>
          <w:p w:rsidR="00B40966" w:rsidRDefault="00B40966">
            <w:pPr>
              <w:pStyle w:val="TableText"/>
              <w:jc w:val="center"/>
            </w:pPr>
            <w:r>
              <w:t>10.6</w:t>
            </w:r>
          </w:p>
        </w:tc>
        <w:tc>
          <w:tcPr>
            <w:tcW w:w="840" w:type="dxa"/>
          </w:tcPr>
          <w:p w:rsidR="00B40966" w:rsidRDefault="00B40966">
            <w:pPr>
              <w:pStyle w:val="TableText"/>
              <w:jc w:val="center"/>
            </w:pPr>
            <w:r>
              <w:t>10.5</w:t>
            </w:r>
          </w:p>
        </w:tc>
        <w:tc>
          <w:tcPr>
            <w:tcW w:w="900" w:type="dxa"/>
            <w:gridSpan w:val="2"/>
            <w:tcBorders>
              <w:left w:val="single" w:sz="6" w:space="0" w:color="auto"/>
            </w:tcBorders>
          </w:tcPr>
          <w:p w:rsidR="00B40966" w:rsidRDefault="00B40966">
            <w:pPr>
              <w:pStyle w:val="TableText"/>
              <w:jc w:val="center"/>
            </w:pPr>
            <w:r>
              <w:t>10.5</w:t>
            </w:r>
          </w:p>
        </w:tc>
        <w:tc>
          <w:tcPr>
            <w:tcW w:w="860" w:type="dxa"/>
          </w:tcPr>
          <w:p w:rsidR="00B40966" w:rsidRDefault="00B40966">
            <w:pPr>
              <w:pStyle w:val="TableText"/>
              <w:jc w:val="center"/>
            </w:pPr>
            <w:r>
              <w:t>12.2</w:t>
            </w:r>
          </w:p>
        </w:tc>
      </w:tr>
      <w:tr w:rsidR="00B40966">
        <w:trPr>
          <w:cantSplit/>
        </w:trPr>
        <w:tc>
          <w:tcPr>
            <w:tcW w:w="2100" w:type="dxa"/>
            <w:tcBorders>
              <w:right w:val="single" w:sz="6" w:space="0" w:color="auto"/>
            </w:tcBorders>
          </w:tcPr>
          <w:p w:rsidR="00B40966" w:rsidRDefault="00B40966">
            <w:pPr>
              <w:pStyle w:val="TableText"/>
            </w:pPr>
            <w:r>
              <w:t>80</w:t>
            </w:r>
          </w:p>
        </w:tc>
        <w:tc>
          <w:tcPr>
            <w:tcW w:w="860" w:type="dxa"/>
          </w:tcPr>
          <w:p w:rsidR="00B40966" w:rsidRDefault="00B40966">
            <w:pPr>
              <w:pStyle w:val="TableText"/>
              <w:jc w:val="center"/>
            </w:pPr>
            <w:r>
              <w:t>7.8</w:t>
            </w:r>
          </w:p>
        </w:tc>
        <w:tc>
          <w:tcPr>
            <w:tcW w:w="860" w:type="dxa"/>
          </w:tcPr>
          <w:p w:rsidR="00B40966" w:rsidRDefault="00B40966">
            <w:pPr>
              <w:pStyle w:val="TableText"/>
              <w:jc w:val="center"/>
            </w:pPr>
            <w:r>
              <w:t>7.8</w:t>
            </w:r>
          </w:p>
        </w:tc>
        <w:tc>
          <w:tcPr>
            <w:tcW w:w="880" w:type="dxa"/>
            <w:gridSpan w:val="2"/>
            <w:tcBorders>
              <w:left w:val="single" w:sz="6" w:space="0" w:color="auto"/>
            </w:tcBorders>
          </w:tcPr>
          <w:p w:rsidR="00B40966" w:rsidRDefault="00B40966">
            <w:pPr>
              <w:pStyle w:val="TableText"/>
              <w:jc w:val="center"/>
            </w:pPr>
            <w:r>
              <w:t>9.7</w:t>
            </w:r>
          </w:p>
        </w:tc>
        <w:tc>
          <w:tcPr>
            <w:tcW w:w="840" w:type="dxa"/>
          </w:tcPr>
          <w:p w:rsidR="00B40966" w:rsidRDefault="00B40966">
            <w:pPr>
              <w:pStyle w:val="TableText"/>
              <w:jc w:val="center"/>
            </w:pPr>
            <w:r>
              <w:t>9.7</w:t>
            </w:r>
          </w:p>
        </w:tc>
        <w:tc>
          <w:tcPr>
            <w:tcW w:w="900" w:type="dxa"/>
            <w:gridSpan w:val="2"/>
            <w:tcBorders>
              <w:left w:val="single" w:sz="6" w:space="0" w:color="auto"/>
            </w:tcBorders>
          </w:tcPr>
          <w:p w:rsidR="00B40966" w:rsidRDefault="00B40966">
            <w:pPr>
              <w:pStyle w:val="TableText"/>
              <w:jc w:val="center"/>
            </w:pPr>
            <w:r>
              <w:t>9.7</w:t>
            </w:r>
          </w:p>
        </w:tc>
        <w:tc>
          <w:tcPr>
            <w:tcW w:w="860" w:type="dxa"/>
          </w:tcPr>
          <w:p w:rsidR="00B40966" w:rsidRDefault="00B40966">
            <w:pPr>
              <w:pStyle w:val="TableText"/>
              <w:jc w:val="center"/>
            </w:pPr>
            <w:r>
              <w:t>11.6</w:t>
            </w:r>
          </w:p>
        </w:tc>
      </w:tr>
      <w:tr w:rsidR="00B40966">
        <w:trPr>
          <w:cantSplit/>
        </w:trPr>
        <w:tc>
          <w:tcPr>
            <w:tcW w:w="2100" w:type="dxa"/>
            <w:tcBorders>
              <w:right w:val="single" w:sz="6" w:space="0" w:color="auto"/>
            </w:tcBorders>
          </w:tcPr>
          <w:p w:rsidR="00B40966" w:rsidRDefault="00B40966">
            <w:pPr>
              <w:pStyle w:val="TableText"/>
            </w:pPr>
            <w:r>
              <w:t>90</w:t>
            </w:r>
          </w:p>
        </w:tc>
        <w:tc>
          <w:tcPr>
            <w:tcW w:w="860" w:type="dxa"/>
          </w:tcPr>
          <w:p w:rsidR="00B40966" w:rsidRDefault="00B40966">
            <w:pPr>
              <w:pStyle w:val="TableText"/>
              <w:jc w:val="center"/>
            </w:pPr>
            <w:r>
              <w:t>6.8</w:t>
            </w:r>
          </w:p>
        </w:tc>
        <w:tc>
          <w:tcPr>
            <w:tcW w:w="860" w:type="dxa"/>
          </w:tcPr>
          <w:p w:rsidR="00B40966" w:rsidRDefault="00B40966">
            <w:pPr>
              <w:pStyle w:val="TableText"/>
              <w:jc w:val="center"/>
            </w:pPr>
            <w:r>
              <w:t>6.8</w:t>
            </w:r>
          </w:p>
        </w:tc>
        <w:tc>
          <w:tcPr>
            <w:tcW w:w="880" w:type="dxa"/>
            <w:gridSpan w:val="2"/>
            <w:tcBorders>
              <w:left w:val="single" w:sz="6" w:space="0" w:color="auto"/>
            </w:tcBorders>
          </w:tcPr>
          <w:p w:rsidR="00B40966" w:rsidRDefault="00B40966">
            <w:pPr>
              <w:pStyle w:val="TableText"/>
              <w:jc w:val="center"/>
            </w:pPr>
            <w:r>
              <w:t>8.9</w:t>
            </w:r>
          </w:p>
        </w:tc>
        <w:tc>
          <w:tcPr>
            <w:tcW w:w="840" w:type="dxa"/>
          </w:tcPr>
          <w:p w:rsidR="00B40966" w:rsidRDefault="00B40966">
            <w:pPr>
              <w:pStyle w:val="TableText"/>
              <w:jc w:val="center"/>
            </w:pPr>
            <w:r>
              <w:t>8.9</w:t>
            </w:r>
          </w:p>
        </w:tc>
        <w:tc>
          <w:tcPr>
            <w:tcW w:w="900" w:type="dxa"/>
            <w:gridSpan w:val="2"/>
            <w:tcBorders>
              <w:left w:val="single" w:sz="6" w:space="0" w:color="auto"/>
            </w:tcBorders>
          </w:tcPr>
          <w:p w:rsidR="00B40966" w:rsidRDefault="00B40966">
            <w:pPr>
              <w:pStyle w:val="TableText"/>
              <w:jc w:val="center"/>
            </w:pPr>
            <w:r>
              <w:t>8.9</w:t>
            </w:r>
          </w:p>
        </w:tc>
        <w:tc>
          <w:tcPr>
            <w:tcW w:w="860" w:type="dxa"/>
          </w:tcPr>
          <w:p w:rsidR="00B40966" w:rsidRDefault="00B40966">
            <w:pPr>
              <w:pStyle w:val="TableText"/>
              <w:jc w:val="center"/>
            </w:pPr>
            <w:r>
              <w:t>11.0</w:t>
            </w:r>
          </w:p>
        </w:tc>
      </w:tr>
      <w:tr w:rsidR="00B40966">
        <w:trPr>
          <w:cantSplit/>
        </w:trPr>
        <w:tc>
          <w:tcPr>
            <w:tcW w:w="2100" w:type="dxa"/>
            <w:tcBorders>
              <w:right w:val="single" w:sz="6" w:space="0" w:color="auto"/>
            </w:tcBorders>
          </w:tcPr>
          <w:p w:rsidR="00B40966" w:rsidRDefault="00B40966">
            <w:pPr>
              <w:pStyle w:val="TableText"/>
            </w:pPr>
            <w:r>
              <w:t>100</w:t>
            </w:r>
          </w:p>
        </w:tc>
        <w:tc>
          <w:tcPr>
            <w:tcW w:w="860" w:type="dxa"/>
          </w:tcPr>
          <w:p w:rsidR="00B40966" w:rsidRDefault="00B40966">
            <w:pPr>
              <w:pStyle w:val="TableText"/>
              <w:jc w:val="center"/>
            </w:pPr>
            <w:r>
              <w:t>5.8</w:t>
            </w:r>
          </w:p>
        </w:tc>
        <w:tc>
          <w:tcPr>
            <w:tcW w:w="860" w:type="dxa"/>
          </w:tcPr>
          <w:p w:rsidR="00B40966" w:rsidRDefault="00B40966">
            <w:pPr>
              <w:pStyle w:val="TableText"/>
              <w:jc w:val="center"/>
            </w:pPr>
            <w:r>
              <w:t>5.8</w:t>
            </w:r>
          </w:p>
        </w:tc>
        <w:tc>
          <w:tcPr>
            <w:tcW w:w="880" w:type="dxa"/>
            <w:gridSpan w:val="2"/>
            <w:tcBorders>
              <w:left w:val="single" w:sz="6" w:space="0" w:color="auto"/>
            </w:tcBorders>
          </w:tcPr>
          <w:p w:rsidR="00B40966" w:rsidRDefault="00B40966">
            <w:pPr>
              <w:pStyle w:val="TableText"/>
              <w:jc w:val="center"/>
            </w:pPr>
            <w:r>
              <w:t>8.0</w:t>
            </w:r>
          </w:p>
        </w:tc>
        <w:tc>
          <w:tcPr>
            <w:tcW w:w="840" w:type="dxa"/>
          </w:tcPr>
          <w:p w:rsidR="00B40966" w:rsidRDefault="00B40966">
            <w:pPr>
              <w:pStyle w:val="TableText"/>
              <w:jc w:val="center"/>
            </w:pPr>
            <w:r>
              <w:t>8.0</w:t>
            </w:r>
          </w:p>
        </w:tc>
        <w:tc>
          <w:tcPr>
            <w:tcW w:w="900" w:type="dxa"/>
            <w:gridSpan w:val="2"/>
            <w:tcBorders>
              <w:left w:val="single" w:sz="6" w:space="0" w:color="auto"/>
            </w:tcBorders>
          </w:tcPr>
          <w:p w:rsidR="00B40966" w:rsidRDefault="00B40966">
            <w:pPr>
              <w:pStyle w:val="TableText"/>
              <w:jc w:val="center"/>
            </w:pPr>
            <w:r>
              <w:t>8.0</w:t>
            </w:r>
          </w:p>
        </w:tc>
        <w:tc>
          <w:tcPr>
            <w:tcW w:w="860" w:type="dxa"/>
          </w:tcPr>
          <w:p w:rsidR="00B40966" w:rsidRDefault="00B40966">
            <w:pPr>
              <w:pStyle w:val="TableText"/>
              <w:jc w:val="center"/>
            </w:pPr>
            <w:r>
              <w:t>10.3</w:t>
            </w:r>
          </w:p>
        </w:tc>
      </w:tr>
      <w:tr w:rsidR="00B40966">
        <w:trPr>
          <w:cantSplit/>
        </w:trPr>
        <w:tc>
          <w:tcPr>
            <w:tcW w:w="2100" w:type="dxa"/>
            <w:tcBorders>
              <w:right w:val="single" w:sz="6" w:space="0" w:color="auto"/>
            </w:tcBorders>
          </w:tcPr>
          <w:p w:rsidR="00B40966" w:rsidRDefault="00B40966">
            <w:pPr>
              <w:pStyle w:val="TableText"/>
            </w:pPr>
            <w:r>
              <w:t>110</w:t>
            </w:r>
          </w:p>
        </w:tc>
        <w:tc>
          <w:tcPr>
            <w:tcW w:w="860" w:type="dxa"/>
          </w:tcPr>
          <w:p w:rsidR="00B40966" w:rsidRDefault="00B40966">
            <w:pPr>
              <w:pStyle w:val="TableText"/>
              <w:jc w:val="center"/>
            </w:pPr>
            <w:r>
              <w:t>5.1</w:t>
            </w:r>
          </w:p>
        </w:tc>
        <w:tc>
          <w:tcPr>
            <w:tcW w:w="860" w:type="dxa"/>
          </w:tcPr>
          <w:p w:rsidR="00B40966" w:rsidRDefault="00B40966">
            <w:pPr>
              <w:pStyle w:val="TableText"/>
              <w:jc w:val="center"/>
            </w:pPr>
            <w:r>
              <w:t>5.1</w:t>
            </w:r>
          </w:p>
        </w:tc>
        <w:tc>
          <w:tcPr>
            <w:tcW w:w="880" w:type="dxa"/>
            <w:gridSpan w:val="2"/>
            <w:tcBorders>
              <w:left w:val="single" w:sz="6" w:space="0" w:color="auto"/>
            </w:tcBorders>
          </w:tcPr>
          <w:p w:rsidR="00B40966" w:rsidRDefault="00B40966">
            <w:pPr>
              <w:pStyle w:val="TableText"/>
              <w:jc w:val="center"/>
            </w:pPr>
            <w:r>
              <w:t>7.3</w:t>
            </w:r>
          </w:p>
        </w:tc>
        <w:tc>
          <w:tcPr>
            <w:tcW w:w="840" w:type="dxa"/>
          </w:tcPr>
          <w:p w:rsidR="00B40966" w:rsidRDefault="00B40966">
            <w:pPr>
              <w:pStyle w:val="TableText"/>
              <w:jc w:val="center"/>
            </w:pPr>
            <w:r>
              <w:t>7.3</w:t>
            </w:r>
          </w:p>
        </w:tc>
        <w:tc>
          <w:tcPr>
            <w:tcW w:w="900" w:type="dxa"/>
            <w:gridSpan w:val="2"/>
            <w:tcBorders>
              <w:left w:val="single" w:sz="6" w:space="0" w:color="auto"/>
            </w:tcBorders>
          </w:tcPr>
          <w:p w:rsidR="00B40966" w:rsidRDefault="00B40966">
            <w:pPr>
              <w:pStyle w:val="TableText"/>
              <w:jc w:val="center"/>
            </w:pPr>
            <w:r>
              <w:t>7.3</w:t>
            </w:r>
          </w:p>
        </w:tc>
        <w:tc>
          <w:tcPr>
            <w:tcW w:w="860" w:type="dxa"/>
          </w:tcPr>
          <w:p w:rsidR="00B40966" w:rsidRDefault="00B40966">
            <w:pPr>
              <w:pStyle w:val="TableText"/>
              <w:jc w:val="center"/>
            </w:pPr>
            <w:r>
              <w:t>9.5</w:t>
            </w:r>
          </w:p>
        </w:tc>
      </w:tr>
      <w:tr w:rsidR="00B40966">
        <w:trPr>
          <w:cantSplit/>
        </w:trPr>
        <w:tc>
          <w:tcPr>
            <w:tcW w:w="2100" w:type="dxa"/>
            <w:tcBorders>
              <w:right w:val="single" w:sz="6" w:space="0" w:color="auto"/>
            </w:tcBorders>
          </w:tcPr>
          <w:p w:rsidR="00B40966" w:rsidRDefault="00B40966">
            <w:pPr>
              <w:pStyle w:val="TableText"/>
            </w:pPr>
            <w:r>
              <w:t>120</w:t>
            </w:r>
          </w:p>
        </w:tc>
        <w:tc>
          <w:tcPr>
            <w:tcW w:w="860" w:type="dxa"/>
          </w:tcPr>
          <w:p w:rsidR="00B40966" w:rsidRDefault="00B40966">
            <w:pPr>
              <w:pStyle w:val="TableText"/>
              <w:jc w:val="center"/>
            </w:pPr>
            <w:r>
              <w:t>4.5</w:t>
            </w:r>
          </w:p>
        </w:tc>
        <w:tc>
          <w:tcPr>
            <w:tcW w:w="860" w:type="dxa"/>
          </w:tcPr>
          <w:p w:rsidR="00B40966" w:rsidRDefault="00B40966">
            <w:pPr>
              <w:pStyle w:val="TableText"/>
              <w:jc w:val="center"/>
            </w:pPr>
            <w:r>
              <w:t>4.5</w:t>
            </w:r>
          </w:p>
        </w:tc>
        <w:tc>
          <w:tcPr>
            <w:tcW w:w="880" w:type="dxa"/>
            <w:gridSpan w:val="2"/>
            <w:tcBorders>
              <w:left w:val="single" w:sz="6" w:space="0" w:color="auto"/>
            </w:tcBorders>
          </w:tcPr>
          <w:p w:rsidR="00B40966" w:rsidRDefault="00B40966">
            <w:pPr>
              <w:pStyle w:val="TableText"/>
              <w:jc w:val="center"/>
            </w:pPr>
            <w:r>
              <w:t>6.6</w:t>
            </w:r>
          </w:p>
        </w:tc>
        <w:tc>
          <w:tcPr>
            <w:tcW w:w="840" w:type="dxa"/>
          </w:tcPr>
          <w:p w:rsidR="00B40966" w:rsidRDefault="00B40966">
            <w:pPr>
              <w:pStyle w:val="TableText"/>
              <w:jc w:val="center"/>
            </w:pPr>
            <w:r>
              <w:t>6.6</w:t>
            </w:r>
          </w:p>
        </w:tc>
        <w:tc>
          <w:tcPr>
            <w:tcW w:w="900" w:type="dxa"/>
            <w:gridSpan w:val="2"/>
            <w:tcBorders>
              <w:left w:val="single" w:sz="6" w:space="0" w:color="auto"/>
            </w:tcBorders>
          </w:tcPr>
          <w:p w:rsidR="00B40966" w:rsidRDefault="00B40966">
            <w:pPr>
              <w:pStyle w:val="TableText"/>
              <w:jc w:val="center"/>
            </w:pPr>
            <w:r>
              <w:t>6.6</w:t>
            </w:r>
          </w:p>
        </w:tc>
        <w:tc>
          <w:tcPr>
            <w:tcW w:w="860" w:type="dxa"/>
          </w:tcPr>
          <w:p w:rsidR="00B40966" w:rsidRDefault="00B40966">
            <w:pPr>
              <w:pStyle w:val="TableText"/>
              <w:jc w:val="center"/>
            </w:pPr>
            <w:r>
              <w:t>8.7</w:t>
            </w:r>
          </w:p>
        </w:tc>
      </w:tr>
      <w:tr w:rsidR="00B40966">
        <w:trPr>
          <w:cantSplit/>
        </w:trPr>
        <w:tc>
          <w:tcPr>
            <w:tcW w:w="2100" w:type="dxa"/>
            <w:tcBorders>
              <w:right w:val="single" w:sz="6" w:space="0" w:color="auto"/>
            </w:tcBorders>
          </w:tcPr>
          <w:p w:rsidR="00B40966" w:rsidRDefault="00B40966">
            <w:pPr>
              <w:pStyle w:val="TableText"/>
            </w:pPr>
            <w:r>
              <w:t>130</w:t>
            </w:r>
          </w:p>
        </w:tc>
        <w:tc>
          <w:tcPr>
            <w:tcW w:w="860" w:type="dxa"/>
          </w:tcPr>
          <w:p w:rsidR="00B40966" w:rsidRDefault="00B40966">
            <w:pPr>
              <w:pStyle w:val="TableText"/>
              <w:jc w:val="center"/>
            </w:pPr>
            <w:r>
              <w:t>4.0</w:t>
            </w:r>
          </w:p>
        </w:tc>
        <w:tc>
          <w:tcPr>
            <w:tcW w:w="860" w:type="dxa"/>
          </w:tcPr>
          <w:p w:rsidR="00B40966" w:rsidRDefault="00B40966">
            <w:pPr>
              <w:pStyle w:val="TableText"/>
              <w:jc w:val="center"/>
            </w:pPr>
            <w:r>
              <w:t>4.0</w:t>
            </w:r>
          </w:p>
        </w:tc>
        <w:tc>
          <w:tcPr>
            <w:tcW w:w="880" w:type="dxa"/>
            <w:gridSpan w:val="2"/>
            <w:tcBorders>
              <w:left w:val="single" w:sz="6" w:space="0" w:color="auto"/>
            </w:tcBorders>
          </w:tcPr>
          <w:p w:rsidR="00B40966" w:rsidRDefault="00B40966">
            <w:pPr>
              <w:pStyle w:val="TableText"/>
              <w:jc w:val="center"/>
            </w:pPr>
            <w:r>
              <w:t>6.0</w:t>
            </w:r>
          </w:p>
        </w:tc>
        <w:tc>
          <w:tcPr>
            <w:tcW w:w="840" w:type="dxa"/>
          </w:tcPr>
          <w:p w:rsidR="00B40966" w:rsidRDefault="00B40966">
            <w:pPr>
              <w:pStyle w:val="TableText"/>
              <w:jc w:val="center"/>
            </w:pPr>
            <w:r>
              <w:t>6.0</w:t>
            </w:r>
          </w:p>
        </w:tc>
        <w:tc>
          <w:tcPr>
            <w:tcW w:w="900" w:type="dxa"/>
            <w:gridSpan w:val="2"/>
            <w:tcBorders>
              <w:left w:val="single" w:sz="6" w:space="0" w:color="auto"/>
            </w:tcBorders>
          </w:tcPr>
          <w:p w:rsidR="00B40966" w:rsidRDefault="00B40966">
            <w:pPr>
              <w:pStyle w:val="TableText"/>
              <w:jc w:val="center"/>
            </w:pPr>
            <w:r>
              <w:t>6.0</w:t>
            </w:r>
          </w:p>
        </w:tc>
        <w:tc>
          <w:tcPr>
            <w:tcW w:w="860" w:type="dxa"/>
          </w:tcPr>
          <w:p w:rsidR="00B40966" w:rsidRDefault="00B40966">
            <w:pPr>
              <w:pStyle w:val="TableText"/>
              <w:jc w:val="center"/>
            </w:pPr>
            <w:r>
              <w:t>7.9</w:t>
            </w:r>
          </w:p>
        </w:tc>
      </w:tr>
      <w:tr w:rsidR="00B40966">
        <w:trPr>
          <w:cantSplit/>
        </w:trPr>
        <w:tc>
          <w:tcPr>
            <w:tcW w:w="2100" w:type="dxa"/>
            <w:tcBorders>
              <w:right w:val="single" w:sz="6" w:space="0" w:color="auto"/>
            </w:tcBorders>
          </w:tcPr>
          <w:p w:rsidR="00B40966" w:rsidRDefault="00B40966">
            <w:pPr>
              <w:pStyle w:val="TableText"/>
            </w:pPr>
            <w:r>
              <w:t>140</w:t>
            </w:r>
          </w:p>
        </w:tc>
        <w:tc>
          <w:tcPr>
            <w:tcW w:w="860" w:type="dxa"/>
          </w:tcPr>
          <w:p w:rsidR="00B40966" w:rsidRDefault="00B40966">
            <w:pPr>
              <w:pStyle w:val="TableText"/>
              <w:jc w:val="center"/>
            </w:pPr>
            <w:r>
              <w:t>3.5</w:t>
            </w:r>
          </w:p>
        </w:tc>
        <w:tc>
          <w:tcPr>
            <w:tcW w:w="860" w:type="dxa"/>
          </w:tcPr>
          <w:p w:rsidR="00B40966" w:rsidRDefault="00B40966">
            <w:pPr>
              <w:pStyle w:val="TableText"/>
              <w:jc w:val="center"/>
            </w:pPr>
            <w:r>
              <w:t>3.5</w:t>
            </w:r>
          </w:p>
        </w:tc>
        <w:tc>
          <w:tcPr>
            <w:tcW w:w="880" w:type="dxa"/>
            <w:gridSpan w:val="2"/>
            <w:tcBorders>
              <w:left w:val="single" w:sz="6" w:space="0" w:color="auto"/>
            </w:tcBorders>
          </w:tcPr>
          <w:p w:rsidR="00B40966" w:rsidRDefault="00B40966">
            <w:pPr>
              <w:pStyle w:val="TableText"/>
              <w:jc w:val="center"/>
            </w:pPr>
            <w:r>
              <w:t>5.4</w:t>
            </w:r>
          </w:p>
        </w:tc>
        <w:tc>
          <w:tcPr>
            <w:tcW w:w="840" w:type="dxa"/>
          </w:tcPr>
          <w:p w:rsidR="00B40966" w:rsidRDefault="00B40966">
            <w:pPr>
              <w:pStyle w:val="TableText"/>
              <w:jc w:val="center"/>
            </w:pPr>
            <w:r>
              <w:t>5.3</w:t>
            </w:r>
          </w:p>
        </w:tc>
        <w:tc>
          <w:tcPr>
            <w:tcW w:w="900" w:type="dxa"/>
            <w:gridSpan w:val="2"/>
            <w:tcBorders>
              <w:left w:val="single" w:sz="6" w:space="0" w:color="auto"/>
            </w:tcBorders>
          </w:tcPr>
          <w:p w:rsidR="00B40966" w:rsidRDefault="00B40966">
            <w:pPr>
              <w:pStyle w:val="TableText"/>
              <w:jc w:val="center"/>
            </w:pPr>
            <w:r>
              <w:t>5.3</w:t>
            </w:r>
          </w:p>
        </w:tc>
        <w:tc>
          <w:tcPr>
            <w:tcW w:w="860" w:type="dxa"/>
          </w:tcPr>
          <w:p w:rsidR="00B40966" w:rsidRDefault="00B40966">
            <w:pPr>
              <w:pStyle w:val="TableText"/>
              <w:jc w:val="center"/>
            </w:pPr>
            <w:r>
              <w:t>7.2</w:t>
            </w:r>
          </w:p>
        </w:tc>
      </w:tr>
      <w:tr w:rsidR="00B40966">
        <w:trPr>
          <w:cantSplit/>
        </w:trPr>
        <w:tc>
          <w:tcPr>
            <w:tcW w:w="2100" w:type="dxa"/>
            <w:tcBorders>
              <w:right w:val="single" w:sz="6" w:space="0" w:color="auto"/>
            </w:tcBorders>
          </w:tcPr>
          <w:p w:rsidR="00B40966" w:rsidRDefault="00B40966">
            <w:pPr>
              <w:pStyle w:val="TableText"/>
            </w:pPr>
            <w:r>
              <w:t>150</w:t>
            </w:r>
          </w:p>
        </w:tc>
        <w:tc>
          <w:tcPr>
            <w:tcW w:w="860" w:type="dxa"/>
          </w:tcPr>
          <w:p w:rsidR="00B40966" w:rsidRDefault="00B40966">
            <w:pPr>
              <w:pStyle w:val="TableText"/>
              <w:jc w:val="center"/>
            </w:pPr>
            <w:r>
              <w:t>3.1</w:t>
            </w:r>
          </w:p>
        </w:tc>
        <w:tc>
          <w:tcPr>
            <w:tcW w:w="860" w:type="dxa"/>
          </w:tcPr>
          <w:p w:rsidR="00B40966" w:rsidRDefault="00B40966">
            <w:pPr>
              <w:pStyle w:val="TableText"/>
              <w:jc w:val="center"/>
            </w:pPr>
            <w:r>
              <w:t>3.1</w:t>
            </w:r>
          </w:p>
        </w:tc>
        <w:tc>
          <w:tcPr>
            <w:tcW w:w="880" w:type="dxa"/>
            <w:gridSpan w:val="2"/>
            <w:tcBorders>
              <w:left w:val="single" w:sz="6" w:space="0" w:color="auto"/>
            </w:tcBorders>
          </w:tcPr>
          <w:p w:rsidR="00B40966" w:rsidRDefault="00B40966">
            <w:pPr>
              <w:pStyle w:val="TableText"/>
              <w:jc w:val="center"/>
            </w:pPr>
            <w:r>
              <w:t>4.9</w:t>
            </w:r>
          </w:p>
        </w:tc>
        <w:tc>
          <w:tcPr>
            <w:tcW w:w="840" w:type="dxa"/>
          </w:tcPr>
          <w:p w:rsidR="00B40966" w:rsidRDefault="00B40966">
            <w:pPr>
              <w:pStyle w:val="TableText"/>
              <w:jc w:val="center"/>
            </w:pPr>
            <w:r>
              <w:t>4.7</w:t>
            </w:r>
          </w:p>
        </w:tc>
        <w:tc>
          <w:tcPr>
            <w:tcW w:w="900" w:type="dxa"/>
            <w:gridSpan w:val="2"/>
            <w:tcBorders>
              <w:left w:val="single" w:sz="6" w:space="0" w:color="auto"/>
            </w:tcBorders>
          </w:tcPr>
          <w:p w:rsidR="00B40966" w:rsidRDefault="00B40966">
            <w:pPr>
              <w:pStyle w:val="TableText"/>
              <w:jc w:val="center"/>
            </w:pPr>
            <w:r>
              <w:t>4.7</w:t>
            </w:r>
          </w:p>
        </w:tc>
        <w:tc>
          <w:tcPr>
            <w:tcW w:w="860" w:type="dxa"/>
          </w:tcPr>
          <w:p w:rsidR="00B40966" w:rsidRDefault="00B40966">
            <w:pPr>
              <w:pStyle w:val="TableText"/>
              <w:jc w:val="center"/>
            </w:pPr>
            <w:r>
              <w:t>6.4</w:t>
            </w:r>
          </w:p>
        </w:tc>
      </w:tr>
      <w:tr w:rsidR="00B40966">
        <w:trPr>
          <w:cantSplit/>
        </w:trPr>
        <w:tc>
          <w:tcPr>
            <w:tcW w:w="2100" w:type="dxa"/>
            <w:tcBorders>
              <w:right w:val="single" w:sz="6" w:space="0" w:color="auto"/>
            </w:tcBorders>
          </w:tcPr>
          <w:p w:rsidR="00B40966" w:rsidRDefault="00B40966">
            <w:pPr>
              <w:pStyle w:val="TableText"/>
            </w:pPr>
            <w:r>
              <w:t>160</w:t>
            </w:r>
          </w:p>
        </w:tc>
        <w:tc>
          <w:tcPr>
            <w:tcW w:w="860" w:type="dxa"/>
          </w:tcPr>
          <w:p w:rsidR="00B40966" w:rsidRDefault="00B40966">
            <w:pPr>
              <w:pStyle w:val="TableText"/>
              <w:jc w:val="center"/>
            </w:pPr>
            <w:r>
              <w:t>2.8</w:t>
            </w:r>
          </w:p>
        </w:tc>
        <w:tc>
          <w:tcPr>
            <w:tcW w:w="860" w:type="dxa"/>
          </w:tcPr>
          <w:p w:rsidR="00B40966" w:rsidRDefault="00B40966">
            <w:pPr>
              <w:pStyle w:val="TableText"/>
              <w:jc w:val="center"/>
            </w:pPr>
            <w:r>
              <w:t>2.8</w:t>
            </w:r>
          </w:p>
        </w:tc>
        <w:tc>
          <w:tcPr>
            <w:tcW w:w="880" w:type="dxa"/>
            <w:gridSpan w:val="2"/>
            <w:tcBorders>
              <w:left w:val="single" w:sz="6" w:space="0" w:color="auto"/>
            </w:tcBorders>
          </w:tcPr>
          <w:p w:rsidR="00B40966" w:rsidRDefault="00B40966">
            <w:pPr>
              <w:pStyle w:val="TableText"/>
              <w:jc w:val="center"/>
            </w:pPr>
            <w:r>
              <w:t>4.5</w:t>
            </w:r>
          </w:p>
        </w:tc>
        <w:tc>
          <w:tcPr>
            <w:tcW w:w="840" w:type="dxa"/>
          </w:tcPr>
          <w:p w:rsidR="00B40966" w:rsidRDefault="00B40966">
            <w:pPr>
              <w:pStyle w:val="TableText"/>
              <w:jc w:val="center"/>
            </w:pPr>
            <w:r>
              <w:t>4.2</w:t>
            </w:r>
          </w:p>
        </w:tc>
        <w:tc>
          <w:tcPr>
            <w:tcW w:w="900" w:type="dxa"/>
            <w:gridSpan w:val="2"/>
            <w:tcBorders>
              <w:left w:val="single" w:sz="6" w:space="0" w:color="auto"/>
            </w:tcBorders>
          </w:tcPr>
          <w:p w:rsidR="00B40966" w:rsidRDefault="00B40966">
            <w:pPr>
              <w:pStyle w:val="TableText"/>
              <w:jc w:val="center"/>
            </w:pPr>
            <w:r>
              <w:t>4.2</w:t>
            </w:r>
          </w:p>
        </w:tc>
        <w:tc>
          <w:tcPr>
            <w:tcW w:w="860" w:type="dxa"/>
          </w:tcPr>
          <w:p w:rsidR="00B40966" w:rsidRDefault="00B40966">
            <w:pPr>
              <w:pStyle w:val="TableText"/>
              <w:jc w:val="center"/>
            </w:pPr>
            <w:r>
              <w:t>5.6</w:t>
            </w:r>
          </w:p>
        </w:tc>
      </w:tr>
      <w:tr w:rsidR="00B40966">
        <w:trPr>
          <w:cantSplit/>
        </w:trPr>
        <w:tc>
          <w:tcPr>
            <w:tcW w:w="2100" w:type="dxa"/>
            <w:tcBorders>
              <w:right w:val="single" w:sz="6" w:space="0" w:color="auto"/>
            </w:tcBorders>
          </w:tcPr>
          <w:p w:rsidR="00B40966" w:rsidRDefault="00B40966">
            <w:pPr>
              <w:pStyle w:val="TableText"/>
            </w:pPr>
            <w:r>
              <w:t>170</w:t>
            </w:r>
          </w:p>
        </w:tc>
        <w:tc>
          <w:tcPr>
            <w:tcW w:w="860" w:type="dxa"/>
          </w:tcPr>
          <w:p w:rsidR="00B40966" w:rsidRDefault="00B40966">
            <w:pPr>
              <w:pStyle w:val="TableText"/>
              <w:jc w:val="center"/>
            </w:pPr>
            <w:r>
              <w:t>2.5</w:t>
            </w:r>
          </w:p>
        </w:tc>
        <w:tc>
          <w:tcPr>
            <w:tcW w:w="860" w:type="dxa"/>
          </w:tcPr>
          <w:p w:rsidR="00B40966" w:rsidRDefault="00B40966">
            <w:pPr>
              <w:pStyle w:val="TableText"/>
              <w:jc w:val="center"/>
            </w:pPr>
            <w:r>
              <w:t>2.5</w:t>
            </w:r>
          </w:p>
        </w:tc>
        <w:tc>
          <w:tcPr>
            <w:tcW w:w="880" w:type="dxa"/>
            <w:gridSpan w:val="2"/>
            <w:tcBorders>
              <w:left w:val="single" w:sz="6" w:space="0" w:color="auto"/>
            </w:tcBorders>
          </w:tcPr>
          <w:p w:rsidR="00B40966" w:rsidRDefault="00B40966">
            <w:pPr>
              <w:pStyle w:val="TableText"/>
              <w:jc w:val="center"/>
            </w:pPr>
            <w:r>
              <w:t>4.1</w:t>
            </w:r>
          </w:p>
        </w:tc>
        <w:tc>
          <w:tcPr>
            <w:tcW w:w="840" w:type="dxa"/>
          </w:tcPr>
          <w:p w:rsidR="00B40966" w:rsidRDefault="00B40966">
            <w:pPr>
              <w:pStyle w:val="TableText"/>
              <w:jc w:val="center"/>
            </w:pPr>
            <w:r>
              <w:t>3.7</w:t>
            </w:r>
          </w:p>
        </w:tc>
        <w:tc>
          <w:tcPr>
            <w:tcW w:w="900" w:type="dxa"/>
            <w:gridSpan w:val="2"/>
            <w:tcBorders>
              <w:left w:val="single" w:sz="6" w:space="0" w:color="auto"/>
            </w:tcBorders>
          </w:tcPr>
          <w:p w:rsidR="00B40966" w:rsidRDefault="00B40966">
            <w:pPr>
              <w:pStyle w:val="TableText"/>
              <w:jc w:val="center"/>
            </w:pPr>
            <w:r>
              <w:t>3.7</w:t>
            </w:r>
          </w:p>
        </w:tc>
        <w:tc>
          <w:tcPr>
            <w:tcW w:w="860" w:type="dxa"/>
          </w:tcPr>
          <w:p w:rsidR="00B40966" w:rsidRDefault="00B40966">
            <w:pPr>
              <w:pStyle w:val="TableText"/>
              <w:jc w:val="center"/>
            </w:pPr>
            <w:r>
              <w:t>4.9</w:t>
            </w:r>
          </w:p>
        </w:tc>
      </w:tr>
      <w:tr w:rsidR="00B40966">
        <w:trPr>
          <w:cantSplit/>
        </w:trPr>
        <w:tc>
          <w:tcPr>
            <w:tcW w:w="2100" w:type="dxa"/>
            <w:tcBorders>
              <w:right w:val="single" w:sz="6" w:space="0" w:color="auto"/>
            </w:tcBorders>
          </w:tcPr>
          <w:p w:rsidR="00B40966" w:rsidRDefault="00B40966">
            <w:pPr>
              <w:pStyle w:val="TableText"/>
            </w:pPr>
            <w:r>
              <w:t>180</w:t>
            </w:r>
          </w:p>
        </w:tc>
        <w:tc>
          <w:tcPr>
            <w:tcW w:w="860" w:type="dxa"/>
          </w:tcPr>
          <w:p w:rsidR="00B40966" w:rsidRDefault="00B40966">
            <w:pPr>
              <w:pStyle w:val="TableText"/>
              <w:jc w:val="center"/>
            </w:pPr>
            <w:r>
              <w:t>2.3</w:t>
            </w:r>
          </w:p>
        </w:tc>
        <w:tc>
          <w:tcPr>
            <w:tcW w:w="860" w:type="dxa"/>
          </w:tcPr>
          <w:p w:rsidR="00B40966" w:rsidRDefault="00B40966">
            <w:pPr>
              <w:pStyle w:val="TableText"/>
              <w:jc w:val="center"/>
            </w:pPr>
            <w:r>
              <w:t>2.3</w:t>
            </w:r>
          </w:p>
        </w:tc>
        <w:tc>
          <w:tcPr>
            <w:tcW w:w="880" w:type="dxa"/>
            <w:gridSpan w:val="2"/>
            <w:tcBorders>
              <w:left w:val="single" w:sz="6" w:space="0" w:color="auto"/>
            </w:tcBorders>
          </w:tcPr>
          <w:p w:rsidR="00B40966" w:rsidRDefault="00B40966">
            <w:pPr>
              <w:pStyle w:val="TableText"/>
              <w:jc w:val="center"/>
            </w:pPr>
            <w:r>
              <w:t>3.8</w:t>
            </w:r>
          </w:p>
        </w:tc>
        <w:tc>
          <w:tcPr>
            <w:tcW w:w="840" w:type="dxa"/>
          </w:tcPr>
          <w:p w:rsidR="00B40966" w:rsidRDefault="00B40966">
            <w:pPr>
              <w:pStyle w:val="TableText"/>
              <w:jc w:val="center"/>
            </w:pPr>
            <w:r>
              <w:t>3.3</w:t>
            </w:r>
          </w:p>
        </w:tc>
        <w:tc>
          <w:tcPr>
            <w:tcW w:w="900" w:type="dxa"/>
            <w:gridSpan w:val="2"/>
            <w:tcBorders>
              <w:left w:val="single" w:sz="6" w:space="0" w:color="auto"/>
            </w:tcBorders>
          </w:tcPr>
          <w:p w:rsidR="00B40966" w:rsidRDefault="00B40966">
            <w:pPr>
              <w:pStyle w:val="TableText"/>
              <w:jc w:val="center"/>
            </w:pPr>
            <w:r>
              <w:t>3.3</w:t>
            </w:r>
          </w:p>
        </w:tc>
        <w:tc>
          <w:tcPr>
            <w:tcW w:w="860" w:type="dxa"/>
          </w:tcPr>
          <w:p w:rsidR="00B40966" w:rsidRDefault="00B40966">
            <w:pPr>
              <w:pStyle w:val="TableText"/>
              <w:jc w:val="center"/>
            </w:pPr>
            <w:r>
              <w:t>4.3</w:t>
            </w:r>
          </w:p>
        </w:tc>
      </w:tr>
      <w:tr w:rsidR="00B40966">
        <w:trPr>
          <w:cantSplit/>
        </w:trPr>
        <w:tc>
          <w:tcPr>
            <w:tcW w:w="2100" w:type="dxa"/>
            <w:tcBorders>
              <w:right w:val="single" w:sz="6" w:space="0" w:color="auto"/>
            </w:tcBorders>
          </w:tcPr>
          <w:p w:rsidR="00B40966" w:rsidRDefault="00B40966">
            <w:pPr>
              <w:pStyle w:val="TableText"/>
            </w:pPr>
            <w:r>
              <w:t>190</w:t>
            </w:r>
          </w:p>
        </w:tc>
        <w:tc>
          <w:tcPr>
            <w:tcW w:w="860" w:type="dxa"/>
          </w:tcPr>
          <w:p w:rsidR="00B40966" w:rsidRDefault="00B40966">
            <w:pPr>
              <w:pStyle w:val="TableText"/>
              <w:jc w:val="center"/>
            </w:pPr>
            <w:r>
              <w:t>2.2</w:t>
            </w:r>
          </w:p>
        </w:tc>
        <w:tc>
          <w:tcPr>
            <w:tcW w:w="860" w:type="dxa"/>
          </w:tcPr>
          <w:p w:rsidR="00B40966" w:rsidRDefault="00B40966">
            <w:pPr>
              <w:pStyle w:val="TableText"/>
              <w:jc w:val="center"/>
            </w:pPr>
            <w:r>
              <w:t>2.2</w:t>
            </w:r>
          </w:p>
        </w:tc>
        <w:tc>
          <w:tcPr>
            <w:tcW w:w="880" w:type="dxa"/>
            <w:gridSpan w:val="2"/>
            <w:tcBorders>
              <w:left w:val="single" w:sz="6" w:space="0" w:color="auto"/>
            </w:tcBorders>
          </w:tcPr>
          <w:p w:rsidR="00B40966" w:rsidRDefault="00B40966">
            <w:pPr>
              <w:pStyle w:val="TableText"/>
              <w:jc w:val="center"/>
            </w:pPr>
            <w:r>
              <w:t>3.5</w:t>
            </w:r>
          </w:p>
        </w:tc>
        <w:tc>
          <w:tcPr>
            <w:tcW w:w="840" w:type="dxa"/>
          </w:tcPr>
          <w:p w:rsidR="00B40966" w:rsidRDefault="00B40966">
            <w:pPr>
              <w:pStyle w:val="TableText"/>
              <w:jc w:val="center"/>
            </w:pPr>
            <w:r>
              <w:t>3.0</w:t>
            </w:r>
          </w:p>
        </w:tc>
        <w:tc>
          <w:tcPr>
            <w:tcW w:w="900" w:type="dxa"/>
            <w:gridSpan w:val="2"/>
            <w:tcBorders>
              <w:left w:val="single" w:sz="6" w:space="0" w:color="auto"/>
            </w:tcBorders>
          </w:tcPr>
          <w:p w:rsidR="00B40966" w:rsidRDefault="00B40966">
            <w:pPr>
              <w:pStyle w:val="TableText"/>
              <w:jc w:val="center"/>
            </w:pPr>
            <w:r>
              <w:t>3.0</w:t>
            </w:r>
          </w:p>
        </w:tc>
        <w:tc>
          <w:tcPr>
            <w:tcW w:w="860" w:type="dxa"/>
          </w:tcPr>
          <w:p w:rsidR="00B40966" w:rsidRDefault="00B40966">
            <w:pPr>
              <w:pStyle w:val="TableText"/>
              <w:jc w:val="center"/>
            </w:pPr>
            <w:r>
              <w:t>3.8</w:t>
            </w:r>
          </w:p>
        </w:tc>
      </w:tr>
      <w:tr w:rsidR="00B40966">
        <w:trPr>
          <w:cantSplit/>
        </w:trPr>
        <w:tc>
          <w:tcPr>
            <w:tcW w:w="2100" w:type="dxa"/>
            <w:tcBorders>
              <w:right w:val="single" w:sz="6" w:space="0" w:color="auto"/>
            </w:tcBorders>
          </w:tcPr>
          <w:p w:rsidR="00B40966" w:rsidRDefault="00B40966">
            <w:pPr>
              <w:pStyle w:val="TableText"/>
            </w:pPr>
            <w:r>
              <w:t>200</w:t>
            </w:r>
          </w:p>
        </w:tc>
        <w:tc>
          <w:tcPr>
            <w:tcW w:w="860" w:type="dxa"/>
          </w:tcPr>
          <w:p w:rsidR="00B40966" w:rsidRDefault="00B40966">
            <w:pPr>
              <w:pStyle w:val="TableText"/>
              <w:jc w:val="center"/>
            </w:pPr>
            <w:r>
              <w:t>2.1</w:t>
            </w:r>
          </w:p>
        </w:tc>
        <w:tc>
          <w:tcPr>
            <w:tcW w:w="860" w:type="dxa"/>
          </w:tcPr>
          <w:p w:rsidR="00B40966" w:rsidRDefault="00B40966">
            <w:pPr>
              <w:pStyle w:val="TableText"/>
              <w:jc w:val="center"/>
            </w:pPr>
            <w:r>
              <w:t>2.1</w:t>
            </w:r>
          </w:p>
        </w:tc>
        <w:tc>
          <w:tcPr>
            <w:tcW w:w="880" w:type="dxa"/>
            <w:gridSpan w:val="2"/>
            <w:tcBorders>
              <w:left w:val="single" w:sz="6" w:space="0" w:color="auto"/>
            </w:tcBorders>
          </w:tcPr>
          <w:p w:rsidR="00B40966" w:rsidRDefault="00B40966">
            <w:pPr>
              <w:pStyle w:val="TableText"/>
              <w:jc w:val="center"/>
            </w:pPr>
            <w:r>
              <w:t>3.3</w:t>
            </w:r>
          </w:p>
        </w:tc>
        <w:tc>
          <w:tcPr>
            <w:tcW w:w="840" w:type="dxa"/>
          </w:tcPr>
          <w:p w:rsidR="00B40966" w:rsidRDefault="00B40966">
            <w:pPr>
              <w:pStyle w:val="TableText"/>
              <w:jc w:val="center"/>
            </w:pPr>
            <w:r>
              <w:t>2.7</w:t>
            </w:r>
          </w:p>
        </w:tc>
        <w:tc>
          <w:tcPr>
            <w:tcW w:w="900" w:type="dxa"/>
            <w:gridSpan w:val="2"/>
            <w:tcBorders>
              <w:left w:val="single" w:sz="6" w:space="0" w:color="auto"/>
            </w:tcBorders>
          </w:tcPr>
          <w:p w:rsidR="00B40966" w:rsidRDefault="00B40966">
            <w:pPr>
              <w:pStyle w:val="TableText"/>
              <w:jc w:val="center"/>
            </w:pPr>
            <w:r>
              <w:t>2.7</w:t>
            </w:r>
          </w:p>
        </w:tc>
        <w:tc>
          <w:tcPr>
            <w:tcW w:w="860" w:type="dxa"/>
          </w:tcPr>
          <w:p w:rsidR="00B40966" w:rsidRDefault="00B40966">
            <w:pPr>
              <w:pStyle w:val="TableText"/>
              <w:jc w:val="center"/>
            </w:pPr>
            <w:r>
              <w:t>3.4</w:t>
            </w:r>
          </w:p>
        </w:tc>
      </w:tr>
      <w:tr w:rsidR="00B40966">
        <w:trPr>
          <w:cantSplit/>
        </w:trPr>
        <w:tc>
          <w:tcPr>
            <w:tcW w:w="2100" w:type="dxa"/>
            <w:tcBorders>
              <w:right w:val="single" w:sz="6" w:space="0" w:color="auto"/>
            </w:tcBorders>
          </w:tcPr>
          <w:p w:rsidR="00B40966" w:rsidRDefault="00B40966">
            <w:pPr>
              <w:pStyle w:val="TableText"/>
            </w:pPr>
            <w:r>
              <w:t>210</w:t>
            </w:r>
          </w:p>
        </w:tc>
        <w:tc>
          <w:tcPr>
            <w:tcW w:w="860" w:type="dxa"/>
          </w:tcPr>
          <w:p w:rsidR="00B40966" w:rsidRDefault="00B40966">
            <w:pPr>
              <w:pStyle w:val="TableText"/>
              <w:jc w:val="center"/>
            </w:pPr>
            <w:r>
              <w:t>2.0</w:t>
            </w:r>
          </w:p>
        </w:tc>
        <w:tc>
          <w:tcPr>
            <w:tcW w:w="860" w:type="dxa"/>
          </w:tcPr>
          <w:p w:rsidR="00B40966" w:rsidRDefault="00B40966">
            <w:pPr>
              <w:pStyle w:val="TableText"/>
              <w:jc w:val="center"/>
            </w:pPr>
            <w:r>
              <w:t>2.0</w:t>
            </w:r>
          </w:p>
        </w:tc>
        <w:tc>
          <w:tcPr>
            <w:tcW w:w="880" w:type="dxa"/>
            <w:gridSpan w:val="2"/>
            <w:tcBorders>
              <w:left w:val="single" w:sz="6" w:space="0" w:color="auto"/>
            </w:tcBorders>
          </w:tcPr>
          <w:p w:rsidR="00B40966" w:rsidRDefault="00B40966">
            <w:pPr>
              <w:pStyle w:val="TableText"/>
              <w:jc w:val="center"/>
            </w:pPr>
            <w:r>
              <w:t>3.1</w:t>
            </w:r>
          </w:p>
        </w:tc>
        <w:tc>
          <w:tcPr>
            <w:tcW w:w="840" w:type="dxa"/>
          </w:tcPr>
          <w:p w:rsidR="00B40966" w:rsidRDefault="00B40966">
            <w:pPr>
              <w:pStyle w:val="TableText"/>
              <w:jc w:val="center"/>
            </w:pPr>
            <w:r>
              <w:t>2.5</w:t>
            </w:r>
          </w:p>
        </w:tc>
        <w:tc>
          <w:tcPr>
            <w:tcW w:w="900" w:type="dxa"/>
            <w:gridSpan w:val="2"/>
            <w:tcBorders>
              <w:left w:val="single" w:sz="6" w:space="0" w:color="auto"/>
            </w:tcBorders>
          </w:tcPr>
          <w:p w:rsidR="00B40966" w:rsidRDefault="00B40966">
            <w:pPr>
              <w:pStyle w:val="TableText"/>
              <w:jc w:val="center"/>
            </w:pPr>
            <w:r>
              <w:t>2.5</w:t>
            </w:r>
          </w:p>
        </w:tc>
        <w:tc>
          <w:tcPr>
            <w:tcW w:w="860" w:type="dxa"/>
          </w:tcPr>
          <w:p w:rsidR="00B40966" w:rsidRDefault="00B40966">
            <w:pPr>
              <w:pStyle w:val="TableText"/>
              <w:jc w:val="center"/>
            </w:pPr>
            <w:r>
              <w:t>3.1</w:t>
            </w:r>
          </w:p>
        </w:tc>
      </w:tr>
      <w:tr w:rsidR="00B40966">
        <w:trPr>
          <w:cantSplit/>
        </w:trPr>
        <w:tc>
          <w:tcPr>
            <w:tcW w:w="2100" w:type="dxa"/>
            <w:tcBorders>
              <w:bottom w:val="single" w:sz="6" w:space="0" w:color="auto"/>
              <w:right w:val="single" w:sz="6" w:space="0" w:color="auto"/>
            </w:tcBorders>
          </w:tcPr>
          <w:p w:rsidR="00B40966" w:rsidRDefault="00B40966">
            <w:pPr>
              <w:pStyle w:val="TableText"/>
            </w:pPr>
            <w:r>
              <w:t>220</w:t>
            </w:r>
          </w:p>
        </w:tc>
        <w:tc>
          <w:tcPr>
            <w:tcW w:w="860" w:type="dxa"/>
            <w:tcBorders>
              <w:bottom w:val="single" w:sz="6" w:space="0" w:color="auto"/>
            </w:tcBorders>
          </w:tcPr>
          <w:p w:rsidR="00B40966" w:rsidRDefault="00B40966">
            <w:pPr>
              <w:pStyle w:val="TableText"/>
              <w:jc w:val="center"/>
            </w:pPr>
            <w:r>
              <w:t>1.9</w:t>
            </w:r>
          </w:p>
        </w:tc>
        <w:tc>
          <w:tcPr>
            <w:tcW w:w="860" w:type="dxa"/>
            <w:tcBorders>
              <w:bottom w:val="single" w:sz="6" w:space="0" w:color="auto"/>
            </w:tcBorders>
          </w:tcPr>
          <w:p w:rsidR="00B40966" w:rsidRDefault="00B40966">
            <w:pPr>
              <w:pStyle w:val="TableText"/>
              <w:jc w:val="center"/>
            </w:pPr>
            <w:r>
              <w:t>1.9</w:t>
            </w:r>
          </w:p>
        </w:tc>
        <w:tc>
          <w:tcPr>
            <w:tcW w:w="880" w:type="dxa"/>
            <w:gridSpan w:val="2"/>
            <w:tcBorders>
              <w:left w:val="single" w:sz="6" w:space="0" w:color="auto"/>
              <w:bottom w:val="single" w:sz="6" w:space="0" w:color="auto"/>
            </w:tcBorders>
          </w:tcPr>
          <w:p w:rsidR="00B40966" w:rsidRDefault="00B40966">
            <w:pPr>
              <w:pStyle w:val="TableText"/>
              <w:jc w:val="center"/>
            </w:pPr>
            <w:r>
              <w:t>2.9</w:t>
            </w:r>
          </w:p>
        </w:tc>
        <w:tc>
          <w:tcPr>
            <w:tcW w:w="840" w:type="dxa"/>
            <w:tcBorders>
              <w:bottom w:val="single" w:sz="6" w:space="0" w:color="auto"/>
            </w:tcBorders>
          </w:tcPr>
          <w:p w:rsidR="00B40966" w:rsidRDefault="00B40966">
            <w:pPr>
              <w:pStyle w:val="TableText"/>
              <w:jc w:val="center"/>
            </w:pPr>
            <w:r>
              <w:t>2.4</w:t>
            </w:r>
          </w:p>
        </w:tc>
        <w:tc>
          <w:tcPr>
            <w:tcW w:w="900" w:type="dxa"/>
            <w:gridSpan w:val="2"/>
            <w:tcBorders>
              <w:left w:val="single" w:sz="6" w:space="0" w:color="auto"/>
              <w:bottom w:val="single" w:sz="6" w:space="0" w:color="auto"/>
            </w:tcBorders>
          </w:tcPr>
          <w:p w:rsidR="00B40966" w:rsidRDefault="00B40966">
            <w:pPr>
              <w:pStyle w:val="TableText"/>
              <w:jc w:val="center"/>
            </w:pPr>
            <w:r>
              <w:t>2.4</w:t>
            </w:r>
          </w:p>
        </w:tc>
        <w:tc>
          <w:tcPr>
            <w:tcW w:w="860" w:type="dxa"/>
            <w:tcBorders>
              <w:bottom w:val="single" w:sz="6" w:space="0" w:color="auto"/>
            </w:tcBorders>
          </w:tcPr>
          <w:p w:rsidR="00B40966" w:rsidRDefault="00B40966">
            <w:pPr>
              <w:pStyle w:val="TableText"/>
              <w:jc w:val="center"/>
            </w:pPr>
            <w:r>
              <w:t>2.9</w:t>
            </w:r>
          </w:p>
        </w:tc>
      </w:tr>
    </w:tbl>
    <w:p w:rsidR="00B40966" w:rsidRDefault="00B40966">
      <w:pPr>
        <w:pStyle w:val="Amain"/>
        <w:ind w:left="228" w:hanging="312"/>
        <w:rPr>
          <w:color w:val="000000"/>
          <w:sz w:val="20"/>
        </w:rPr>
      </w:pPr>
      <w:r>
        <w:rPr>
          <w:color w:val="000000"/>
          <w:sz w:val="20"/>
        </w:rPr>
        <w:t>*</w:t>
      </w:r>
      <w:r>
        <w:rPr>
          <w:color w:val="000000"/>
          <w:sz w:val="20"/>
        </w:rPr>
        <w:tab/>
        <w:t>Mild steel conforming to Australian Standard Specification No A1—1940, ‘Rolled Steel Sections for Structural Purposes’.  Column ‘B’ is applicable to members of angle, tee or tube section, and to members of latticed, battened or other framed construction.</w:t>
      </w:r>
    </w:p>
    <w:p w:rsidR="00B40966" w:rsidRDefault="00B40966">
      <w:pPr>
        <w:pStyle w:val="Amain"/>
        <w:ind w:left="228" w:hanging="312"/>
        <w:rPr>
          <w:color w:val="000000"/>
          <w:sz w:val="20"/>
        </w:rPr>
      </w:pPr>
      <w:r>
        <w:rPr>
          <w:color w:val="000000"/>
          <w:sz w:val="20"/>
        </w:rPr>
        <w:tab/>
        <w:t>Permissible stresses for intermediate ratios of slenderness should be interpolated.</w:t>
      </w:r>
    </w:p>
    <w:p w:rsidR="00B40966" w:rsidRDefault="00B40966"/>
    <w:p w:rsidR="00B40966" w:rsidRDefault="00B40966">
      <w:pPr>
        <w:pStyle w:val="TableHd"/>
      </w:pPr>
      <w:r>
        <w:t>Table 126.6</w:t>
      </w:r>
      <w:r>
        <w:tab/>
        <w:t>Maximum stresses permissible in high tensile* steel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2100"/>
        <w:gridCol w:w="860"/>
        <w:gridCol w:w="860"/>
        <w:gridCol w:w="860"/>
        <w:gridCol w:w="20"/>
        <w:gridCol w:w="840"/>
        <w:gridCol w:w="840"/>
        <w:gridCol w:w="40"/>
        <w:gridCol w:w="880"/>
      </w:tblGrid>
      <w:tr w:rsidR="00B40966">
        <w:trPr>
          <w:cantSplit/>
          <w:tblHeader/>
        </w:trPr>
        <w:tc>
          <w:tcPr>
            <w:tcW w:w="2100" w:type="dxa"/>
            <w:tcBorders>
              <w:top w:val="single" w:sz="6" w:space="0" w:color="auto"/>
              <w:right w:val="single" w:sz="6" w:space="0" w:color="auto"/>
            </w:tcBorders>
          </w:tcPr>
          <w:p w:rsidR="00B40966" w:rsidRDefault="00B40966">
            <w:pPr>
              <w:pStyle w:val="TableColHd"/>
            </w:pPr>
          </w:p>
        </w:tc>
        <w:tc>
          <w:tcPr>
            <w:tcW w:w="5200" w:type="dxa"/>
            <w:gridSpan w:val="8"/>
            <w:tcBorders>
              <w:top w:val="single" w:sz="6" w:space="0" w:color="auto"/>
            </w:tcBorders>
          </w:tcPr>
          <w:p w:rsidR="00B40966" w:rsidRDefault="00B40966">
            <w:pPr>
              <w:pStyle w:val="TableColHd"/>
              <w:jc w:val="center"/>
            </w:pPr>
            <w:r>
              <w:t>maximum permissible stress in t/in</w:t>
            </w:r>
            <w:r>
              <w:rPr>
                <w:vertAlign w:val="superscript"/>
              </w:rPr>
              <w:t>2</w:t>
            </w:r>
          </w:p>
        </w:tc>
      </w:tr>
      <w:tr w:rsidR="00B40966">
        <w:trPr>
          <w:cantSplit/>
          <w:tblHeader/>
        </w:trPr>
        <w:tc>
          <w:tcPr>
            <w:tcW w:w="2100" w:type="dxa"/>
            <w:vMerge w:val="restart"/>
            <w:tcBorders>
              <w:right w:val="single" w:sz="6" w:space="0" w:color="auto"/>
            </w:tcBorders>
          </w:tcPr>
          <w:p w:rsidR="00B40966" w:rsidRDefault="00B40966">
            <w:pPr>
              <w:pStyle w:val="TableColHd"/>
            </w:pPr>
            <w:r>
              <w:t>ratio of slenderness</w:t>
            </w:r>
          </w:p>
        </w:tc>
        <w:tc>
          <w:tcPr>
            <w:tcW w:w="1720" w:type="dxa"/>
            <w:gridSpan w:val="2"/>
            <w:tcBorders>
              <w:top w:val="single" w:sz="6" w:space="0" w:color="auto"/>
              <w:bottom w:val="single" w:sz="6" w:space="0" w:color="auto"/>
            </w:tcBorders>
          </w:tcPr>
          <w:p w:rsidR="00B40966" w:rsidRDefault="00B40966">
            <w:pPr>
              <w:pStyle w:val="TableColHd"/>
              <w:rPr>
                <w:sz w:val="16"/>
              </w:rPr>
            </w:pPr>
            <w:r>
              <w:rPr>
                <w:sz w:val="16"/>
              </w:rPr>
              <w:t>members having both ends hinged</w:t>
            </w:r>
          </w:p>
        </w:tc>
        <w:tc>
          <w:tcPr>
            <w:tcW w:w="1720"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ColHd"/>
              <w:rPr>
                <w:sz w:val="16"/>
              </w:rPr>
            </w:pPr>
            <w:r>
              <w:rPr>
                <w:sz w:val="16"/>
              </w:rPr>
              <w:t>members having 1 end fixed and 1 end hinged</w:t>
            </w:r>
          </w:p>
        </w:tc>
        <w:tc>
          <w:tcPr>
            <w:tcW w:w="1760" w:type="dxa"/>
            <w:gridSpan w:val="3"/>
            <w:tcBorders>
              <w:top w:val="single" w:sz="6" w:space="0" w:color="auto"/>
              <w:bottom w:val="single" w:sz="6" w:space="0" w:color="auto"/>
            </w:tcBorders>
          </w:tcPr>
          <w:p w:rsidR="00B40966" w:rsidRDefault="00B40966">
            <w:pPr>
              <w:pStyle w:val="TableColHd"/>
              <w:rPr>
                <w:sz w:val="16"/>
              </w:rPr>
            </w:pPr>
            <w:r>
              <w:rPr>
                <w:sz w:val="16"/>
              </w:rPr>
              <w:t>members having both ends fixed</w:t>
            </w:r>
          </w:p>
        </w:tc>
      </w:tr>
      <w:tr w:rsidR="00B40966">
        <w:trPr>
          <w:cantSplit/>
          <w:tblHeader/>
        </w:trPr>
        <w:tc>
          <w:tcPr>
            <w:tcW w:w="2100" w:type="dxa"/>
            <w:vMerge/>
            <w:tcBorders>
              <w:bottom w:val="single" w:sz="6" w:space="0" w:color="auto"/>
              <w:right w:val="single" w:sz="6" w:space="0" w:color="auto"/>
            </w:tcBorders>
          </w:tcPr>
          <w:p w:rsidR="00B40966" w:rsidRDefault="00B40966">
            <w:pPr>
              <w:pStyle w:val="TableColHd"/>
            </w:pPr>
          </w:p>
        </w:tc>
        <w:tc>
          <w:tcPr>
            <w:tcW w:w="860" w:type="dxa"/>
            <w:tcBorders>
              <w:top w:val="single" w:sz="6" w:space="0" w:color="auto"/>
              <w:bottom w:val="single" w:sz="6" w:space="0" w:color="auto"/>
            </w:tcBorders>
          </w:tcPr>
          <w:p w:rsidR="00B40966" w:rsidRDefault="00B40966">
            <w:pPr>
              <w:pStyle w:val="TableColHd"/>
              <w:tabs>
                <w:tab w:val="left" w:pos="1140"/>
              </w:tabs>
              <w:ind w:left="300" w:hanging="300"/>
              <w:jc w:val="center"/>
            </w:pPr>
            <w:r>
              <w:t>A</w:t>
            </w:r>
          </w:p>
        </w:tc>
        <w:tc>
          <w:tcPr>
            <w:tcW w:w="860" w:type="dxa"/>
            <w:tcBorders>
              <w:top w:val="single" w:sz="6" w:space="0" w:color="auto"/>
              <w:bottom w:val="single" w:sz="6" w:space="0" w:color="auto"/>
            </w:tcBorders>
          </w:tcPr>
          <w:p w:rsidR="00B40966" w:rsidRDefault="00B40966">
            <w:pPr>
              <w:pStyle w:val="TableColHd"/>
              <w:tabs>
                <w:tab w:val="left" w:pos="1140"/>
              </w:tabs>
              <w:ind w:left="300" w:hanging="300"/>
              <w:jc w:val="center"/>
            </w:pPr>
            <w:r>
              <w:t>B</w:t>
            </w:r>
          </w:p>
        </w:tc>
        <w:tc>
          <w:tcPr>
            <w:tcW w:w="860" w:type="dxa"/>
            <w:tcBorders>
              <w:top w:val="single" w:sz="6" w:space="0" w:color="auto"/>
              <w:left w:val="single" w:sz="6" w:space="0" w:color="auto"/>
              <w:bottom w:val="single" w:sz="6" w:space="0" w:color="auto"/>
              <w:right w:val="single" w:sz="6" w:space="0" w:color="auto"/>
            </w:tcBorders>
          </w:tcPr>
          <w:p w:rsidR="00B40966" w:rsidRDefault="00B40966">
            <w:pPr>
              <w:pStyle w:val="TableColHd"/>
              <w:jc w:val="center"/>
            </w:pPr>
            <w:r>
              <w:t>A</w:t>
            </w:r>
          </w:p>
        </w:tc>
        <w:tc>
          <w:tcPr>
            <w:tcW w:w="86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ColHd"/>
              <w:jc w:val="center"/>
            </w:pPr>
            <w:r>
              <w:t>B</w:t>
            </w:r>
          </w:p>
        </w:tc>
        <w:tc>
          <w:tcPr>
            <w:tcW w:w="880" w:type="dxa"/>
            <w:gridSpan w:val="2"/>
            <w:tcBorders>
              <w:top w:val="single" w:sz="6" w:space="0" w:color="auto"/>
              <w:bottom w:val="single" w:sz="6" w:space="0" w:color="auto"/>
            </w:tcBorders>
          </w:tcPr>
          <w:p w:rsidR="00B40966" w:rsidRDefault="00B40966">
            <w:pPr>
              <w:pStyle w:val="TableColHd"/>
              <w:jc w:val="center"/>
            </w:pPr>
            <w:r>
              <w:t>A</w:t>
            </w:r>
          </w:p>
        </w:tc>
        <w:tc>
          <w:tcPr>
            <w:tcW w:w="880" w:type="dxa"/>
            <w:tcBorders>
              <w:top w:val="single" w:sz="6" w:space="0" w:color="auto"/>
              <w:bottom w:val="single" w:sz="6" w:space="0" w:color="auto"/>
            </w:tcBorders>
          </w:tcPr>
          <w:p w:rsidR="00B40966" w:rsidRDefault="00B40966">
            <w:pPr>
              <w:pStyle w:val="TableColHd"/>
              <w:jc w:val="center"/>
            </w:pPr>
            <w:r>
              <w:t>B</w:t>
            </w:r>
          </w:p>
        </w:tc>
      </w:tr>
      <w:tr w:rsidR="00B40966">
        <w:trPr>
          <w:cantSplit/>
        </w:trPr>
        <w:tc>
          <w:tcPr>
            <w:tcW w:w="2100" w:type="dxa"/>
            <w:tcBorders>
              <w:right w:val="single" w:sz="6" w:space="0" w:color="auto"/>
            </w:tcBorders>
          </w:tcPr>
          <w:p w:rsidR="00B40966" w:rsidRDefault="00B40966">
            <w:pPr>
              <w:pStyle w:val="TableText"/>
            </w:pPr>
            <w:r>
              <w:t>10</w:t>
            </w:r>
          </w:p>
        </w:tc>
        <w:tc>
          <w:tcPr>
            <w:tcW w:w="860" w:type="dxa"/>
          </w:tcPr>
          <w:p w:rsidR="00B40966" w:rsidRDefault="00B40966">
            <w:pPr>
              <w:pStyle w:val="TableText"/>
              <w:jc w:val="center"/>
            </w:pPr>
            <w:r>
              <w:t>17.9</w:t>
            </w:r>
          </w:p>
        </w:tc>
        <w:tc>
          <w:tcPr>
            <w:tcW w:w="860" w:type="dxa"/>
          </w:tcPr>
          <w:p w:rsidR="00B40966" w:rsidRDefault="00B40966">
            <w:pPr>
              <w:pStyle w:val="TableText"/>
              <w:jc w:val="center"/>
            </w:pPr>
            <w:r>
              <w:t>13.7</w:t>
            </w:r>
          </w:p>
        </w:tc>
        <w:tc>
          <w:tcPr>
            <w:tcW w:w="880" w:type="dxa"/>
            <w:gridSpan w:val="2"/>
            <w:tcBorders>
              <w:left w:val="single" w:sz="6" w:space="0" w:color="auto"/>
            </w:tcBorders>
          </w:tcPr>
          <w:p w:rsidR="00B40966" w:rsidRDefault="00B40966">
            <w:pPr>
              <w:pStyle w:val="TableText"/>
              <w:jc w:val="center"/>
            </w:pPr>
            <w:r>
              <w:t>18.0</w:t>
            </w:r>
          </w:p>
        </w:tc>
        <w:tc>
          <w:tcPr>
            <w:tcW w:w="840" w:type="dxa"/>
          </w:tcPr>
          <w:p w:rsidR="00B40966" w:rsidRDefault="00B40966">
            <w:pPr>
              <w:pStyle w:val="TableText"/>
              <w:jc w:val="center"/>
            </w:pPr>
            <w:r>
              <w:t>16.0</w:t>
            </w:r>
          </w:p>
        </w:tc>
        <w:tc>
          <w:tcPr>
            <w:tcW w:w="840" w:type="dxa"/>
            <w:tcBorders>
              <w:left w:val="single" w:sz="6" w:space="0" w:color="auto"/>
            </w:tcBorders>
          </w:tcPr>
          <w:p w:rsidR="00B40966" w:rsidRDefault="00B40966">
            <w:pPr>
              <w:pStyle w:val="TableText"/>
              <w:jc w:val="center"/>
            </w:pPr>
            <w:r>
              <w:t>18.2</w:t>
            </w:r>
          </w:p>
        </w:tc>
        <w:tc>
          <w:tcPr>
            <w:tcW w:w="920" w:type="dxa"/>
            <w:gridSpan w:val="2"/>
          </w:tcPr>
          <w:p w:rsidR="00B40966" w:rsidRDefault="00B40966">
            <w:pPr>
              <w:pStyle w:val="TableText"/>
              <w:jc w:val="center"/>
            </w:pPr>
            <w:r>
              <w:t>18.2</w:t>
            </w:r>
          </w:p>
        </w:tc>
      </w:tr>
      <w:tr w:rsidR="00B40966">
        <w:trPr>
          <w:cantSplit/>
        </w:trPr>
        <w:tc>
          <w:tcPr>
            <w:tcW w:w="2100" w:type="dxa"/>
            <w:tcBorders>
              <w:right w:val="single" w:sz="6" w:space="0" w:color="auto"/>
            </w:tcBorders>
          </w:tcPr>
          <w:p w:rsidR="00B40966" w:rsidRDefault="00B40966">
            <w:pPr>
              <w:pStyle w:val="TableText"/>
            </w:pPr>
            <w:r>
              <w:t>20</w:t>
            </w:r>
          </w:p>
        </w:tc>
        <w:tc>
          <w:tcPr>
            <w:tcW w:w="860" w:type="dxa"/>
          </w:tcPr>
          <w:p w:rsidR="00B40966" w:rsidRDefault="00B40966">
            <w:pPr>
              <w:pStyle w:val="TableText"/>
              <w:jc w:val="center"/>
            </w:pPr>
            <w:r>
              <w:t>17.6</w:t>
            </w:r>
          </w:p>
        </w:tc>
        <w:tc>
          <w:tcPr>
            <w:tcW w:w="860" w:type="dxa"/>
          </w:tcPr>
          <w:p w:rsidR="00B40966" w:rsidRDefault="00B40966">
            <w:pPr>
              <w:pStyle w:val="TableText"/>
              <w:jc w:val="center"/>
            </w:pPr>
            <w:r>
              <w:t>13.6</w:t>
            </w:r>
          </w:p>
        </w:tc>
        <w:tc>
          <w:tcPr>
            <w:tcW w:w="880" w:type="dxa"/>
            <w:gridSpan w:val="2"/>
            <w:tcBorders>
              <w:left w:val="single" w:sz="6" w:space="0" w:color="auto"/>
            </w:tcBorders>
          </w:tcPr>
          <w:p w:rsidR="00B40966" w:rsidRDefault="00B40966">
            <w:pPr>
              <w:pStyle w:val="TableText"/>
              <w:jc w:val="center"/>
            </w:pPr>
            <w:r>
              <w:t>17.8</w:t>
            </w:r>
          </w:p>
        </w:tc>
        <w:tc>
          <w:tcPr>
            <w:tcW w:w="840" w:type="dxa"/>
          </w:tcPr>
          <w:p w:rsidR="00B40966" w:rsidRDefault="00B40966">
            <w:pPr>
              <w:pStyle w:val="TableText"/>
              <w:jc w:val="center"/>
            </w:pPr>
            <w:r>
              <w:t>15.9</w:t>
            </w:r>
          </w:p>
        </w:tc>
        <w:tc>
          <w:tcPr>
            <w:tcW w:w="840" w:type="dxa"/>
            <w:tcBorders>
              <w:left w:val="single" w:sz="6" w:space="0" w:color="auto"/>
            </w:tcBorders>
          </w:tcPr>
          <w:p w:rsidR="00B40966" w:rsidRDefault="00B40966">
            <w:pPr>
              <w:pStyle w:val="TableText"/>
              <w:jc w:val="center"/>
            </w:pPr>
            <w:r>
              <w:t>18.1</w:t>
            </w:r>
          </w:p>
        </w:tc>
        <w:tc>
          <w:tcPr>
            <w:tcW w:w="920" w:type="dxa"/>
            <w:gridSpan w:val="2"/>
          </w:tcPr>
          <w:p w:rsidR="00B40966" w:rsidRDefault="00B40966">
            <w:pPr>
              <w:pStyle w:val="TableText"/>
              <w:jc w:val="center"/>
            </w:pPr>
            <w:r>
              <w:t>18.1</w:t>
            </w:r>
          </w:p>
        </w:tc>
      </w:tr>
      <w:tr w:rsidR="00B40966">
        <w:trPr>
          <w:cantSplit/>
        </w:trPr>
        <w:tc>
          <w:tcPr>
            <w:tcW w:w="2100" w:type="dxa"/>
            <w:tcBorders>
              <w:right w:val="single" w:sz="6" w:space="0" w:color="auto"/>
            </w:tcBorders>
          </w:tcPr>
          <w:p w:rsidR="00B40966" w:rsidRDefault="00B40966">
            <w:pPr>
              <w:pStyle w:val="TableText"/>
            </w:pPr>
            <w:r>
              <w:t>30</w:t>
            </w:r>
          </w:p>
        </w:tc>
        <w:tc>
          <w:tcPr>
            <w:tcW w:w="860" w:type="dxa"/>
          </w:tcPr>
          <w:p w:rsidR="00B40966" w:rsidRDefault="00B40966">
            <w:pPr>
              <w:pStyle w:val="TableText"/>
              <w:jc w:val="center"/>
            </w:pPr>
            <w:r>
              <w:t>16.9</w:t>
            </w:r>
          </w:p>
        </w:tc>
        <w:tc>
          <w:tcPr>
            <w:tcW w:w="860" w:type="dxa"/>
          </w:tcPr>
          <w:p w:rsidR="00B40966" w:rsidRDefault="00B40966">
            <w:pPr>
              <w:pStyle w:val="TableText"/>
              <w:jc w:val="center"/>
            </w:pPr>
            <w:r>
              <w:t>13.5</w:t>
            </w:r>
          </w:p>
        </w:tc>
        <w:tc>
          <w:tcPr>
            <w:tcW w:w="880" w:type="dxa"/>
            <w:gridSpan w:val="2"/>
            <w:tcBorders>
              <w:left w:val="single" w:sz="6" w:space="0" w:color="auto"/>
            </w:tcBorders>
          </w:tcPr>
          <w:p w:rsidR="00B40966" w:rsidRDefault="00B40966">
            <w:pPr>
              <w:pStyle w:val="TableText"/>
              <w:jc w:val="center"/>
            </w:pPr>
            <w:r>
              <w:t>17.4</w:t>
            </w:r>
          </w:p>
        </w:tc>
        <w:tc>
          <w:tcPr>
            <w:tcW w:w="840" w:type="dxa"/>
          </w:tcPr>
          <w:p w:rsidR="00B40966" w:rsidRDefault="00B40966">
            <w:pPr>
              <w:pStyle w:val="TableText"/>
              <w:jc w:val="center"/>
            </w:pPr>
            <w:r>
              <w:t>15.7</w:t>
            </w:r>
          </w:p>
        </w:tc>
        <w:tc>
          <w:tcPr>
            <w:tcW w:w="840" w:type="dxa"/>
            <w:tcBorders>
              <w:left w:val="single" w:sz="6" w:space="0" w:color="auto"/>
            </w:tcBorders>
          </w:tcPr>
          <w:p w:rsidR="00B40966" w:rsidRDefault="00B40966">
            <w:pPr>
              <w:pStyle w:val="TableText"/>
              <w:jc w:val="center"/>
            </w:pPr>
            <w:r>
              <w:t>17.9</w:t>
            </w:r>
          </w:p>
        </w:tc>
        <w:tc>
          <w:tcPr>
            <w:tcW w:w="920" w:type="dxa"/>
            <w:gridSpan w:val="2"/>
          </w:tcPr>
          <w:p w:rsidR="00B40966" w:rsidRDefault="00B40966">
            <w:pPr>
              <w:pStyle w:val="TableText"/>
              <w:jc w:val="center"/>
            </w:pPr>
            <w:r>
              <w:t>17.9</w:t>
            </w:r>
          </w:p>
        </w:tc>
      </w:tr>
      <w:tr w:rsidR="00B40966">
        <w:trPr>
          <w:cantSplit/>
        </w:trPr>
        <w:tc>
          <w:tcPr>
            <w:tcW w:w="2100" w:type="dxa"/>
            <w:tcBorders>
              <w:right w:val="single" w:sz="6" w:space="0" w:color="auto"/>
            </w:tcBorders>
          </w:tcPr>
          <w:p w:rsidR="00B40966" w:rsidRDefault="00B40966">
            <w:pPr>
              <w:pStyle w:val="TableText"/>
            </w:pPr>
            <w:r>
              <w:t>40</w:t>
            </w:r>
          </w:p>
        </w:tc>
        <w:tc>
          <w:tcPr>
            <w:tcW w:w="860" w:type="dxa"/>
          </w:tcPr>
          <w:p w:rsidR="00B40966" w:rsidRDefault="00B40966">
            <w:pPr>
              <w:pStyle w:val="TableText"/>
              <w:jc w:val="center"/>
            </w:pPr>
            <w:r>
              <w:t>16.0</w:t>
            </w:r>
          </w:p>
        </w:tc>
        <w:tc>
          <w:tcPr>
            <w:tcW w:w="860" w:type="dxa"/>
          </w:tcPr>
          <w:p w:rsidR="00B40966" w:rsidRDefault="00B40966">
            <w:pPr>
              <w:pStyle w:val="TableText"/>
              <w:jc w:val="center"/>
            </w:pPr>
            <w:r>
              <w:t>13.1</w:t>
            </w:r>
          </w:p>
        </w:tc>
        <w:tc>
          <w:tcPr>
            <w:tcW w:w="880" w:type="dxa"/>
            <w:gridSpan w:val="2"/>
            <w:tcBorders>
              <w:left w:val="single" w:sz="6" w:space="0" w:color="auto"/>
            </w:tcBorders>
          </w:tcPr>
          <w:p w:rsidR="00B40966" w:rsidRDefault="00B40966">
            <w:pPr>
              <w:pStyle w:val="TableText"/>
              <w:jc w:val="center"/>
            </w:pPr>
            <w:r>
              <w:t>16.7</w:t>
            </w:r>
          </w:p>
        </w:tc>
        <w:tc>
          <w:tcPr>
            <w:tcW w:w="840" w:type="dxa"/>
          </w:tcPr>
          <w:p w:rsidR="00B40966" w:rsidRDefault="00B40966">
            <w:pPr>
              <w:pStyle w:val="TableText"/>
              <w:jc w:val="center"/>
            </w:pPr>
            <w:r>
              <w:t>15.4</w:t>
            </w:r>
          </w:p>
        </w:tc>
        <w:tc>
          <w:tcPr>
            <w:tcW w:w="840" w:type="dxa"/>
            <w:tcBorders>
              <w:left w:val="single" w:sz="6" w:space="0" w:color="auto"/>
            </w:tcBorders>
          </w:tcPr>
          <w:p w:rsidR="00B40966" w:rsidRDefault="00B40966">
            <w:pPr>
              <w:pStyle w:val="TableText"/>
              <w:jc w:val="center"/>
            </w:pPr>
            <w:r>
              <w:t>17.5</w:t>
            </w:r>
          </w:p>
        </w:tc>
        <w:tc>
          <w:tcPr>
            <w:tcW w:w="920" w:type="dxa"/>
            <w:gridSpan w:val="2"/>
          </w:tcPr>
          <w:p w:rsidR="00B40966" w:rsidRDefault="00B40966">
            <w:pPr>
              <w:pStyle w:val="TableText"/>
              <w:jc w:val="center"/>
            </w:pPr>
            <w:r>
              <w:t>17.5</w:t>
            </w:r>
          </w:p>
        </w:tc>
      </w:tr>
      <w:tr w:rsidR="00B40966">
        <w:trPr>
          <w:cantSplit/>
        </w:trPr>
        <w:tc>
          <w:tcPr>
            <w:tcW w:w="2100" w:type="dxa"/>
            <w:tcBorders>
              <w:right w:val="single" w:sz="6" w:space="0" w:color="auto"/>
            </w:tcBorders>
          </w:tcPr>
          <w:p w:rsidR="00B40966" w:rsidRDefault="00B40966">
            <w:pPr>
              <w:pStyle w:val="TableText"/>
            </w:pPr>
            <w:r>
              <w:t>50</w:t>
            </w:r>
          </w:p>
        </w:tc>
        <w:tc>
          <w:tcPr>
            <w:tcW w:w="860" w:type="dxa"/>
          </w:tcPr>
          <w:p w:rsidR="00B40966" w:rsidRDefault="00B40966">
            <w:pPr>
              <w:pStyle w:val="TableText"/>
              <w:jc w:val="center"/>
            </w:pPr>
            <w:r>
              <w:t>14.7</w:t>
            </w:r>
          </w:p>
        </w:tc>
        <w:tc>
          <w:tcPr>
            <w:tcW w:w="860" w:type="dxa"/>
          </w:tcPr>
          <w:p w:rsidR="00B40966" w:rsidRDefault="00B40966">
            <w:pPr>
              <w:pStyle w:val="TableText"/>
              <w:jc w:val="center"/>
            </w:pPr>
            <w:r>
              <w:t>12.5</w:t>
            </w:r>
          </w:p>
        </w:tc>
        <w:tc>
          <w:tcPr>
            <w:tcW w:w="880" w:type="dxa"/>
            <w:gridSpan w:val="2"/>
            <w:tcBorders>
              <w:left w:val="single" w:sz="6" w:space="0" w:color="auto"/>
            </w:tcBorders>
          </w:tcPr>
          <w:p w:rsidR="00B40966" w:rsidRDefault="00B40966">
            <w:pPr>
              <w:pStyle w:val="TableText"/>
              <w:jc w:val="center"/>
            </w:pPr>
            <w:r>
              <w:t>15.8</w:t>
            </w:r>
          </w:p>
        </w:tc>
        <w:tc>
          <w:tcPr>
            <w:tcW w:w="840" w:type="dxa"/>
          </w:tcPr>
          <w:p w:rsidR="00B40966" w:rsidRDefault="00B40966">
            <w:pPr>
              <w:pStyle w:val="TableText"/>
              <w:jc w:val="center"/>
            </w:pPr>
            <w:r>
              <w:t>14.7</w:t>
            </w:r>
          </w:p>
        </w:tc>
        <w:tc>
          <w:tcPr>
            <w:tcW w:w="840" w:type="dxa"/>
            <w:tcBorders>
              <w:left w:val="single" w:sz="6" w:space="0" w:color="auto"/>
            </w:tcBorders>
          </w:tcPr>
          <w:p w:rsidR="00B40966" w:rsidRDefault="00B40966">
            <w:pPr>
              <w:pStyle w:val="TableText"/>
              <w:jc w:val="center"/>
            </w:pPr>
            <w:r>
              <w:t>17.0</w:t>
            </w:r>
          </w:p>
        </w:tc>
        <w:tc>
          <w:tcPr>
            <w:tcW w:w="920" w:type="dxa"/>
            <w:gridSpan w:val="2"/>
          </w:tcPr>
          <w:p w:rsidR="00B40966" w:rsidRDefault="00B40966">
            <w:pPr>
              <w:pStyle w:val="TableText"/>
              <w:jc w:val="center"/>
            </w:pPr>
            <w:r>
              <w:t>17.0</w:t>
            </w:r>
          </w:p>
        </w:tc>
      </w:tr>
      <w:tr w:rsidR="00B40966">
        <w:trPr>
          <w:cantSplit/>
        </w:trPr>
        <w:tc>
          <w:tcPr>
            <w:tcW w:w="2100" w:type="dxa"/>
            <w:tcBorders>
              <w:right w:val="single" w:sz="6" w:space="0" w:color="auto"/>
            </w:tcBorders>
          </w:tcPr>
          <w:p w:rsidR="00B40966" w:rsidRDefault="00B40966">
            <w:pPr>
              <w:pStyle w:val="TableText"/>
            </w:pPr>
            <w:r>
              <w:t>60</w:t>
            </w:r>
          </w:p>
        </w:tc>
        <w:tc>
          <w:tcPr>
            <w:tcW w:w="860" w:type="dxa"/>
          </w:tcPr>
          <w:p w:rsidR="00B40966" w:rsidRDefault="00B40966">
            <w:pPr>
              <w:pStyle w:val="TableText"/>
              <w:jc w:val="center"/>
            </w:pPr>
            <w:r>
              <w:t>12.8</w:t>
            </w:r>
          </w:p>
        </w:tc>
        <w:tc>
          <w:tcPr>
            <w:tcW w:w="860" w:type="dxa"/>
          </w:tcPr>
          <w:p w:rsidR="00B40966" w:rsidRDefault="00B40966">
            <w:pPr>
              <w:pStyle w:val="TableText"/>
              <w:jc w:val="center"/>
            </w:pPr>
            <w:r>
              <w:t>11.5</w:t>
            </w:r>
          </w:p>
        </w:tc>
        <w:tc>
          <w:tcPr>
            <w:tcW w:w="880" w:type="dxa"/>
            <w:gridSpan w:val="2"/>
            <w:tcBorders>
              <w:left w:val="single" w:sz="6" w:space="0" w:color="auto"/>
            </w:tcBorders>
          </w:tcPr>
          <w:p w:rsidR="00B40966" w:rsidRDefault="00B40966">
            <w:pPr>
              <w:pStyle w:val="TableText"/>
              <w:jc w:val="center"/>
            </w:pPr>
            <w:r>
              <w:t>14.4</w:t>
            </w:r>
          </w:p>
        </w:tc>
        <w:tc>
          <w:tcPr>
            <w:tcW w:w="840" w:type="dxa"/>
          </w:tcPr>
          <w:p w:rsidR="00B40966" w:rsidRDefault="00B40966">
            <w:pPr>
              <w:pStyle w:val="TableText"/>
              <w:jc w:val="center"/>
            </w:pPr>
            <w:r>
              <w:t>13.8</w:t>
            </w:r>
          </w:p>
        </w:tc>
        <w:tc>
          <w:tcPr>
            <w:tcW w:w="840" w:type="dxa"/>
            <w:tcBorders>
              <w:left w:val="single" w:sz="6" w:space="0" w:color="auto"/>
            </w:tcBorders>
          </w:tcPr>
          <w:p w:rsidR="00B40966" w:rsidRDefault="00B40966">
            <w:pPr>
              <w:pStyle w:val="TableText"/>
              <w:jc w:val="center"/>
            </w:pPr>
            <w:r>
              <w:t>16.0</w:t>
            </w:r>
          </w:p>
        </w:tc>
        <w:tc>
          <w:tcPr>
            <w:tcW w:w="920" w:type="dxa"/>
            <w:gridSpan w:val="2"/>
          </w:tcPr>
          <w:p w:rsidR="00B40966" w:rsidRDefault="00B40966">
            <w:pPr>
              <w:pStyle w:val="TableText"/>
              <w:jc w:val="center"/>
            </w:pPr>
            <w:r>
              <w:t>16.0</w:t>
            </w:r>
          </w:p>
        </w:tc>
      </w:tr>
      <w:tr w:rsidR="00B40966">
        <w:trPr>
          <w:cantSplit/>
        </w:trPr>
        <w:tc>
          <w:tcPr>
            <w:tcW w:w="2100" w:type="dxa"/>
            <w:tcBorders>
              <w:right w:val="single" w:sz="6" w:space="0" w:color="auto"/>
            </w:tcBorders>
          </w:tcPr>
          <w:p w:rsidR="00B40966" w:rsidRDefault="00B40966">
            <w:pPr>
              <w:pStyle w:val="TableText"/>
            </w:pPr>
            <w:r>
              <w:t>70</w:t>
            </w:r>
          </w:p>
        </w:tc>
        <w:tc>
          <w:tcPr>
            <w:tcW w:w="860" w:type="dxa"/>
          </w:tcPr>
          <w:p w:rsidR="00B40966" w:rsidRDefault="00B40966">
            <w:pPr>
              <w:pStyle w:val="TableText"/>
              <w:jc w:val="center"/>
            </w:pPr>
            <w:r>
              <w:t>10.6</w:t>
            </w:r>
          </w:p>
        </w:tc>
        <w:tc>
          <w:tcPr>
            <w:tcW w:w="860" w:type="dxa"/>
          </w:tcPr>
          <w:p w:rsidR="00B40966" w:rsidRDefault="00B40966">
            <w:pPr>
              <w:pStyle w:val="TableText"/>
              <w:jc w:val="center"/>
            </w:pPr>
            <w:r>
              <w:t>10.3</w:t>
            </w:r>
          </w:p>
        </w:tc>
        <w:tc>
          <w:tcPr>
            <w:tcW w:w="880" w:type="dxa"/>
            <w:gridSpan w:val="2"/>
            <w:tcBorders>
              <w:left w:val="single" w:sz="6" w:space="0" w:color="auto"/>
            </w:tcBorders>
          </w:tcPr>
          <w:p w:rsidR="00B40966" w:rsidRDefault="00B40966">
            <w:pPr>
              <w:pStyle w:val="TableText"/>
              <w:jc w:val="center"/>
            </w:pPr>
            <w:r>
              <w:t>12.5</w:t>
            </w:r>
          </w:p>
        </w:tc>
        <w:tc>
          <w:tcPr>
            <w:tcW w:w="840" w:type="dxa"/>
          </w:tcPr>
          <w:p w:rsidR="00B40966" w:rsidRDefault="00B40966">
            <w:pPr>
              <w:pStyle w:val="TableText"/>
              <w:jc w:val="center"/>
            </w:pPr>
            <w:r>
              <w:t>12.3</w:t>
            </w:r>
          </w:p>
        </w:tc>
        <w:tc>
          <w:tcPr>
            <w:tcW w:w="840" w:type="dxa"/>
            <w:tcBorders>
              <w:left w:val="single" w:sz="6" w:space="0" w:color="auto"/>
            </w:tcBorders>
          </w:tcPr>
          <w:p w:rsidR="00B40966" w:rsidRDefault="00B40966">
            <w:pPr>
              <w:pStyle w:val="TableText"/>
              <w:jc w:val="center"/>
            </w:pPr>
            <w:r>
              <w:t>14.4</w:t>
            </w:r>
          </w:p>
        </w:tc>
        <w:tc>
          <w:tcPr>
            <w:tcW w:w="920" w:type="dxa"/>
            <w:gridSpan w:val="2"/>
          </w:tcPr>
          <w:p w:rsidR="00B40966" w:rsidRDefault="00B40966">
            <w:pPr>
              <w:pStyle w:val="TableText"/>
              <w:jc w:val="center"/>
            </w:pPr>
            <w:r>
              <w:t>14.4</w:t>
            </w:r>
          </w:p>
        </w:tc>
      </w:tr>
      <w:tr w:rsidR="00B40966">
        <w:trPr>
          <w:cantSplit/>
        </w:trPr>
        <w:tc>
          <w:tcPr>
            <w:tcW w:w="2100" w:type="dxa"/>
            <w:tcBorders>
              <w:right w:val="single" w:sz="6" w:space="0" w:color="auto"/>
            </w:tcBorders>
          </w:tcPr>
          <w:p w:rsidR="00B40966" w:rsidRDefault="00B40966">
            <w:pPr>
              <w:pStyle w:val="TableText"/>
            </w:pPr>
            <w:r>
              <w:t>80</w:t>
            </w:r>
          </w:p>
        </w:tc>
        <w:tc>
          <w:tcPr>
            <w:tcW w:w="860" w:type="dxa"/>
          </w:tcPr>
          <w:p w:rsidR="00B40966" w:rsidRDefault="00B40966">
            <w:pPr>
              <w:pStyle w:val="TableText"/>
              <w:jc w:val="center"/>
            </w:pPr>
            <w:r>
              <w:t>8.5</w:t>
            </w:r>
          </w:p>
        </w:tc>
        <w:tc>
          <w:tcPr>
            <w:tcW w:w="860" w:type="dxa"/>
          </w:tcPr>
          <w:p w:rsidR="00B40966" w:rsidRDefault="00B40966">
            <w:pPr>
              <w:pStyle w:val="TableText"/>
              <w:jc w:val="center"/>
            </w:pPr>
            <w:r>
              <w:t>8.5</w:t>
            </w:r>
          </w:p>
        </w:tc>
        <w:tc>
          <w:tcPr>
            <w:tcW w:w="880" w:type="dxa"/>
            <w:gridSpan w:val="2"/>
            <w:tcBorders>
              <w:left w:val="single" w:sz="6" w:space="0" w:color="auto"/>
            </w:tcBorders>
          </w:tcPr>
          <w:p w:rsidR="00B40966" w:rsidRDefault="00B40966">
            <w:pPr>
              <w:pStyle w:val="TableText"/>
              <w:jc w:val="center"/>
            </w:pPr>
            <w:r>
              <w:t>10.5</w:t>
            </w:r>
          </w:p>
        </w:tc>
        <w:tc>
          <w:tcPr>
            <w:tcW w:w="840" w:type="dxa"/>
          </w:tcPr>
          <w:p w:rsidR="00B40966" w:rsidRDefault="00B40966">
            <w:pPr>
              <w:pStyle w:val="TableText"/>
              <w:jc w:val="center"/>
            </w:pPr>
            <w:r>
              <w:t>10.5</w:t>
            </w:r>
          </w:p>
        </w:tc>
        <w:tc>
          <w:tcPr>
            <w:tcW w:w="840" w:type="dxa"/>
            <w:tcBorders>
              <w:left w:val="single" w:sz="6" w:space="0" w:color="auto"/>
            </w:tcBorders>
          </w:tcPr>
          <w:p w:rsidR="00B40966" w:rsidRDefault="00B40966">
            <w:pPr>
              <w:pStyle w:val="TableText"/>
              <w:jc w:val="center"/>
            </w:pPr>
            <w:r>
              <w:t>12.6</w:t>
            </w:r>
          </w:p>
        </w:tc>
        <w:tc>
          <w:tcPr>
            <w:tcW w:w="920" w:type="dxa"/>
            <w:gridSpan w:val="2"/>
          </w:tcPr>
          <w:p w:rsidR="00B40966" w:rsidRDefault="00B40966">
            <w:pPr>
              <w:pStyle w:val="TableText"/>
              <w:jc w:val="center"/>
            </w:pPr>
            <w:r>
              <w:t>12.6</w:t>
            </w:r>
          </w:p>
        </w:tc>
      </w:tr>
      <w:tr w:rsidR="00B40966">
        <w:trPr>
          <w:cantSplit/>
        </w:trPr>
        <w:tc>
          <w:tcPr>
            <w:tcW w:w="2100" w:type="dxa"/>
            <w:tcBorders>
              <w:right w:val="single" w:sz="6" w:space="0" w:color="auto"/>
            </w:tcBorders>
          </w:tcPr>
          <w:p w:rsidR="00B40966" w:rsidRDefault="00B40966">
            <w:pPr>
              <w:pStyle w:val="TableText"/>
            </w:pPr>
            <w:r>
              <w:t>90</w:t>
            </w:r>
          </w:p>
        </w:tc>
        <w:tc>
          <w:tcPr>
            <w:tcW w:w="860" w:type="dxa"/>
          </w:tcPr>
          <w:p w:rsidR="00B40966" w:rsidRDefault="00B40966">
            <w:pPr>
              <w:pStyle w:val="TableText"/>
              <w:jc w:val="center"/>
            </w:pPr>
            <w:r>
              <w:t>7.0</w:t>
            </w:r>
          </w:p>
        </w:tc>
        <w:tc>
          <w:tcPr>
            <w:tcW w:w="860" w:type="dxa"/>
          </w:tcPr>
          <w:p w:rsidR="00B40966" w:rsidRDefault="00B40966">
            <w:pPr>
              <w:pStyle w:val="TableText"/>
              <w:jc w:val="center"/>
            </w:pPr>
            <w:r>
              <w:t>7.0</w:t>
            </w:r>
          </w:p>
        </w:tc>
        <w:tc>
          <w:tcPr>
            <w:tcW w:w="880" w:type="dxa"/>
            <w:gridSpan w:val="2"/>
            <w:tcBorders>
              <w:left w:val="single" w:sz="6" w:space="0" w:color="auto"/>
            </w:tcBorders>
          </w:tcPr>
          <w:p w:rsidR="00B40966" w:rsidRDefault="00B40966">
            <w:pPr>
              <w:pStyle w:val="TableText"/>
              <w:jc w:val="center"/>
            </w:pPr>
            <w:r>
              <w:t>9.1</w:t>
            </w:r>
          </w:p>
        </w:tc>
        <w:tc>
          <w:tcPr>
            <w:tcW w:w="840" w:type="dxa"/>
          </w:tcPr>
          <w:p w:rsidR="00B40966" w:rsidRDefault="00B40966">
            <w:pPr>
              <w:pStyle w:val="TableText"/>
              <w:jc w:val="center"/>
            </w:pPr>
            <w:r>
              <w:t>9.1</w:t>
            </w:r>
          </w:p>
        </w:tc>
        <w:tc>
          <w:tcPr>
            <w:tcW w:w="840" w:type="dxa"/>
            <w:tcBorders>
              <w:left w:val="single" w:sz="6" w:space="0" w:color="auto"/>
            </w:tcBorders>
          </w:tcPr>
          <w:p w:rsidR="00B40966" w:rsidRDefault="00B40966">
            <w:pPr>
              <w:pStyle w:val="TableText"/>
              <w:jc w:val="center"/>
            </w:pPr>
            <w:r>
              <w:t>11.3</w:t>
            </w:r>
          </w:p>
        </w:tc>
        <w:tc>
          <w:tcPr>
            <w:tcW w:w="920" w:type="dxa"/>
            <w:gridSpan w:val="2"/>
          </w:tcPr>
          <w:p w:rsidR="00B40966" w:rsidRDefault="00B40966">
            <w:pPr>
              <w:pStyle w:val="TableText"/>
              <w:jc w:val="center"/>
            </w:pPr>
            <w:r>
              <w:t>11.3</w:t>
            </w:r>
          </w:p>
        </w:tc>
      </w:tr>
      <w:tr w:rsidR="00B40966">
        <w:trPr>
          <w:cantSplit/>
        </w:trPr>
        <w:tc>
          <w:tcPr>
            <w:tcW w:w="2100" w:type="dxa"/>
            <w:tcBorders>
              <w:right w:val="single" w:sz="6" w:space="0" w:color="auto"/>
            </w:tcBorders>
          </w:tcPr>
          <w:p w:rsidR="00B40966" w:rsidRDefault="00B40966">
            <w:pPr>
              <w:pStyle w:val="TableText"/>
            </w:pPr>
            <w:r>
              <w:t>100</w:t>
            </w:r>
          </w:p>
        </w:tc>
        <w:tc>
          <w:tcPr>
            <w:tcW w:w="860" w:type="dxa"/>
          </w:tcPr>
          <w:p w:rsidR="00B40966" w:rsidRDefault="00B40966">
            <w:pPr>
              <w:pStyle w:val="TableText"/>
              <w:jc w:val="center"/>
            </w:pPr>
            <w:r>
              <w:t>5.9</w:t>
            </w:r>
          </w:p>
        </w:tc>
        <w:tc>
          <w:tcPr>
            <w:tcW w:w="860" w:type="dxa"/>
          </w:tcPr>
          <w:p w:rsidR="00B40966" w:rsidRDefault="00B40966">
            <w:pPr>
              <w:pStyle w:val="TableText"/>
              <w:jc w:val="center"/>
            </w:pPr>
            <w:r>
              <w:t>5.9</w:t>
            </w:r>
          </w:p>
        </w:tc>
        <w:tc>
          <w:tcPr>
            <w:tcW w:w="880" w:type="dxa"/>
            <w:gridSpan w:val="2"/>
            <w:tcBorders>
              <w:left w:val="single" w:sz="6" w:space="0" w:color="auto"/>
            </w:tcBorders>
          </w:tcPr>
          <w:p w:rsidR="00B40966" w:rsidRDefault="00B40966">
            <w:pPr>
              <w:pStyle w:val="TableText"/>
              <w:jc w:val="center"/>
            </w:pPr>
            <w:r>
              <w:t>8.0</w:t>
            </w:r>
          </w:p>
        </w:tc>
        <w:tc>
          <w:tcPr>
            <w:tcW w:w="840" w:type="dxa"/>
          </w:tcPr>
          <w:p w:rsidR="00B40966" w:rsidRDefault="00B40966">
            <w:pPr>
              <w:pStyle w:val="TableText"/>
              <w:jc w:val="center"/>
            </w:pPr>
            <w:r>
              <w:t>8.0</w:t>
            </w:r>
          </w:p>
        </w:tc>
        <w:tc>
          <w:tcPr>
            <w:tcW w:w="840" w:type="dxa"/>
            <w:tcBorders>
              <w:left w:val="single" w:sz="6" w:space="0" w:color="auto"/>
            </w:tcBorders>
          </w:tcPr>
          <w:p w:rsidR="00B40966" w:rsidRDefault="00B40966">
            <w:pPr>
              <w:pStyle w:val="TableText"/>
              <w:jc w:val="center"/>
            </w:pPr>
            <w:r>
              <w:t>10.3</w:t>
            </w:r>
          </w:p>
        </w:tc>
        <w:tc>
          <w:tcPr>
            <w:tcW w:w="920" w:type="dxa"/>
            <w:gridSpan w:val="2"/>
          </w:tcPr>
          <w:p w:rsidR="00B40966" w:rsidRDefault="00B40966">
            <w:pPr>
              <w:pStyle w:val="TableText"/>
              <w:jc w:val="center"/>
            </w:pPr>
            <w:r>
              <w:t>10.3</w:t>
            </w:r>
          </w:p>
        </w:tc>
      </w:tr>
      <w:tr w:rsidR="00B40966">
        <w:trPr>
          <w:cantSplit/>
        </w:trPr>
        <w:tc>
          <w:tcPr>
            <w:tcW w:w="2100" w:type="dxa"/>
            <w:tcBorders>
              <w:right w:val="single" w:sz="6" w:space="0" w:color="auto"/>
            </w:tcBorders>
          </w:tcPr>
          <w:p w:rsidR="00B40966" w:rsidRDefault="00B40966">
            <w:pPr>
              <w:pStyle w:val="TableText"/>
            </w:pPr>
            <w:r>
              <w:t>110</w:t>
            </w:r>
          </w:p>
        </w:tc>
        <w:tc>
          <w:tcPr>
            <w:tcW w:w="860" w:type="dxa"/>
          </w:tcPr>
          <w:p w:rsidR="00B40966" w:rsidRDefault="00B40966">
            <w:pPr>
              <w:pStyle w:val="TableText"/>
              <w:jc w:val="center"/>
            </w:pPr>
            <w:r>
              <w:t>5.1</w:t>
            </w:r>
          </w:p>
        </w:tc>
        <w:tc>
          <w:tcPr>
            <w:tcW w:w="860" w:type="dxa"/>
          </w:tcPr>
          <w:p w:rsidR="00B40966" w:rsidRDefault="00B40966">
            <w:pPr>
              <w:pStyle w:val="TableText"/>
              <w:jc w:val="center"/>
            </w:pPr>
            <w:r>
              <w:t>5.1</w:t>
            </w:r>
          </w:p>
        </w:tc>
        <w:tc>
          <w:tcPr>
            <w:tcW w:w="880" w:type="dxa"/>
            <w:gridSpan w:val="2"/>
            <w:tcBorders>
              <w:left w:val="single" w:sz="6" w:space="0" w:color="auto"/>
            </w:tcBorders>
          </w:tcPr>
          <w:p w:rsidR="00B40966" w:rsidRDefault="00B40966">
            <w:pPr>
              <w:pStyle w:val="TableText"/>
              <w:jc w:val="center"/>
            </w:pPr>
            <w:r>
              <w:t>7.3</w:t>
            </w:r>
          </w:p>
        </w:tc>
        <w:tc>
          <w:tcPr>
            <w:tcW w:w="840" w:type="dxa"/>
          </w:tcPr>
          <w:p w:rsidR="00B40966" w:rsidRDefault="00B40966">
            <w:pPr>
              <w:pStyle w:val="TableText"/>
              <w:jc w:val="center"/>
            </w:pPr>
            <w:r>
              <w:t>7.3</w:t>
            </w:r>
          </w:p>
        </w:tc>
        <w:tc>
          <w:tcPr>
            <w:tcW w:w="840" w:type="dxa"/>
            <w:tcBorders>
              <w:left w:val="single" w:sz="6" w:space="0" w:color="auto"/>
            </w:tcBorders>
          </w:tcPr>
          <w:p w:rsidR="00B40966" w:rsidRDefault="00B40966">
            <w:pPr>
              <w:pStyle w:val="TableText"/>
              <w:jc w:val="center"/>
            </w:pPr>
            <w:r>
              <w:t>9.5</w:t>
            </w:r>
          </w:p>
        </w:tc>
        <w:tc>
          <w:tcPr>
            <w:tcW w:w="920" w:type="dxa"/>
            <w:gridSpan w:val="2"/>
          </w:tcPr>
          <w:p w:rsidR="00B40966" w:rsidRDefault="00B40966">
            <w:pPr>
              <w:pStyle w:val="TableText"/>
              <w:jc w:val="center"/>
            </w:pPr>
            <w:r>
              <w:t>9.5</w:t>
            </w:r>
          </w:p>
        </w:tc>
      </w:tr>
      <w:tr w:rsidR="00B40966">
        <w:trPr>
          <w:cantSplit/>
        </w:trPr>
        <w:tc>
          <w:tcPr>
            <w:tcW w:w="2100" w:type="dxa"/>
            <w:tcBorders>
              <w:right w:val="single" w:sz="6" w:space="0" w:color="auto"/>
            </w:tcBorders>
          </w:tcPr>
          <w:p w:rsidR="00B40966" w:rsidRDefault="00B40966">
            <w:pPr>
              <w:pStyle w:val="TableText"/>
            </w:pPr>
            <w:r>
              <w:t>120</w:t>
            </w:r>
          </w:p>
        </w:tc>
        <w:tc>
          <w:tcPr>
            <w:tcW w:w="860" w:type="dxa"/>
          </w:tcPr>
          <w:p w:rsidR="00B40966" w:rsidRDefault="00B40966">
            <w:pPr>
              <w:pStyle w:val="TableText"/>
              <w:jc w:val="center"/>
            </w:pPr>
            <w:r>
              <w:t>4.5</w:t>
            </w:r>
          </w:p>
        </w:tc>
        <w:tc>
          <w:tcPr>
            <w:tcW w:w="860" w:type="dxa"/>
          </w:tcPr>
          <w:p w:rsidR="00B40966" w:rsidRDefault="00B40966">
            <w:pPr>
              <w:pStyle w:val="TableText"/>
              <w:jc w:val="center"/>
            </w:pPr>
            <w:r>
              <w:t>4.5</w:t>
            </w:r>
          </w:p>
        </w:tc>
        <w:tc>
          <w:tcPr>
            <w:tcW w:w="880" w:type="dxa"/>
            <w:gridSpan w:val="2"/>
            <w:tcBorders>
              <w:left w:val="single" w:sz="6" w:space="0" w:color="auto"/>
            </w:tcBorders>
          </w:tcPr>
          <w:p w:rsidR="00B40966" w:rsidRDefault="00B40966">
            <w:pPr>
              <w:pStyle w:val="TableText"/>
              <w:jc w:val="center"/>
            </w:pPr>
            <w:r>
              <w:t>6.6</w:t>
            </w:r>
          </w:p>
        </w:tc>
        <w:tc>
          <w:tcPr>
            <w:tcW w:w="840" w:type="dxa"/>
          </w:tcPr>
          <w:p w:rsidR="00B40966" w:rsidRDefault="00B40966">
            <w:pPr>
              <w:pStyle w:val="TableText"/>
              <w:jc w:val="center"/>
            </w:pPr>
            <w:r>
              <w:t>6.6</w:t>
            </w:r>
          </w:p>
        </w:tc>
        <w:tc>
          <w:tcPr>
            <w:tcW w:w="840" w:type="dxa"/>
            <w:tcBorders>
              <w:left w:val="single" w:sz="6" w:space="0" w:color="auto"/>
            </w:tcBorders>
          </w:tcPr>
          <w:p w:rsidR="00B40966" w:rsidRDefault="00B40966">
            <w:pPr>
              <w:pStyle w:val="TableText"/>
              <w:jc w:val="center"/>
            </w:pPr>
            <w:r>
              <w:t>8.7</w:t>
            </w:r>
          </w:p>
        </w:tc>
        <w:tc>
          <w:tcPr>
            <w:tcW w:w="920" w:type="dxa"/>
            <w:gridSpan w:val="2"/>
          </w:tcPr>
          <w:p w:rsidR="00B40966" w:rsidRDefault="00B40966">
            <w:pPr>
              <w:pStyle w:val="TableText"/>
              <w:jc w:val="center"/>
            </w:pPr>
            <w:r>
              <w:t>8.7</w:t>
            </w:r>
          </w:p>
        </w:tc>
      </w:tr>
      <w:tr w:rsidR="00B40966">
        <w:trPr>
          <w:cantSplit/>
        </w:trPr>
        <w:tc>
          <w:tcPr>
            <w:tcW w:w="2100" w:type="dxa"/>
            <w:tcBorders>
              <w:right w:val="single" w:sz="6" w:space="0" w:color="auto"/>
            </w:tcBorders>
          </w:tcPr>
          <w:p w:rsidR="00B40966" w:rsidRDefault="00B40966">
            <w:pPr>
              <w:pStyle w:val="TableText"/>
            </w:pPr>
            <w:r>
              <w:t>130</w:t>
            </w:r>
          </w:p>
        </w:tc>
        <w:tc>
          <w:tcPr>
            <w:tcW w:w="860" w:type="dxa"/>
          </w:tcPr>
          <w:p w:rsidR="00B40966" w:rsidRDefault="00B40966">
            <w:pPr>
              <w:pStyle w:val="TableText"/>
              <w:jc w:val="center"/>
            </w:pPr>
            <w:r>
              <w:t>4.0</w:t>
            </w:r>
          </w:p>
        </w:tc>
        <w:tc>
          <w:tcPr>
            <w:tcW w:w="860" w:type="dxa"/>
          </w:tcPr>
          <w:p w:rsidR="00B40966" w:rsidRDefault="00B40966">
            <w:pPr>
              <w:pStyle w:val="TableText"/>
              <w:jc w:val="center"/>
            </w:pPr>
            <w:r>
              <w:t>4.0</w:t>
            </w:r>
          </w:p>
        </w:tc>
        <w:tc>
          <w:tcPr>
            <w:tcW w:w="880" w:type="dxa"/>
            <w:gridSpan w:val="2"/>
            <w:tcBorders>
              <w:left w:val="single" w:sz="6" w:space="0" w:color="auto"/>
            </w:tcBorders>
          </w:tcPr>
          <w:p w:rsidR="00B40966" w:rsidRDefault="00B40966">
            <w:pPr>
              <w:pStyle w:val="TableText"/>
              <w:jc w:val="center"/>
            </w:pPr>
            <w:r>
              <w:t>6.0</w:t>
            </w:r>
          </w:p>
        </w:tc>
        <w:tc>
          <w:tcPr>
            <w:tcW w:w="840" w:type="dxa"/>
          </w:tcPr>
          <w:p w:rsidR="00B40966" w:rsidRDefault="00B40966">
            <w:pPr>
              <w:pStyle w:val="TableText"/>
              <w:jc w:val="center"/>
            </w:pPr>
            <w:r>
              <w:t>6.0</w:t>
            </w:r>
          </w:p>
        </w:tc>
        <w:tc>
          <w:tcPr>
            <w:tcW w:w="840" w:type="dxa"/>
            <w:tcBorders>
              <w:left w:val="single" w:sz="6" w:space="0" w:color="auto"/>
            </w:tcBorders>
          </w:tcPr>
          <w:p w:rsidR="00B40966" w:rsidRDefault="00B40966">
            <w:pPr>
              <w:pStyle w:val="TableText"/>
              <w:jc w:val="center"/>
            </w:pPr>
            <w:r>
              <w:t>8.0</w:t>
            </w:r>
          </w:p>
        </w:tc>
        <w:tc>
          <w:tcPr>
            <w:tcW w:w="920" w:type="dxa"/>
            <w:gridSpan w:val="2"/>
          </w:tcPr>
          <w:p w:rsidR="00B40966" w:rsidRDefault="00B40966">
            <w:pPr>
              <w:pStyle w:val="TableText"/>
              <w:jc w:val="center"/>
            </w:pPr>
            <w:r>
              <w:t>7.9</w:t>
            </w:r>
          </w:p>
        </w:tc>
      </w:tr>
      <w:tr w:rsidR="00B40966">
        <w:trPr>
          <w:cantSplit/>
        </w:trPr>
        <w:tc>
          <w:tcPr>
            <w:tcW w:w="2100" w:type="dxa"/>
            <w:tcBorders>
              <w:right w:val="single" w:sz="6" w:space="0" w:color="auto"/>
            </w:tcBorders>
          </w:tcPr>
          <w:p w:rsidR="00B40966" w:rsidRDefault="00B40966">
            <w:pPr>
              <w:pStyle w:val="TableText"/>
            </w:pPr>
            <w:r>
              <w:t>140</w:t>
            </w:r>
          </w:p>
        </w:tc>
        <w:tc>
          <w:tcPr>
            <w:tcW w:w="860" w:type="dxa"/>
          </w:tcPr>
          <w:p w:rsidR="00B40966" w:rsidRDefault="00B40966">
            <w:pPr>
              <w:pStyle w:val="TableText"/>
              <w:jc w:val="center"/>
            </w:pPr>
            <w:r>
              <w:t>3.5</w:t>
            </w:r>
          </w:p>
        </w:tc>
        <w:tc>
          <w:tcPr>
            <w:tcW w:w="860" w:type="dxa"/>
          </w:tcPr>
          <w:p w:rsidR="00B40966" w:rsidRDefault="00B40966">
            <w:pPr>
              <w:pStyle w:val="TableText"/>
              <w:jc w:val="center"/>
            </w:pPr>
            <w:r>
              <w:t>3.5</w:t>
            </w:r>
          </w:p>
        </w:tc>
        <w:tc>
          <w:tcPr>
            <w:tcW w:w="880" w:type="dxa"/>
            <w:gridSpan w:val="2"/>
            <w:tcBorders>
              <w:left w:val="single" w:sz="6" w:space="0" w:color="auto"/>
            </w:tcBorders>
          </w:tcPr>
          <w:p w:rsidR="00B40966" w:rsidRDefault="00B40966">
            <w:pPr>
              <w:pStyle w:val="TableText"/>
              <w:jc w:val="center"/>
            </w:pPr>
            <w:r>
              <w:t>5.4</w:t>
            </w:r>
          </w:p>
        </w:tc>
        <w:tc>
          <w:tcPr>
            <w:tcW w:w="840" w:type="dxa"/>
          </w:tcPr>
          <w:p w:rsidR="00B40966" w:rsidRDefault="00B40966">
            <w:pPr>
              <w:pStyle w:val="TableText"/>
              <w:jc w:val="center"/>
            </w:pPr>
            <w:r>
              <w:t>5.3</w:t>
            </w:r>
          </w:p>
        </w:tc>
        <w:tc>
          <w:tcPr>
            <w:tcW w:w="840" w:type="dxa"/>
            <w:tcBorders>
              <w:left w:val="single" w:sz="6" w:space="0" w:color="auto"/>
            </w:tcBorders>
          </w:tcPr>
          <w:p w:rsidR="00B40966" w:rsidRDefault="00B40966">
            <w:pPr>
              <w:pStyle w:val="TableText"/>
              <w:jc w:val="center"/>
            </w:pPr>
            <w:r>
              <w:t>7.4</w:t>
            </w:r>
          </w:p>
        </w:tc>
        <w:tc>
          <w:tcPr>
            <w:tcW w:w="920" w:type="dxa"/>
            <w:gridSpan w:val="2"/>
          </w:tcPr>
          <w:p w:rsidR="00B40966" w:rsidRDefault="00B40966">
            <w:pPr>
              <w:pStyle w:val="TableText"/>
              <w:jc w:val="center"/>
            </w:pPr>
            <w:r>
              <w:t>7.2</w:t>
            </w:r>
          </w:p>
        </w:tc>
      </w:tr>
      <w:tr w:rsidR="00B40966">
        <w:trPr>
          <w:cantSplit/>
        </w:trPr>
        <w:tc>
          <w:tcPr>
            <w:tcW w:w="2100" w:type="dxa"/>
            <w:tcBorders>
              <w:right w:val="single" w:sz="6" w:space="0" w:color="auto"/>
            </w:tcBorders>
          </w:tcPr>
          <w:p w:rsidR="00B40966" w:rsidRDefault="00B40966">
            <w:pPr>
              <w:pStyle w:val="TableText"/>
            </w:pPr>
            <w:r>
              <w:t>150</w:t>
            </w:r>
          </w:p>
        </w:tc>
        <w:tc>
          <w:tcPr>
            <w:tcW w:w="860" w:type="dxa"/>
          </w:tcPr>
          <w:p w:rsidR="00B40966" w:rsidRDefault="00B40966">
            <w:pPr>
              <w:pStyle w:val="TableText"/>
              <w:jc w:val="center"/>
            </w:pPr>
            <w:r>
              <w:t>3.1</w:t>
            </w:r>
          </w:p>
        </w:tc>
        <w:tc>
          <w:tcPr>
            <w:tcW w:w="860" w:type="dxa"/>
          </w:tcPr>
          <w:p w:rsidR="00B40966" w:rsidRDefault="00B40966">
            <w:pPr>
              <w:pStyle w:val="TableText"/>
              <w:jc w:val="center"/>
            </w:pPr>
            <w:r>
              <w:t>3.1</w:t>
            </w:r>
          </w:p>
        </w:tc>
        <w:tc>
          <w:tcPr>
            <w:tcW w:w="880" w:type="dxa"/>
            <w:gridSpan w:val="2"/>
            <w:tcBorders>
              <w:left w:val="single" w:sz="6" w:space="0" w:color="auto"/>
            </w:tcBorders>
          </w:tcPr>
          <w:p w:rsidR="00B40966" w:rsidRDefault="00B40966">
            <w:pPr>
              <w:pStyle w:val="TableText"/>
              <w:jc w:val="center"/>
            </w:pPr>
            <w:r>
              <w:t>4.9</w:t>
            </w:r>
          </w:p>
        </w:tc>
        <w:tc>
          <w:tcPr>
            <w:tcW w:w="840" w:type="dxa"/>
          </w:tcPr>
          <w:p w:rsidR="00B40966" w:rsidRDefault="00B40966">
            <w:pPr>
              <w:pStyle w:val="TableText"/>
              <w:jc w:val="center"/>
            </w:pPr>
            <w:r>
              <w:t>4.7</w:t>
            </w:r>
          </w:p>
        </w:tc>
        <w:tc>
          <w:tcPr>
            <w:tcW w:w="840" w:type="dxa"/>
            <w:tcBorders>
              <w:left w:val="single" w:sz="6" w:space="0" w:color="auto"/>
            </w:tcBorders>
          </w:tcPr>
          <w:p w:rsidR="00B40966" w:rsidRDefault="00B40966">
            <w:pPr>
              <w:pStyle w:val="TableText"/>
              <w:jc w:val="center"/>
            </w:pPr>
            <w:r>
              <w:t>6.8</w:t>
            </w:r>
          </w:p>
        </w:tc>
        <w:tc>
          <w:tcPr>
            <w:tcW w:w="920" w:type="dxa"/>
            <w:gridSpan w:val="2"/>
          </w:tcPr>
          <w:p w:rsidR="00B40966" w:rsidRDefault="00B40966">
            <w:pPr>
              <w:pStyle w:val="TableText"/>
              <w:jc w:val="center"/>
            </w:pPr>
            <w:r>
              <w:t>6.4</w:t>
            </w:r>
          </w:p>
        </w:tc>
      </w:tr>
      <w:tr w:rsidR="00B40966">
        <w:trPr>
          <w:cantSplit/>
        </w:trPr>
        <w:tc>
          <w:tcPr>
            <w:tcW w:w="2100" w:type="dxa"/>
            <w:tcBorders>
              <w:right w:val="single" w:sz="6" w:space="0" w:color="auto"/>
            </w:tcBorders>
          </w:tcPr>
          <w:p w:rsidR="00B40966" w:rsidRDefault="00B40966">
            <w:pPr>
              <w:pStyle w:val="TableText"/>
            </w:pPr>
            <w:r>
              <w:t>160</w:t>
            </w:r>
          </w:p>
        </w:tc>
        <w:tc>
          <w:tcPr>
            <w:tcW w:w="860" w:type="dxa"/>
          </w:tcPr>
          <w:p w:rsidR="00B40966" w:rsidRDefault="00B40966">
            <w:pPr>
              <w:pStyle w:val="TableText"/>
              <w:jc w:val="center"/>
            </w:pPr>
            <w:r>
              <w:t>2.8</w:t>
            </w:r>
          </w:p>
        </w:tc>
        <w:tc>
          <w:tcPr>
            <w:tcW w:w="860" w:type="dxa"/>
          </w:tcPr>
          <w:p w:rsidR="00B40966" w:rsidRDefault="00B40966">
            <w:pPr>
              <w:pStyle w:val="TableText"/>
              <w:jc w:val="center"/>
            </w:pPr>
            <w:r>
              <w:t>2.8</w:t>
            </w:r>
          </w:p>
        </w:tc>
        <w:tc>
          <w:tcPr>
            <w:tcW w:w="880" w:type="dxa"/>
            <w:gridSpan w:val="2"/>
            <w:tcBorders>
              <w:left w:val="single" w:sz="6" w:space="0" w:color="auto"/>
            </w:tcBorders>
          </w:tcPr>
          <w:p w:rsidR="00B40966" w:rsidRDefault="00B40966">
            <w:pPr>
              <w:pStyle w:val="TableText"/>
              <w:jc w:val="center"/>
            </w:pPr>
            <w:r>
              <w:t>4.5</w:t>
            </w:r>
          </w:p>
        </w:tc>
        <w:tc>
          <w:tcPr>
            <w:tcW w:w="840" w:type="dxa"/>
          </w:tcPr>
          <w:p w:rsidR="00B40966" w:rsidRDefault="00B40966">
            <w:pPr>
              <w:pStyle w:val="TableText"/>
              <w:jc w:val="center"/>
            </w:pPr>
            <w:r>
              <w:t>4.2</w:t>
            </w:r>
          </w:p>
        </w:tc>
        <w:tc>
          <w:tcPr>
            <w:tcW w:w="840" w:type="dxa"/>
            <w:tcBorders>
              <w:left w:val="single" w:sz="6" w:space="0" w:color="auto"/>
            </w:tcBorders>
          </w:tcPr>
          <w:p w:rsidR="00B40966" w:rsidRDefault="00B40966">
            <w:pPr>
              <w:pStyle w:val="TableText"/>
              <w:jc w:val="center"/>
            </w:pPr>
            <w:r>
              <w:t>6.2</w:t>
            </w:r>
          </w:p>
        </w:tc>
        <w:tc>
          <w:tcPr>
            <w:tcW w:w="920" w:type="dxa"/>
            <w:gridSpan w:val="2"/>
          </w:tcPr>
          <w:p w:rsidR="00B40966" w:rsidRDefault="00B40966">
            <w:pPr>
              <w:pStyle w:val="TableText"/>
              <w:jc w:val="center"/>
            </w:pPr>
            <w:r>
              <w:t>5.6</w:t>
            </w:r>
          </w:p>
        </w:tc>
      </w:tr>
      <w:tr w:rsidR="00B40966">
        <w:trPr>
          <w:cantSplit/>
        </w:trPr>
        <w:tc>
          <w:tcPr>
            <w:tcW w:w="2100" w:type="dxa"/>
            <w:tcBorders>
              <w:right w:val="single" w:sz="6" w:space="0" w:color="auto"/>
            </w:tcBorders>
          </w:tcPr>
          <w:p w:rsidR="00B40966" w:rsidRDefault="00B40966">
            <w:pPr>
              <w:pStyle w:val="TableText"/>
            </w:pPr>
            <w:r>
              <w:t>170</w:t>
            </w:r>
          </w:p>
        </w:tc>
        <w:tc>
          <w:tcPr>
            <w:tcW w:w="860" w:type="dxa"/>
          </w:tcPr>
          <w:p w:rsidR="00B40966" w:rsidRDefault="00B40966">
            <w:pPr>
              <w:pStyle w:val="TableText"/>
              <w:jc w:val="center"/>
            </w:pPr>
            <w:r>
              <w:t>2.5</w:t>
            </w:r>
          </w:p>
        </w:tc>
        <w:tc>
          <w:tcPr>
            <w:tcW w:w="860" w:type="dxa"/>
          </w:tcPr>
          <w:p w:rsidR="00B40966" w:rsidRDefault="00B40966">
            <w:pPr>
              <w:pStyle w:val="TableText"/>
              <w:jc w:val="center"/>
            </w:pPr>
            <w:r>
              <w:t>2.5</w:t>
            </w:r>
          </w:p>
        </w:tc>
        <w:tc>
          <w:tcPr>
            <w:tcW w:w="880" w:type="dxa"/>
            <w:gridSpan w:val="2"/>
            <w:tcBorders>
              <w:left w:val="single" w:sz="6" w:space="0" w:color="auto"/>
            </w:tcBorders>
          </w:tcPr>
          <w:p w:rsidR="00B40966" w:rsidRDefault="00B40966">
            <w:pPr>
              <w:pStyle w:val="TableText"/>
              <w:jc w:val="center"/>
            </w:pPr>
            <w:r>
              <w:t>4.1</w:t>
            </w:r>
          </w:p>
        </w:tc>
        <w:tc>
          <w:tcPr>
            <w:tcW w:w="840" w:type="dxa"/>
          </w:tcPr>
          <w:p w:rsidR="00B40966" w:rsidRDefault="00B40966">
            <w:pPr>
              <w:pStyle w:val="TableText"/>
              <w:jc w:val="center"/>
            </w:pPr>
            <w:r>
              <w:t>3.7</w:t>
            </w:r>
          </w:p>
        </w:tc>
        <w:tc>
          <w:tcPr>
            <w:tcW w:w="840" w:type="dxa"/>
            <w:tcBorders>
              <w:left w:val="single" w:sz="6" w:space="0" w:color="auto"/>
            </w:tcBorders>
          </w:tcPr>
          <w:p w:rsidR="00B40966" w:rsidRDefault="00B40966">
            <w:pPr>
              <w:pStyle w:val="TableText"/>
              <w:jc w:val="center"/>
            </w:pPr>
            <w:r>
              <w:t>5.7</w:t>
            </w:r>
          </w:p>
        </w:tc>
        <w:tc>
          <w:tcPr>
            <w:tcW w:w="920" w:type="dxa"/>
            <w:gridSpan w:val="2"/>
          </w:tcPr>
          <w:p w:rsidR="00B40966" w:rsidRDefault="00B40966">
            <w:pPr>
              <w:pStyle w:val="TableText"/>
              <w:jc w:val="center"/>
            </w:pPr>
            <w:r>
              <w:t>4.9</w:t>
            </w:r>
          </w:p>
        </w:tc>
      </w:tr>
      <w:tr w:rsidR="00B40966">
        <w:trPr>
          <w:cantSplit/>
        </w:trPr>
        <w:tc>
          <w:tcPr>
            <w:tcW w:w="2100" w:type="dxa"/>
            <w:tcBorders>
              <w:right w:val="single" w:sz="6" w:space="0" w:color="auto"/>
            </w:tcBorders>
          </w:tcPr>
          <w:p w:rsidR="00B40966" w:rsidRDefault="00B40966">
            <w:pPr>
              <w:pStyle w:val="TableText"/>
            </w:pPr>
            <w:r>
              <w:t>180</w:t>
            </w:r>
          </w:p>
        </w:tc>
        <w:tc>
          <w:tcPr>
            <w:tcW w:w="860" w:type="dxa"/>
          </w:tcPr>
          <w:p w:rsidR="00B40966" w:rsidRDefault="00B40966">
            <w:pPr>
              <w:pStyle w:val="TableText"/>
              <w:jc w:val="center"/>
            </w:pPr>
            <w:r>
              <w:t>2.3</w:t>
            </w:r>
          </w:p>
        </w:tc>
        <w:tc>
          <w:tcPr>
            <w:tcW w:w="860" w:type="dxa"/>
          </w:tcPr>
          <w:p w:rsidR="00B40966" w:rsidRDefault="00B40966">
            <w:pPr>
              <w:pStyle w:val="TableText"/>
              <w:jc w:val="center"/>
            </w:pPr>
            <w:r>
              <w:t>2.3</w:t>
            </w:r>
          </w:p>
        </w:tc>
        <w:tc>
          <w:tcPr>
            <w:tcW w:w="880" w:type="dxa"/>
            <w:gridSpan w:val="2"/>
            <w:tcBorders>
              <w:left w:val="single" w:sz="6" w:space="0" w:color="auto"/>
            </w:tcBorders>
          </w:tcPr>
          <w:p w:rsidR="00B40966" w:rsidRDefault="00B40966">
            <w:pPr>
              <w:pStyle w:val="TableText"/>
              <w:jc w:val="center"/>
            </w:pPr>
            <w:r>
              <w:t>3.8</w:t>
            </w:r>
          </w:p>
        </w:tc>
        <w:tc>
          <w:tcPr>
            <w:tcW w:w="840" w:type="dxa"/>
          </w:tcPr>
          <w:p w:rsidR="00B40966" w:rsidRDefault="00B40966">
            <w:pPr>
              <w:pStyle w:val="TableText"/>
              <w:jc w:val="center"/>
            </w:pPr>
            <w:r>
              <w:t>3.3</w:t>
            </w:r>
          </w:p>
        </w:tc>
        <w:tc>
          <w:tcPr>
            <w:tcW w:w="840" w:type="dxa"/>
            <w:tcBorders>
              <w:left w:val="single" w:sz="6" w:space="0" w:color="auto"/>
            </w:tcBorders>
          </w:tcPr>
          <w:p w:rsidR="00B40966" w:rsidRDefault="00B40966">
            <w:pPr>
              <w:pStyle w:val="TableText"/>
              <w:jc w:val="center"/>
            </w:pPr>
            <w:r>
              <w:t>5.2</w:t>
            </w:r>
          </w:p>
        </w:tc>
        <w:tc>
          <w:tcPr>
            <w:tcW w:w="920" w:type="dxa"/>
            <w:gridSpan w:val="2"/>
          </w:tcPr>
          <w:p w:rsidR="00B40966" w:rsidRDefault="00B40966">
            <w:pPr>
              <w:pStyle w:val="TableText"/>
              <w:jc w:val="center"/>
            </w:pPr>
            <w:r>
              <w:t>4.3</w:t>
            </w:r>
          </w:p>
        </w:tc>
      </w:tr>
      <w:tr w:rsidR="00B40966">
        <w:trPr>
          <w:cantSplit/>
        </w:trPr>
        <w:tc>
          <w:tcPr>
            <w:tcW w:w="2100" w:type="dxa"/>
            <w:tcBorders>
              <w:right w:val="single" w:sz="6" w:space="0" w:color="auto"/>
            </w:tcBorders>
          </w:tcPr>
          <w:p w:rsidR="00B40966" w:rsidRDefault="00B40966">
            <w:pPr>
              <w:pStyle w:val="TableText"/>
            </w:pPr>
            <w:r>
              <w:t>190</w:t>
            </w:r>
          </w:p>
        </w:tc>
        <w:tc>
          <w:tcPr>
            <w:tcW w:w="860" w:type="dxa"/>
          </w:tcPr>
          <w:p w:rsidR="00B40966" w:rsidRDefault="00B40966">
            <w:pPr>
              <w:pStyle w:val="TableText"/>
              <w:jc w:val="center"/>
            </w:pPr>
            <w:r>
              <w:t>2.2</w:t>
            </w:r>
          </w:p>
        </w:tc>
        <w:tc>
          <w:tcPr>
            <w:tcW w:w="860" w:type="dxa"/>
          </w:tcPr>
          <w:p w:rsidR="00B40966" w:rsidRDefault="00B40966">
            <w:pPr>
              <w:pStyle w:val="TableText"/>
              <w:jc w:val="center"/>
            </w:pPr>
            <w:r>
              <w:t>2.2</w:t>
            </w:r>
          </w:p>
        </w:tc>
        <w:tc>
          <w:tcPr>
            <w:tcW w:w="880" w:type="dxa"/>
            <w:gridSpan w:val="2"/>
            <w:tcBorders>
              <w:left w:val="single" w:sz="6" w:space="0" w:color="auto"/>
            </w:tcBorders>
          </w:tcPr>
          <w:p w:rsidR="00B40966" w:rsidRDefault="00B40966">
            <w:pPr>
              <w:pStyle w:val="TableText"/>
              <w:jc w:val="center"/>
            </w:pPr>
            <w:r>
              <w:t>3.5</w:t>
            </w:r>
          </w:p>
        </w:tc>
        <w:tc>
          <w:tcPr>
            <w:tcW w:w="840" w:type="dxa"/>
          </w:tcPr>
          <w:p w:rsidR="00B40966" w:rsidRDefault="00B40966">
            <w:pPr>
              <w:pStyle w:val="TableText"/>
              <w:jc w:val="center"/>
            </w:pPr>
            <w:r>
              <w:t>3.0</w:t>
            </w:r>
          </w:p>
        </w:tc>
        <w:tc>
          <w:tcPr>
            <w:tcW w:w="840" w:type="dxa"/>
            <w:tcBorders>
              <w:left w:val="single" w:sz="6" w:space="0" w:color="auto"/>
            </w:tcBorders>
          </w:tcPr>
          <w:p w:rsidR="00B40966" w:rsidRDefault="00B40966">
            <w:pPr>
              <w:pStyle w:val="TableText"/>
              <w:jc w:val="center"/>
            </w:pPr>
            <w:r>
              <w:t>4.8</w:t>
            </w:r>
          </w:p>
        </w:tc>
        <w:tc>
          <w:tcPr>
            <w:tcW w:w="920" w:type="dxa"/>
            <w:gridSpan w:val="2"/>
          </w:tcPr>
          <w:p w:rsidR="00B40966" w:rsidRDefault="00B40966">
            <w:pPr>
              <w:pStyle w:val="TableText"/>
              <w:jc w:val="center"/>
            </w:pPr>
            <w:r>
              <w:t>3.8</w:t>
            </w:r>
          </w:p>
        </w:tc>
      </w:tr>
      <w:tr w:rsidR="00B40966">
        <w:trPr>
          <w:cantSplit/>
        </w:trPr>
        <w:tc>
          <w:tcPr>
            <w:tcW w:w="2100" w:type="dxa"/>
            <w:tcBorders>
              <w:right w:val="single" w:sz="6" w:space="0" w:color="auto"/>
            </w:tcBorders>
          </w:tcPr>
          <w:p w:rsidR="00B40966" w:rsidRDefault="00B40966">
            <w:pPr>
              <w:pStyle w:val="TableText"/>
            </w:pPr>
            <w:r>
              <w:t>200</w:t>
            </w:r>
          </w:p>
        </w:tc>
        <w:tc>
          <w:tcPr>
            <w:tcW w:w="860" w:type="dxa"/>
          </w:tcPr>
          <w:p w:rsidR="00B40966" w:rsidRDefault="00B40966">
            <w:pPr>
              <w:pStyle w:val="TableText"/>
              <w:jc w:val="center"/>
            </w:pPr>
            <w:r>
              <w:t>2.1</w:t>
            </w:r>
          </w:p>
        </w:tc>
        <w:tc>
          <w:tcPr>
            <w:tcW w:w="860" w:type="dxa"/>
          </w:tcPr>
          <w:p w:rsidR="00B40966" w:rsidRDefault="00B40966">
            <w:pPr>
              <w:pStyle w:val="TableText"/>
              <w:jc w:val="center"/>
            </w:pPr>
            <w:r>
              <w:t>2.1</w:t>
            </w:r>
          </w:p>
        </w:tc>
        <w:tc>
          <w:tcPr>
            <w:tcW w:w="880" w:type="dxa"/>
            <w:gridSpan w:val="2"/>
            <w:tcBorders>
              <w:left w:val="single" w:sz="6" w:space="0" w:color="auto"/>
            </w:tcBorders>
          </w:tcPr>
          <w:p w:rsidR="00B40966" w:rsidRDefault="00B40966">
            <w:pPr>
              <w:pStyle w:val="TableText"/>
              <w:jc w:val="center"/>
            </w:pPr>
            <w:r>
              <w:t>3.3</w:t>
            </w:r>
          </w:p>
        </w:tc>
        <w:tc>
          <w:tcPr>
            <w:tcW w:w="840" w:type="dxa"/>
          </w:tcPr>
          <w:p w:rsidR="00B40966" w:rsidRDefault="00B40966">
            <w:pPr>
              <w:pStyle w:val="TableText"/>
              <w:jc w:val="center"/>
            </w:pPr>
            <w:r>
              <w:t>2.7</w:t>
            </w:r>
          </w:p>
        </w:tc>
        <w:tc>
          <w:tcPr>
            <w:tcW w:w="840" w:type="dxa"/>
            <w:tcBorders>
              <w:left w:val="single" w:sz="6" w:space="0" w:color="auto"/>
            </w:tcBorders>
          </w:tcPr>
          <w:p w:rsidR="00B40966" w:rsidRDefault="00B40966">
            <w:pPr>
              <w:pStyle w:val="TableText"/>
              <w:jc w:val="center"/>
            </w:pPr>
            <w:r>
              <w:t>4.4</w:t>
            </w:r>
          </w:p>
        </w:tc>
        <w:tc>
          <w:tcPr>
            <w:tcW w:w="920" w:type="dxa"/>
            <w:gridSpan w:val="2"/>
          </w:tcPr>
          <w:p w:rsidR="00B40966" w:rsidRDefault="00B40966">
            <w:pPr>
              <w:pStyle w:val="TableText"/>
              <w:jc w:val="center"/>
            </w:pPr>
            <w:r>
              <w:t>3.4</w:t>
            </w:r>
          </w:p>
        </w:tc>
      </w:tr>
      <w:tr w:rsidR="00B40966">
        <w:trPr>
          <w:cantSplit/>
        </w:trPr>
        <w:tc>
          <w:tcPr>
            <w:tcW w:w="2100" w:type="dxa"/>
            <w:tcBorders>
              <w:right w:val="single" w:sz="6" w:space="0" w:color="auto"/>
            </w:tcBorders>
          </w:tcPr>
          <w:p w:rsidR="00B40966" w:rsidRDefault="00B40966">
            <w:pPr>
              <w:pStyle w:val="TableText"/>
            </w:pPr>
            <w:r>
              <w:t>210</w:t>
            </w:r>
          </w:p>
        </w:tc>
        <w:tc>
          <w:tcPr>
            <w:tcW w:w="860" w:type="dxa"/>
          </w:tcPr>
          <w:p w:rsidR="00B40966" w:rsidRDefault="00B40966">
            <w:pPr>
              <w:pStyle w:val="TableText"/>
              <w:jc w:val="center"/>
            </w:pPr>
            <w:r>
              <w:t>2.0</w:t>
            </w:r>
          </w:p>
        </w:tc>
        <w:tc>
          <w:tcPr>
            <w:tcW w:w="860" w:type="dxa"/>
          </w:tcPr>
          <w:p w:rsidR="00B40966" w:rsidRDefault="00B40966">
            <w:pPr>
              <w:pStyle w:val="TableText"/>
              <w:jc w:val="center"/>
            </w:pPr>
            <w:r>
              <w:t>2.0</w:t>
            </w:r>
          </w:p>
        </w:tc>
        <w:tc>
          <w:tcPr>
            <w:tcW w:w="880" w:type="dxa"/>
            <w:gridSpan w:val="2"/>
            <w:tcBorders>
              <w:left w:val="single" w:sz="6" w:space="0" w:color="auto"/>
            </w:tcBorders>
          </w:tcPr>
          <w:p w:rsidR="00B40966" w:rsidRDefault="00B40966">
            <w:pPr>
              <w:pStyle w:val="TableText"/>
              <w:jc w:val="center"/>
            </w:pPr>
            <w:r>
              <w:t>3.1</w:t>
            </w:r>
          </w:p>
        </w:tc>
        <w:tc>
          <w:tcPr>
            <w:tcW w:w="840" w:type="dxa"/>
          </w:tcPr>
          <w:p w:rsidR="00B40966" w:rsidRDefault="00B40966">
            <w:pPr>
              <w:pStyle w:val="TableText"/>
              <w:jc w:val="center"/>
            </w:pPr>
            <w:r>
              <w:t>2.5</w:t>
            </w:r>
          </w:p>
        </w:tc>
        <w:tc>
          <w:tcPr>
            <w:tcW w:w="840" w:type="dxa"/>
            <w:tcBorders>
              <w:left w:val="single" w:sz="6" w:space="0" w:color="auto"/>
            </w:tcBorders>
          </w:tcPr>
          <w:p w:rsidR="00B40966" w:rsidRDefault="00B40966">
            <w:pPr>
              <w:pStyle w:val="TableText"/>
              <w:jc w:val="center"/>
            </w:pPr>
            <w:r>
              <w:t>4.2</w:t>
            </w:r>
          </w:p>
        </w:tc>
        <w:tc>
          <w:tcPr>
            <w:tcW w:w="920" w:type="dxa"/>
            <w:gridSpan w:val="2"/>
          </w:tcPr>
          <w:p w:rsidR="00B40966" w:rsidRDefault="00B40966">
            <w:pPr>
              <w:pStyle w:val="TableText"/>
              <w:jc w:val="center"/>
            </w:pPr>
            <w:r>
              <w:t>3.1</w:t>
            </w:r>
          </w:p>
        </w:tc>
      </w:tr>
      <w:tr w:rsidR="00B40966">
        <w:trPr>
          <w:cantSplit/>
        </w:trPr>
        <w:tc>
          <w:tcPr>
            <w:tcW w:w="2100" w:type="dxa"/>
            <w:tcBorders>
              <w:bottom w:val="single" w:sz="6" w:space="0" w:color="auto"/>
              <w:right w:val="single" w:sz="6" w:space="0" w:color="auto"/>
            </w:tcBorders>
          </w:tcPr>
          <w:p w:rsidR="00B40966" w:rsidRDefault="00B40966">
            <w:pPr>
              <w:pStyle w:val="TableText"/>
            </w:pPr>
            <w:r>
              <w:t>220</w:t>
            </w:r>
          </w:p>
        </w:tc>
        <w:tc>
          <w:tcPr>
            <w:tcW w:w="860" w:type="dxa"/>
            <w:tcBorders>
              <w:bottom w:val="single" w:sz="6" w:space="0" w:color="auto"/>
            </w:tcBorders>
          </w:tcPr>
          <w:p w:rsidR="00B40966" w:rsidRDefault="00B40966">
            <w:pPr>
              <w:pStyle w:val="TableText"/>
              <w:jc w:val="center"/>
            </w:pPr>
            <w:r>
              <w:t>1.9</w:t>
            </w:r>
          </w:p>
        </w:tc>
        <w:tc>
          <w:tcPr>
            <w:tcW w:w="860" w:type="dxa"/>
            <w:tcBorders>
              <w:bottom w:val="single" w:sz="6" w:space="0" w:color="auto"/>
            </w:tcBorders>
          </w:tcPr>
          <w:p w:rsidR="00B40966" w:rsidRDefault="00B40966">
            <w:pPr>
              <w:pStyle w:val="TableText"/>
              <w:jc w:val="center"/>
            </w:pPr>
            <w:r>
              <w:t>1.9</w:t>
            </w:r>
          </w:p>
        </w:tc>
        <w:tc>
          <w:tcPr>
            <w:tcW w:w="880" w:type="dxa"/>
            <w:gridSpan w:val="2"/>
            <w:tcBorders>
              <w:left w:val="single" w:sz="6" w:space="0" w:color="auto"/>
              <w:bottom w:val="single" w:sz="6" w:space="0" w:color="auto"/>
            </w:tcBorders>
          </w:tcPr>
          <w:p w:rsidR="00B40966" w:rsidRDefault="00B40966">
            <w:pPr>
              <w:pStyle w:val="TableText"/>
              <w:jc w:val="center"/>
            </w:pPr>
            <w:r>
              <w:t>2.9</w:t>
            </w:r>
          </w:p>
        </w:tc>
        <w:tc>
          <w:tcPr>
            <w:tcW w:w="840" w:type="dxa"/>
            <w:tcBorders>
              <w:bottom w:val="single" w:sz="6" w:space="0" w:color="auto"/>
            </w:tcBorders>
          </w:tcPr>
          <w:p w:rsidR="00B40966" w:rsidRDefault="00B40966">
            <w:pPr>
              <w:pStyle w:val="TableText"/>
              <w:jc w:val="center"/>
            </w:pPr>
            <w:r>
              <w:t>2.4</w:t>
            </w:r>
          </w:p>
        </w:tc>
        <w:tc>
          <w:tcPr>
            <w:tcW w:w="840" w:type="dxa"/>
            <w:tcBorders>
              <w:left w:val="single" w:sz="6" w:space="0" w:color="auto"/>
              <w:bottom w:val="single" w:sz="6" w:space="0" w:color="auto"/>
            </w:tcBorders>
          </w:tcPr>
          <w:p w:rsidR="00B40966" w:rsidRDefault="00B40966">
            <w:pPr>
              <w:pStyle w:val="TableText"/>
              <w:jc w:val="center"/>
            </w:pPr>
            <w:r>
              <w:t>3.9</w:t>
            </w:r>
          </w:p>
        </w:tc>
        <w:tc>
          <w:tcPr>
            <w:tcW w:w="920" w:type="dxa"/>
            <w:gridSpan w:val="2"/>
            <w:tcBorders>
              <w:bottom w:val="single" w:sz="6" w:space="0" w:color="auto"/>
            </w:tcBorders>
          </w:tcPr>
          <w:p w:rsidR="00B40966" w:rsidRDefault="00B40966">
            <w:pPr>
              <w:pStyle w:val="TableText"/>
              <w:jc w:val="center"/>
            </w:pPr>
            <w:r>
              <w:t>2.9</w:t>
            </w:r>
          </w:p>
        </w:tc>
      </w:tr>
    </w:tbl>
    <w:p w:rsidR="00B40966" w:rsidRDefault="00B40966">
      <w:pPr>
        <w:pStyle w:val="Amain"/>
        <w:ind w:left="228" w:hanging="312"/>
        <w:rPr>
          <w:color w:val="000000"/>
          <w:sz w:val="20"/>
        </w:rPr>
      </w:pPr>
      <w:r>
        <w:rPr>
          <w:color w:val="000000"/>
          <w:sz w:val="20"/>
        </w:rPr>
        <w:t>*</w:t>
      </w:r>
      <w:r>
        <w:rPr>
          <w:color w:val="000000"/>
          <w:sz w:val="20"/>
        </w:rPr>
        <w:tab/>
        <w:t>High tensile steel conforming to British Standard Specification No 548—1934, ‘High Tensile Steel for Bridges, etc., and General Building Construction’, of British Standard Specification No 968—1941, ‘High Tensile (Fusion Welding Quality) Steel for Bridges, etc., for General Building Construction’.  Column ‘B’ is applicable to members of angle, tee, or tube sections and to members of latticed, battened or other framed construction.</w:t>
      </w:r>
    </w:p>
    <w:p w:rsidR="00B40966" w:rsidRDefault="00B40966">
      <w:pPr>
        <w:pStyle w:val="Amain"/>
        <w:ind w:left="228" w:hanging="312"/>
        <w:rPr>
          <w:color w:val="000000"/>
          <w:sz w:val="20"/>
        </w:rPr>
      </w:pPr>
      <w:r>
        <w:rPr>
          <w:color w:val="000000"/>
          <w:sz w:val="20"/>
        </w:rPr>
        <w:tab/>
        <w:t>Permissible stresses for intermediate ratios of slenderness should be interpolated.</w:t>
      </w:r>
    </w:p>
    <w:p w:rsidR="00B40966" w:rsidRDefault="00B40966"/>
    <w:p w:rsidR="00B40966" w:rsidRDefault="00B40966">
      <w:pPr>
        <w:pStyle w:val="Amain"/>
        <w:keepNext/>
      </w:pPr>
      <w:r>
        <w:rPr>
          <w:color w:val="000000"/>
        </w:rPr>
        <w:tab/>
        <w:t>(43)</w:t>
      </w:r>
      <w:r>
        <w:rPr>
          <w:color w:val="000000"/>
        </w:rPr>
        <w:tab/>
        <w:t>If the radius of gyration of the cross-section of a compression member or strut of metal or alloy is less near the ends of the member than in the vicinity of the half-length of the member, the radius of gyration of a cross-section at the half-length shall for the purpose of assessing the slenderness ratios, be reduced in the ratio—</w:t>
      </w:r>
    </w:p>
    <w:p w:rsidR="00B40966" w:rsidRDefault="00B40966">
      <w:pPr>
        <w:pStyle w:val="Amain"/>
        <w:jc w:val="center"/>
        <w:rPr>
          <w:color w:val="000000"/>
        </w:rPr>
      </w:pPr>
      <w:r>
        <w:rPr>
          <w:color w:val="000000"/>
        </w:rPr>
        <w:fldChar w:fldCharType="begin"/>
      </w:r>
      <w:r>
        <w:rPr>
          <w:color w:val="000000"/>
        </w:rPr>
        <w:instrText xml:space="preserve"> EQ \F(</w:instrText>
      </w:r>
      <w:r>
        <w:rPr>
          <w:b/>
          <w:color w:val="000000"/>
        </w:rPr>
        <w:instrText>K</w:instrText>
      </w:r>
      <w:r>
        <w:rPr>
          <w:i/>
          <w:color w:val="000000"/>
        </w:rPr>
        <w:instrText>q</w:instrText>
      </w:r>
      <w:r>
        <w:rPr>
          <w:color w:val="000000"/>
        </w:rPr>
        <w:instrText>,0.75.</w:instrText>
      </w:r>
      <w:r>
        <w:rPr>
          <w:b/>
          <w:color w:val="000000"/>
        </w:rPr>
        <w:instrText>K</w:instrText>
      </w:r>
      <w:r>
        <w:rPr>
          <w:color w:val="000000"/>
        </w:rPr>
        <w:instrText xml:space="preserve">) </w:instrText>
      </w:r>
      <w:r>
        <w:rPr>
          <w:color w:val="000000"/>
        </w:rPr>
        <w:fldChar w:fldCharType="end"/>
      </w:r>
      <w:r>
        <w:rPr>
          <w:color w:val="000000"/>
        </w:rPr>
        <w:t xml:space="preserve">  .</w:t>
      </w:r>
    </w:p>
    <w:p w:rsidR="00B40966" w:rsidRDefault="00B40966">
      <w:pPr>
        <w:pStyle w:val="Amain"/>
      </w:pPr>
      <w:r>
        <w:tab/>
        <w:t>(44)</w:t>
      </w:r>
      <w:r>
        <w:tab/>
        <w:t>In subsection (43):</w:t>
      </w:r>
    </w:p>
    <w:p w:rsidR="00B40966" w:rsidRDefault="00B40966">
      <w:pPr>
        <w:pStyle w:val="aDef"/>
      </w:pPr>
      <w:r>
        <w:rPr>
          <w:b/>
        </w:rPr>
        <w:t>K</w:t>
      </w:r>
      <w:r>
        <w:t xml:space="preserve"> is the least radius of gyration of a section at the half-length of the member.</w:t>
      </w:r>
    </w:p>
    <w:p w:rsidR="00B40966" w:rsidRDefault="00B40966">
      <w:pPr>
        <w:pStyle w:val="aDef"/>
      </w:pPr>
      <w:r>
        <w:rPr>
          <w:b/>
        </w:rPr>
        <w:t>K</w:t>
      </w:r>
      <w:r>
        <w:rPr>
          <w:rStyle w:val="charItals"/>
          <w:b/>
        </w:rPr>
        <w:t>q</w:t>
      </w:r>
      <w:r>
        <w:t xml:space="preserve"> is the least radius of gyration of the least section that is </w:t>
      </w:r>
      <w:r>
        <w:rPr>
          <w:position w:val="6"/>
          <w:sz w:val="18"/>
        </w:rPr>
        <w:t>1</w:t>
      </w:r>
      <w:r>
        <w:t>/</w:t>
      </w:r>
      <w:r>
        <w:rPr>
          <w:sz w:val="18"/>
        </w:rPr>
        <w:t>4</w:t>
      </w:r>
      <w:r>
        <w:t xml:space="preserve"> of the length of the member from either end.</w:t>
      </w:r>
    </w:p>
    <w:p w:rsidR="00B40966" w:rsidRDefault="00B40966">
      <w:pPr>
        <w:pStyle w:val="Amain"/>
        <w:keepLines/>
      </w:pPr>
      <w:r>
        <w:rPr>
          <w:color w:val="000000"/>
        </w:rPr>
        <w:tab/>
        <w:t>(45)</w:t>
      </w:r>
      <w:r>
        <w:rPr>
          <w:color w:val="000000"/>
        </w:rPr>
        <w:tab/>
        <w:t>If a steel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820"/>
        <w:gridCol w:w="1100"/>
        <w:gridCol w:w="360"/>
        <w:gridCol w:w="4200"/>
      </w:tblGrid>
      <w:tr w:rsidR="00B40966">
        <w:trPr>
          <w:cantSplit/>
        </w:trPr>
        <w:tc>
          <w:tcPr>
            <w:tcW w:w="360" w:type="dxa"/>
          </w:tcPr>
          <w:p w:rsidR="00B40966" w:rsidRDefault="00B40966">
            <w:pPr>
              <w:pStyle w:val="allsections"/>
              <w:ind w:firstLine="0"/>
              <w:jc w:val="left"/>
              <w:rPr>
                <w:color w:val="000000"/>
                <w:sz w:val="48"/>
              </w:rPr>
            </w:pPr>
            <w:r>
              <w:rPr>
                <w:color w:val="000000"/>
                <w:sz w:val="48"/>
              </w:rPr>
              <w:t>(</w:t>
            </w:r>
          </w:p>
        </w:tc>
        <w:tc>
          <w:tcPr>
            <w:tcW w:w="820" w:type="dxa"/>
          </w:tcPr>
          <w:p w:rsidR="00B40966" w:rsidRDefault="00B40966">
            <w:pPr>
              <w:pStyle w:val="allsections"/>
              <w:ind w:firstLine="0"/>
              <w:jc w:val="left"/>
              <w:rPr>
                <w:color w:val="000000"/>
              </w:rPr>
            </w:pPr>
            <w:r>
              <w:rPr>
                <w:color w:val="000000"/>
              </w:rPr>
              <w:fldChar w:fldCharType="begin"/>
            </w:r>
            <w:r>
              <w:rPr>
                <w:color w:val="000000"/>
              </w:rPr>
              <w:instrText xml:space="preserve"> EQ \F(</w:instrText>
            </w:r>
            <w:r>
              <w:rPr>
                <w:i/>
                <w:color w:val="000000"/>
              </w:rPr>
              <w:instrText>cf</w:instrText>
            </w:r>
            <w:r>
              <w:rPr>
                <w:color w:val="000000"/>
              </w:rPr>
              <w:instrText>,1.67</w:instrText>
            </w:r>
            <w:r>
              <w:rPr>
                <w:i/>
                <w:color w:val="000000"/>
              </w:rPr>
              <w:instrText>f</w:instrText>
            </w:r>
            <w:r>
              <w:rPr>
                <w:i/>
                <w:color w:val="000000"/>
                <w:sz w:val="12"/>
              </w:rPr>
              <w:instrText>p</w:instrText>
            </w:r>
            <w:r>
              <w:rPr>
                <w:color w:val="000000"/>
              </w:rPr>
              <w:instrText xml:space="preserve">) </w:instrText>
            </w:r>
            <w:r>
              <w:rPr>
                <w:color w:val="000000"/>
              </w:rPr>
              <w:fldChar w:fldCharType="end"/>
            </w:r>
          </w:p>
        </w:tc>
        <w:tc>
          <w:tcPr>
            <w:tcW w:w="1100" w:type="dxa"/>
          </w:tcPr>
          <w:p w:rsidR="00B40966" w:rsidRDefault="00B40966">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B40966" w:rsidRDefault="00B40966">
            <w:pPr>
              <w:pStyle w:val="allsections"/>
              <w:ind w:firstLine="0"/>
              <w:jc w:val="left"/>
              <w:rPr>
                <w:color w:val="000000"/>
                <w:sz w:val="48"/>
              </w:rPr>
            </w:pPr>
            <w:r>
              <w:rPr>
                <w:color w:val="000000"/>
                <w:sz w:val="48"/>
              </w:rPr>
              <w:t>)</w:t>
            </w:r>
          </w:p>
        </w:tc>
        <w:tc>
          <w:tcPr>
            <w:tcW w:w="4200" w:type="dxa"/>
          </w:tcPr>
          <w:p w:rsidR="00B40966" w:rsidRDefault="00B40966">
            <w:pPr>
              <w:pStyle w:val="allsections"/>
              <w:tabs>
                <w:tab w:val="left" w:leader="dot" w:pos="1740"/>
              </w:tabs>
              <w:spacing w:before="160"/>
              <w:ind w:firstLine="0"/>
              <w:jc w:val="left"/>
              <w:rPr>
                <w:rFonts w:ascii="Times New Roman" w:hAnsi="Times New Roman"/>
                <w:color w:val="000000"/>
              </w:rPr>
            </w:pPr>
            <w:r>
              <w:rPr>
                <w:rFonts w:ascii="Times New Roman" w:hAnsi="Times New Roman"/>
                <w:color w:val="000000"/>
              </w:rPr>
              <w:t>tons per square inch</w:t>
            </w:r>
          </w:p>
        </w:tc>
      </w:tr>
    </w:tbl>
    <w:p w:rsidR="00B40966" w:rsidRDefault="00B40966">
      <w:pPr>
        <w:pStyle w:val="Amainreturn"/>
      </w:pPr>
      <w:r>
        <w:t>where, in relation to the section under consideration:</w:t>
      </w:r>
    </w:p>
    <w:p w:rsidR="00B40966" w:rsidRDefault="00B40966">
      <w:pPr>
        <w:pStyle w:val="aDef"/>
      </w:pPr>
      <w:r>
        <w:rPr>
          <w:rStyle w:val="charItals"/>
          <w:b/>
        </w:rPr>
        <w:t>c</w:t>
      </w:r>
      <w:r>
        <w:t xml:space="preserve"> is a constant, having the value 18 for mild steel, or 22 for high tensile structural steel.</w:t>
      </w:r>
    </w:p>
    <w:p w:rsidR="00B40966" w:rsidRDefault="00B40966">
      <w:pPr>
        <w:pStyle w:val="aDef"/>
      </w:pPr>
      <w:r>
        <w:rPr>
          <w:rStyle w:val="charItals"/>
          <w:b/>
        </w:rPr>
        <w:t>f</w:t>
      </w:r>
      <w:r>
        <w:t xml:space="preserve"> is the maximum axial compressive stress.</w:t>
      </w:r>
    </w:p>
    <w:p w:rsidR="00B40966" w:rsidRDefault="00B40966">
      <w:pPr>
        <w:pStyle w:val="aDef"/>
      </w:pPr>
      <w:r>
        <w:rPr>
          <w:rStyle w:val="charItals"/>
          <w:b/>
        </w:rPr>
        <w:t>fp</w:t>
      </w:r>
      <w:r>
        <w:t xml:space="preserve"> is the maximum permissible axial compressive stress as prescribed in this section for the same member if assumed subject solely to axial stress.</w:t>
      </w:r>
    </w:p>
    <w:p w:rsidR="00B40966" w:rsidRDefault="00B40966">
      <w:pPr>
        <w:pStyle w:val="aDef"/>
      </w:pPr>
      <w:r>
        <w:rPr>
          <w:rStyle w:val="charItals"/>
          <w:b/>
        </w:rPr>
        <w:t>fx</w:t>
      </w:r>
      <w:r>
        <w:t xml:space="preserve"> and </w:t>
      </w:r>
      <w:r>
        <w:rPr>
          <w:rStyle w:val="charItals"/>
          <w:b/>
        </w:rPr>
        <w:t>fy</w:t>
      </w:r>
      <w:r>
        <w:t xml:space="preserve"> are the maximum transverse stresses due to external flexural forces acting or resolved about the respective principal rectilinear axes.</w:t>
      </w:r>
    </w:p>
    <w:p w:rsidR="00B40966" w:rsidRDefault="00B40966">
      <w:pPr>
        <w:pStyle w:val="Amain"/>
        <w:rPr>
          <w:color w:val="000000"/>
        </w:rPr>
      </w:pPr>
      <w:r>
        <w:rPr>
          <w:color w:val="000000"/>
        </w:rPr>
        <w:tab/>
        <w:t>(46)</w:t>
      </w:r>
      <w:r>
        <w:rPr>
          <w:color w:val="000000"/>
        </w:rPr>
        <w:tab/>
        <w:t>The stress in a compression member or strut of timber shall not exceed that shown in table 126.7, relevant and appropriate to the ratio of slenderness of the member, and to the kind of timber and its sectional dimensions.</w:t>
      </w:r>
    </w:p>
    <w:p w:rsidR="00B40966" w:rsidRDefault="00B40966">
      <w:pPr>
        <w:pStyle w:val="Amain"/>
        <w:rPr>
          <w:color w:val="000000"/>
        </w:rPr>
      </w:pPr>
      <w:r>
        <w:rPr>
          <w:color w:val="000000"/>
        </w:rPr>
        <w:tab/>
        <w:t>(47)</w:t>
      </w:r>
      <w:r>
        <w:rPr>
          <w:color w:val="000000"/>
        </w:rPr>
        <w:tab/>
        <w:t>The ratio of slenderness shall be determined by dividing the greatest length of member that is not supported effectively against lateral deflection, by the diameter of the greatest inscribed circle of any cross-section of the member within the central half of the length of the member.</w:t>
      </w:r>
    </w:p>
    <w:p w:rsidR="00B40966" w:rsidRDefault="00B40966">
      <w:pPr>
        <w:pStyle w:val="Amain"/>
        <w:keepLines/>
      </w:pPr>
      <w:r>
        <w:rPr>
          <w:color w:val="000000"/>
        </w:rPr>
        <w:tab/>
        <w:t>(48)</w:t>
      </w:r>
      <w:r>
        <w:rPr>
          <w:color w:val="000000"/>
        </w:rPr>
        <w:tab/>
        <w:t>If 1 end of the member is fixed and the other end free, the ratio of slenderness shall be determined by dividing twice the length of the member by the diameter of the greatest inscribed circle of any cross</w:t>
      </w:r>
      <w:r>
        <w:rPr>
          <w:color w:val="000000"/>
        </w:rPr>
        <w:noBreakHyphen/>
        <w:t>section of the member within half the length of the member of the fixed end.</w:t>
      </w:r>
    </w:p>
    <w:p w:rsidR="00B40966" w:rsidRDefault="00B40966">
      <w:pPr>
        <w:pStyle w:val="TableHd"/>
      </w:pPr>
      <w:r>
        <w:t>Table 126.7</w:t>
      </w:r>
      <w:r>
        <w:tab/>
        <w:t>Maximum stresses permissible in timber compression members or struts subject only to concentric axial loading</w:t>
      </w:r>
    </w:p>
    <w:tbl>
      <w:tblPr>
        <w:tblW w:w="0" w:type="auto"/>
        <w:tblLayout w:type="fixed"/>
        <w:tblCellMar>
          <w:left w:w="80" w:type="dxa"/>
          <w:right w:w="80" w:type="dxa"/>
        </w:tblCellMar>
        <w:tblLook w:val="0000" w:firstRow="0" w:lastRow="0" w:firstColumn="0" w:lastColumn="0" w:noHBand="0" w:noVBand="0"/>
      </w:tblPr>
      <w:tblGrid>
        <w:gridCol w:w="1760"/>
        <w:gridCol w:w="1420"/>
        <w:gridCol w:w="1420"/>
        <w:gridCol w:w="1360"/>
        <w:gridCol w:w="1340"/>
        <w:gridCol w:w="20"/>
      </w:tblGrid>
      <w:tr w:rsidR="00B40966">
        <w:trPr>
          <w:gridAfter w:val="1"/>
          <w:wAfter w:w="20" w:type="dxa"/>
          <w:cantSplit/>
          <w:tblHeader/>
        </w:trPr>
        <w:tc>
          <w:tcPr>
            <w:tcW w:w="1760" w:type="dxa"/>
            <w:tcBorders>
              <w:top w:val="single" w:sz="6" w:space="0" w:color="auto"/>
              <w:right w:val="single" w:sz="6" w:space="0" w:color="auto"/>
            </w:tcBorders>
          </w:tcPr>
          <w:p w:rsidR="00B40966" w:rsidRDefault="00B40966">
            <w:pPr>
              <w:pStyle w:val="TableColHd"/>
            </w:pPr>
          </w:p>
        </w:tc>
        <w:tc>
          <w:tcPr>
            <w:tcW w:w="5540" w:type="dxa"/>
            <w:gridSpan w:val="4"/>
            <w:tcBorders>
              <w:top w:val="single" w:sz="6" w:space="0" w:color="auto"/>
              <w:bottom w:val="single" w:sz="6" w:space="0" w:color="auto"/>
            </w:tcBorders>
          </w:tcPr>
          <w:p w:rsidR="00B40966" w:rsidRDefault="00B40966">
            <w:pPr>
              <w:pStyle w:val="TableColHd"/>
              <w:jc w:val="center"/>
            </w:pPr>
            <w:r>
              <w:t>maximum permissible stress in lb/in</w:t>
            </w:r>
            <w:r>
              <w:rPr>
                <w:vertAlign w:val="superscript"/>
              </w:rPr>
              <w:t>2</w:t>
            </w:r>
          </w:p>
        </w:tc>
      </w:tr>
      <w:tr w:rsidR="00B40966">
        <w:trPr>
          <w:cantSplit/>
          <w:tblHeader/>
        </w:trPr>
        <w:tc>
          <w:tcPr>
            <w:tcW w:w="1760" w:type="dxa"/>
            <w:tcBorders>
              <w:bottom w:val="single" w:sz="6" w:space="0" w:color="auto"/>
              <w:right w:val="single" w:sz="6" w:space="0" w:color="auto"/>
            </w:tcBorders>
          </w:tcPr>
          <w:p w:rsidR="00B40966" w:rsidRDefault="00B40966">
            <w:pPr>
              <w:pStyle w:val="TableColHd"/>
            </w:pPr>
            <w:r>
              <w:t>ratio of slenderness</w:t>
            </w:r>
          </w:p>
        </w:tc>
        <w:tc>
          <w:tcPr>
            <w:tcW w:w="1420" w:type="dxa"/>
            <w:tcBorders>
              <w:bottom w:val="single" w:sz="6" w:space="0" w:color="auto"/>
            </w:tcBorders>
          </w:tcPr>
          <w:p w:rsidR="00B40966" w:rsidRDefault="00B40966">
            <w:pPr>
              <w:pStyle w:val="TableColHd"/>
              <w:rPr>
                <w:sz w:val="16"/>
              </w:rPr>
            </w:pPr>
            <w:r>
              <w:rPr>
                <w:sz w:val="16"/>
              </w:rPr>
              <w:t>ironbark less than 6 in</w:t>
            </w:r>
            <w:r>
              <w:rPr>
                <w:sz w:val="16"/>
                <w:vertAlign w:val="superscript"/>
              </w:rPr>
              <w:t>2</w:t>
            </w:r>
            <w:r>
              <w:rPr>
                <w:sz w:val="16"/>
              </w:rPr>
              <w:t xml:space="preserve"> in section</w:t>
            </w:r>
          </w:p>
        </w:tc>
        <w:tc>
          <w:tcPr>
            <w:tcW w:w="142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ironbark 6 in</w:t>
            </w:r>
            <w:r>
              <w:rPr>
                <w:sz w:val="16"/>
                <w:vertAlign w:val="superscript"/>
              </w:rPr>
              <w:t>2</w:t>
            </w:r>
            <w:r>
              <w:rPr>
                <w:sz w:val="16"/>
              </w:rPr>
              <w:t xml:space="preserve"> or more in section and hardwood* less than 6 in</w:t>
            </w:r>
            <w:r>
              <w:rPr>
                <w:sz w:val="16"/>
                <w:vertAlign w:val="superscript"/>
              </w:rPr>
              <w:t>2</w:t>
            </w:r>
            <w:r>
              <w:rPr>
                <w:sz w:val="16"/>
              </w:rPr>
              <w:t xml:space="preserve"> in section</w:t>
            </w:r>
          </w:p>
        </w:tc>
        <w:tc>
          <w:tcPr>
            <w:tcW w:w="1360" w:type="dxa"/>
            <w:tcBorders>
              <w:bottom w:val="single" w:sz="6" w:space="0" w:color="auto"/>
            </w:tcBorders>
          </w:tcPr>
          <w:p w:rsidR="00B40966" w:rsidRDefault="00B40966">
            <w:pPr>
              <w:pStyle w:val="TableColHd"/>
              <w:rPr>
                <w:sz w:val="16"/>
              </w:rPr>
            </w:pPr>
            <w:r>
              <w:rPr>
                <w:sz w:val="16"/>
              </w:rPr>
              <w:t>hardwood* 6 in</w:t>
            </w:r>
            <w:r>
              <w:rPr>
                <w:sz w:val="16"/>
                <w:vertAlign w:val="superscript"/>
              </w:rPr>
              <w:t>2</w:t>
            </w:r>
            <w:r>
              <w:rPr>
                <w:sz w:val="16"/>
              </w:rPr>
              <w:t xml:space="preserve"> or more in section</w:t>
            </w:r>
          </w:p>
        </w:tc>
        <w:tc>
          <w:tcPr>
            <w:tcW w:w="1360" w:type="dxa"/>
            <w:gridSpan w:val="2"/>
            <w:tcBorders>
              <w:left w:val="single" w:sz="6" w:space="0" w:color="auto"/>
              <w:bottom w:val="single" w:sz="6" w:space="0" w:color="auto"/>
            </w:tcBorders>
          </w:tcPr>
          <w:p w:rsidR="00B40966" w:rsidRDefault="00B40966">
            <w:pPr>
              <w:pStyle w:val="TableColHd"/>
              <w:rPr>
                <w:sz w:val="16"/>
              </w:rPr>
            </w:pPr>
            <w:r>
              <w:rPr>
                <w:sz w:val="16"/>
              </w:rPr>
              <w:t>Douglas fir (Oregon pine)</w:t>
            </w:r>
          </w:p>
        </w:tc>
      </w:tr>
      <w:tr w:rsidR="00B40966">
        <w:trPr>
          <w:cantSplit/>
        </w:trPr>
        <w:tc>
          <w:tcPr>
            <w:tcW w:w="1760" w:type="dxa"/>
            <w:tcBorders>
              <w:top w:val="single" w:sz="6" w:space="0" w:color="auto"/>
              <w:right w:val="single" w:sz="6" w:space="0" w:color="auto"/>
            </w:tcBorders>
          </w:tcPr>
          <w:p w:rsidR="00B40966" w:rsidRDefault="00B40966">
            <w:pPr>
              <w:pStyle w:val="TableText"/>
            </w:pPr>
            <w:r>
              <w:t>0</w:t>
            </w:r>
            <w:r>
              <w:tab/>
            </w:r>
          </w:p>
        </w:tc>
        <w:tc>
          <w:tcPr>
            <w:tcW w:w="1420" w:type="dxa"/>
            <w:tcBorders>
              <w:top w:val="single" w:sz="6" w:space="0" w:color="auto"/>
            </w:tcBorders>
          </w:tcPr>
          <w:p w:rsidR="00B40966" w:rsidRDefault="00B40966">
            <w:pPr>
              <w:pStyle w:val="TableText"/>
              <w:jc w:val="center"/>
            </w:pPr>
            <w:r>
              <w:t>5 000</w:t>
            </w:r>
          </w:p>
        </w:tc>
        <w:tc>
          <w:tcPr>
            <w:tcW w:w="1420" w:type="dxa"/>
            <w:tcBorders>
              <w:top w:val="single" w:sz="6" w:space="0" w:color="auto"/>
              <w:left w:val="single" w:sz="6" w:space="0" w:color="auto"/>
              <w:right w:val="single" w:sz="6" w:space="0" w:color="auto"/>
            </w:tcBorders>
          </w:tcPr>
          <w:p w:rsidR="00B40966" w:rsidRDefault="00B40966">
            <w:pPr>
              <w:pStyle w:val="TableText"/>
              <w:jc w:val="center"/>
            </w:pPr>
            <w:r>
              <w:t>4 000</w:t>
            </w:r>
          </w:p>
        </w:tc>
        <w:tc>
          <w:tcPr>
            <w:tcW w:w="1360" w:type="dxa"/>
            <w:tcBorders>
              <w:top w:val="single" w:sz="6" w:space="0" w:color="auto"/>
            </w:tcBorders>
          </w:tcPr>
          <w:p w:rsidR="00B40966" w:rsidRDefault="00B40966">
            <w:pPr>
              <w:pStyle w:val="TableText"/>
              <w:jc w:val="center"/>
            </w:pPr>
            <w:r>
              <w:t>3 000</w:t>
            </w:r>
          </w:p>
        </w:tc>
        <w:tc>
          <w:tcPr>
            <w:tcW w:w="1360" w:type="dxa"/>
            <w:gridSpan w:val="2"/>
            <w:tcBorders>
              <w:top w:val="single" w:sz="6" w:space="0" w:color="auto"/>
              <w:left w:val="single" w:sz="6" w:space="0" w:color="auto"/>
            </w:tcBorders>
          </w:tcPr>
          <w:p w:rsidR="00B40966" w:rsidRDefault="00B40966">
            <w:pPr>
              <w:pStyle w:val="TableText"/>
              <w:jc w:val="center"/>
            </w:pPr>
            <w:r>
              <w:t>1 400</w:t>
            </w:r>
          </w:p>
        </w:tc>
      </w:tr>
      <w:tr w:rsidR="00B40966">
        <w:trPr>
          <w:cantSplit/>
        </w:trPr>
        <w:tc>
          <w:tcPr>
            <w:tcW w:w="1760" w:type="dxa"/>
            <w:tcBorders>
              <w:right w:val="single" w:sz="6" w:space="0" w:color="auto"/>
            </w:tcBorders>
          </w:tcPr>
          <w:p w:rsidR="00B40966" w:rsidRDefault="00B40966">
            <w:pPr>
              <w:pStyle w:val="TableText"/>
            </w:pPr>
            <w:r>
              <w:t>5</w:t>
            </w:r>
            <w:r>
              <w:tab/>
            </w:r>
          </w:p>
        </w:tc>
        <w:tc>
          <w:tcPr>
            <w:tcW w:w="1420" w:type="dxa"/>
          </w:tcPr>
          <w:p w:rsidR="00B40966" w:rsidRDefault="00B40966">
            <w:pPr>
              <w:pStyle w:val="TableText"/>
              <w:jc w:val="center"/>
            </w:pPr>
            <w:r>
              <w:t>4 390</w:t>
            </w:r>
          </w:p>
        </w:tc>
        <w:tc>
          <w:tcPr>
            <w:tcW w:w="1420" w:type="dxa"/>
            <w:tcBorders>
              <w:left w:val="single" w:sz="6" w:space="0" w:color="auto"/>
              <w:right w:val="single" w:sz="6" w:space="0" w:color="auto"/>
            </w:tcBorders>
          </w:tcPr>
          <w:p w:rsidR="00B40966" w:rsidRDefault="00B40966">
            <w:pPr>
              <w:pStyle w:val="TableText"/>
              <w:jc w:val="center"/>
            </w:pPr>
            <w:r>
              <w:t>3 560</w:t>
            </w:r>
          </w:p>
        </w:tc>
        <w:tc>
          <w:tcPr>
            <w:tcW w:w="1360" w:type="dxa"/>
          </w:tcPr>
          <w:p w:rsidR="00B40966" w:rsidRDefault="00B40966">
            <w:pPr>
              <w:pStyle w:val="TableText"/>
              <w:jc w:val="center"/>
            </w:pPr>
            <w:r>
              <w:t>2 714</w:t>
            </w:r>
          </w:p>
        </w:tc>
        <w:tc>
          <w:tcPr>
            <w:tcW w:w="1360" w:type="dxa"/>
            <w:gridSpan w:val="2"/>
            <w:tcBorders>
              <w:left w:val="single" w:sz="6" w:space="0" w:color="auto"/>
            </w:tcBorders>
          </w:tcPr>
          <w:p w:rsidR="00B40966" w:rsidRDefault="00B40966">
            <w:pPr>
              <w:pStyle w:val="TableText"/>
              <w:jc w:val="center"/>
            </w:pPr>
            <w:r>
              <w:t>1 320</w:t>
            </w:r>
          </w:p>
        </w:tc>
      </w:tr>
      <w:tr w:rsidR="00B40966">
        <w:trPr>
          <w:cantSplit/>
        </w:trPr>
        <w:tc>
          <w:tcPr>
            <w:tcW w:w="1760" w:type="dxa"/>
            <w:tcBorders>
              <w:right w:val="single" w:sz="6" w:space="0" w:color="auto"/>
            </w:tcBorders>
          </w:tcPr>
          <w:p w:rsidR="00B40966" w:rsidRDefault="00B40966">
            <w:pPr>
              <w:pStyle w:val="TableText"/>
            </w:pPr>
            <w:r>
              <w:t>10</w:t>
            </w:r>
            <w:r>
              <w:tab/>
            </w:r>
          </w:p>
        </w:tc>
        <w:tc>
          <w:tcPr>
            <w:tcW w:w="1420" w:type="dxa"/>
          </w:tcPr>
          <w:p w:rsidR="00B40966" w:rsidRDefault="00B40966">
            <w:pPr>
              <w:pStyle w:val="TableText"/>
              <w:jc w:val="center"/>
            </w:pPr>
            <w:r>
              <w:t>3 780</w:t>
            </w:r>
          </w:p>
        </w:tc>
        <w:tc>
          <w:tcPr>
            <w:tcW w:w="1420" w:type="dxa"/>
            <w:tcBorders>
              <w:left w:val="single" w:sz="6" w:space="0" w:color="auto"/>
              <w:right w:val="single" w:sz="6" w:space="0" w:color="auto"/>
            </w:tcBorders>
          </w:tcPr>
          <w:p w:rsidR="00B40966" w:rsidRDefault="00B40966">
            <w:pPr>
              <w:pStyle w:val="TableText"/>
              <w:jc w:val="center"/>
            </w:pPr>
            <w:r>
              <w:t>3 123</w:t>
            </w:r>
          </w:p>
        </w:tc>
        <w:tc>
          <w:tcPr>
            <w:tcW w:w="1360" w:type="dxa"/>
          </w:tcPr>
          <w:p w:rsidR="00B40966" w:rsidRDefault="00B40966">
            <w:pPr>
              <w:pStyle w:val="TableText"/>
              <w:jc w:val="center"/>
            </w:pPr>
            <w:r>
              <w:t>2 428</w:t>
            </w:r>
          </w:p>
        </w:tc>
        <w:tc>
          <w:tcPr>
            <w:tcW w:w="1360" w:type="dxa"/>
            <w:gridSpan w:val="2"/>
            <w:tcBorders>
              <w:left w:val="single" w:sz="6" w:space="0" w:color="auto"/>
            </w:tcBorders>
          </w:tcPr>
          <w:p w:rsidR="00B40966" w:rsidRDefault="00B40966">
            <w:pPr>
              <w:pStyle w:val="TableText"/>
              <w:jc w:val="center"/>
            </w:pPr>
            <w:r>
              <w:t>1 200</w:t>
            </w:r>
          </w:p>
        </w:tc>
      </w:tr>
      <w:tr w:rsidR="00B40966">
        <w:trPr>
          <w:cantSplit/>
        </w:trPr>
        <w:tc>
          <w:tcPr>
            <w:tcW w:w="1760" w:type="dxa"/>
            <w:tcBorders>
              <w:right w:val="single" w:sz="6" w:space="0" w:color="auto"/>
            </w:tcBorders>
          </w:tcPr>
          <w:p w:rsidR="00B40966" w:rsidRDefault="00B40966">
            <w:pPr>
              <w:pStyle w:val="TableText"/>
            </w:pPr>
            <w:r>
              <w:t>15</w:t>
            </w:r>
            <w:r>
              <w:tab/>
            </w:r>
          </w:p>
        </w:tc>
        <w:tc>
          <w:tcPr>
            <w:tcW w:w="1420" w:type="dxa"/>
          </w:tcPr>
          <w:p w:rsidR="00B40966" w:rsidRDefault="00B40966">
            <w:pPr>
              <w:pStyle w:val="TableText"/>
              <w:jc w:val="center"/>
            </w:pPr>
            <w:r>
              <w:t>3 170</w:t>
            </w:r>
          </w:p>
        </w:tc>
        <w:tc>
          <w:tcPr>
            <w:tcW w:w="1420" w:type="dxa"/>
            <w:tcBorders>
              <w:left w:val="single" w:sz="6" w:space="0" w:color="auto"/>
              <w:right w:val="single" w:sz="6" w:space="0" w:color="auto"/>
            </w:tcBorders>
          </w:tcPr>
          <w:p w:rsidR="00B40966" w:rsidRDefault="00B40966">
            <w:pPr>
              <w:pStyle w:val="TableText"/>
              <w:jc w:val="center"/>
            </w:pPr>
            <w:r>
              <w:t>2 685</w:t>
            </w:r>
          </w:p>
        </w:tc>
        <w:tc>
          <w:tcPr>
            <w:tcW w:w="1360" w:type="dxa"/>
          </w:tcPr>
          <w:p w:rsidR="00B40966" w:rsidRDefault="00B40966">
            <w:pPr>
              <w:pStyle w:val="TableText"/>
              <w:jc w:val="center"/>
            </w:pPr>
            <w:r>
              <w:t>2 144</w:t>
            </w:r>
          </w:p>
        </w:tc>
        <w:tc>
          <w:tcPr>
            <w:tcW w:w="1360" w:type="dxa"/>
            <w:gridSpan w:val="2"/>
            <w:tcBorders>
              <w:left w:val="single" w:sz="6" w:space="0" w:color="auto"/>
            </w:tcBorders>
          </w:tcPr>
          <w:p w:rsidR="00B40966" w:rsidRDefault="00B40966">
            <w:pPr>
              <w:pStyle w:val="TableText"/>
              <w:jc w:val="center"/>
            </w:pPr>
            <w:r>
              <w:t>1 080</w:t>
            </w:r>
          </w:p>
        </w:tc>
      </w:tr>
      <w:tr w:rsidR="00B40966">
        <w:trPr>
          <w:cantSplit/>
        </w:trPr>
        <w:tc>
          <w:tcPr>
            <w:tcW w:w="1760" w:type="dxa"/>
            <w:tcBorders>
              <w:right w:val="single" w:sz="6" w:space="0" w:color="auto"/>
            </w:tcBorders>
          </w:tcPr>
          <w:p w:rsidR="00B40966" w:rsidRDefault="00B40966">
            <w:pPr>
              <w:pStyle w:val="TableText"/>
            </w:pPr>
            <w:r>
              <w:t>20</w:t>
            </w:r>
            <w:r>
              <w:tab/>
            </w:r>
          </w:p>
        </w:tc>
        <w:tc>
          <w:tcPr>
            <w:tcW w:w="1420" w:type="dxa"/>
          </w:tcPr>
          <w:p w:rsidR="00B40966" w:rsidRDefault="00B40966">
            <w:pPr>
              <w:pStyle w:val="TableText"/>
              <w:jc w:val="center"/>
            </w:pPr>
            <w:r>
              <w:t>2 560</w:t>
            </w:r>
          </w:p>
        </w:tc>
        <w:tc>
          <w:tcPr>
            <w:tcW w:w="1420" w:type="dxa"/>
            <w:tcBorders>
              <w:left w:val="single" w:sz="6" w:space="0" w:color="auto"/>
              <w:right w:val="single" w:sz="6" w:space="0" w:color="auto"/>
            </w:tcBorders>
          </w:tcPr>
          <w:p w:rsidR="00B40966" w:rsidRDefault="00B40966">
            <w:pPr>
              <w:pStyle w:val="TableText"/>
              <w:jc w:val="center"/>
            </w:pPr>
            <w:r>
              <w:t>2 247</w:t>
            </w:r>
          </w:p>
        </w:tc>
        <w:tc>
          <w:tcPr>
            <w:tcW w:w="1360" w:type="dxa"/>
          </w:tcPr>
          <w:p w:rsidR="00B40966" w:rsidRDefault="00B40966">
            <w:pPr>
              <w:pStyle w:val="TableText"/>
              <w:jc w:val="center"/>
            </w:pPr>
            <w:r>
              <w:t>1 859</w:t>
            </w:r>
          </w:p>
        </w:tc>
        <w:tc>
          <w:tcPr>
            <w:tcW w:w="1360" w:type="dxa"/>
            <w:gridSpan w:val="2"/>
            <w:tcBorders>
              <w:left w:val="single" w:sz="6" w:space="0" w:color="auto"/>
            </w:tcBorders>
          </w:tcPr>
          <w:p w:rsidR="00B40966" w:rsidRDefault="00B40966">
            <w:pPr>
              <w:pStyle w:val="TableText"/>
              <w:jc w:val="center"/>
            </w:pPr>
            <w:r>
              <w:t>960</w:t>
            </w:r>
          </w:p>
        </w:tc>
      </w:tr>
      <w:tr w:rsidR="00B40966">
        <w:trPr>
          <w:cantSplit/>
        </w:trPr>
        <w:tc>
          <w:tcPr>
            <w:tcW w:w="1760" w:type="dxa"/>
            <w:tcBorders>
              <w:right w:val="single" w:sz="6" w:space="0" w:color="auto"/>
            </w:tcBorders>
          </w:tcPr>
          <w:p w:rsidR="00B40966" w:rsidRDefault="00B40966">
            <w:pPr>
              <w:pStyle w:val="TableText"/>
            </w:pPr>
            <w:r>
              <w:t>25</w:t>
            </w:r>
            <w:r>
              <w:tab/>
            </w:r>
          </w:p>
        </w:tc>
        <w:tc>
          <w:tcPr>
            <w:tcW w:w="1420" w:type="dxa"/>
          </w:tcPr>
          <w:p w:rsidR="00B40966" w:rsidRDefault="00B40966">
            <w:pPr>
              <w:pStyle w:val="TableText"/>
              <w:jc w:val="center"/>
            </w:pPr>
            <w:r>
              <w:t>1 950</w:t>
            </w:r>
          </w:p>
        </w:tc>
        <w:tc>
          <w:tcPr>
            <w:tcW w:w="1420" w:type="dxa"/>
            <w:tcBorders>
              <w:left w:val="single" w:sz="6" w:space="0" w:color="auto"/>
              <w:right w:val="single" w:sz="6" w:space="0" w:color="auto"/>
            </w:tcBorders>
          </w:tcPr>
          <w:p w:rsidR="00B40966" w:rsidRDefault="00B40966">
            <w:pPr>
              <w:pStyle w:val="TableText"/>
              <w:jc w:val="center"/>
            </w:pPr>
            <w:r>
              <w:t>1 808</w:t>
            </w:r>
          </w:p>
        </w:tc>
        <w:tc>
          <w:tcPr>
            <w:tcW w:w="1360" w:type="dxa"/>
          </w:tcPr>
          <w:p w:rsidR="00B40966" w:rsidRDefault="00B40966">
            <w:pPr>
              <w:pStyle w:val="TableText"/>
              <w:jc w:val="center"/>
            </w:pPr>
            <w:r>
              <w:t>1 574</w:t>
            </w:r>
          </w:p>
        </w:tc>
        <w:tc>
          <w:tcPr>
            <w:tcW w:w="1360" w:type="dxa"/>
            <w:gridSpan w:val="2"/>
            <w:tcBorders>
              <w:left w:val="single" w:sz="6" w:space="0" w:color="auto"/>
            </w:tcBorders>
          </w:tcPr>
          <w:p w:rsidR="00B40966" w:rsidRDefault="00B40966">
            <w:pPr>
              <w:pStyle w:val="TableText"/>
              <w:jc w:val="center"/>
            </w:pPr>
            <w:r>
              <w:t>850</w:t>
            </w:r>
          </w:p>
        </w:tc>
      </w:tr>
      <w:tr w:rsidR="00B40966">
        <w:trPr>
          <w:cantSplit/>
        </w:trPr>
        <w:tc>
          <w:tcPr>
            <w:tcW w:w="1760" w:type="dxa"/>
            <w:tcBorders>
              <w:right w:val="single" w:sz="6" w:space="0" w:color="auto"/>
            </w:tcBorders>
          </w:tcPr>
          <w:p w:rsidR="00B40966" w:rsidRDefault="00B40966">
            <w:pPr>
              <w:pStyle w:val="TableText"/>
            </w:pPr>
            <w:r>
              <w:t>30</w:t>
            </w:r>
            <w:r>
              <w:tab/>
            </w:r>
          </w:p>
        </w:tc>
        <w:tc>
          <w:tcPr>
            <w:tcW w:w="1420" w:type="dxa"/>
          </w:tcPr>
          <w:p w:rsidR="00B40966" w:rsidRDefault="00B40966">
            <w:pPr>
              <w:pStyle w:val="TableText"/>
              <w:jc w:val="center"/>
            </w:pPr>
            <w:r>
              <w:t>1 370</w:t>
            </w:r>
          </w:p>
        </w:tc>
        <w:tc>
          <w:tcPr>
            <w:tcW w:w="1420" w:type="dxa"/>
            <w:tcBorders>
              <w:left w:val="single" w:sz="6" w:space="0" w:color="auto"/>
              <w:right w:val="single" w:sz="6" w:space="0" w:color="auto"/>
            </w:tcBorders>
          </w:tcPr>
          <w:p w:rsidR="00B40966" w:rsidRDefault="00B40966">
            <w:pPr>
              <w:pStyle w:val="TableText"/>
              <w:jc w:val="center"/>
            </w:pPr>
            <w:r>
              <w:t>1 370</w:t>
            </w:r>
          </w:p>
        </w:tc>
        <w:tc>
          <w:tcPr>
            <w:tcW w:w="1360" w:type="dxa"/>
          </w:tcPr>
          <w:p w:rsidR="00B40966" w:rsidRDefault="00B40966">
            <w:pPr>
              <w:pStyle w:val="TableText"/>
              <w:jc w:val="center"/>
            </w:pPr>
            <w:r>
              <w:t>1 290</w:t>
            </w:r>
          </w:p>
        </w:tc>
        <w:tc>
          <w:tcPr>
            <w:tcW w:w="1360" w:type="dxa"/>
            <w:gridSpan w:val="2"/>
            <w:tcBorders>
              <w:left w:val="single" w:sz="6" w:space="0" w:color="auto"/>
            </w:tcBorders>
          </w:tcPr>
          <w:p w:rsidR="00B40966" w:rsidRDefault="00B40966">
            <w:pPr>
              <w:pStyle w:val="TableText"/>
              <w:jc w:val="center"/>
            </w:pPr>
            <w:r>
              <w:t>730</w:t>
            </w:r>
          </w:p>
        </w:tc>
      </w:tr>
      <w:tr w:rsidR="00B40966">
        <w:trPr>
          <w:cantSplit/>
        </w:trPr>
        <w:tc>
          <w:tcPr>
            <w:tcW w:w="1760" w:type="dxa"/>
            <w:tcBorders>
              <w:right w:val="single" w:sz="6" w:space="0" w:color="auto"/>
            </w:tcBorders>
          </w:tcPr>
          <w:p w:rsidR="00B40966" w:rsidRDefault="00B40966">
            <w:pPr>
              <w:pStyle w:val="TableText"/>
            </w:pPr>
            <w:r>
              <w:t>35</w:t>
            </w:r>
            <w:r>
              <w:tab/>
            </w:r>
          </w:p>
        </w:tc>
        <w:tc>
          <w:tcPr>
            <w:tcW w:w="1420" w:type="dxa"/>
          </w:tcPr>
          <w:p w:rsidR="00B40966" w:rsidRDefault="00B40966">
            <w:pPr>
              <w:pStyle w:val="TableText"/>
              <w:jc w:val="center"/>
            </w:pPr>
            <w:r>
              <w:t>1 005</w:t>
            </w:r>
          </w:p>
        </w:tc>
        <w:tc>
          <w:tcPr>
            <w:tcW w:w="1420" w:type="dxa"/>
            <w:tcBorders>
              <w:left w:val="single" w:sz="6" w:space="0" w:color="auto"/>
              <w:right w:val="single" w:sz="6" w:space="0" w:color="auto"/>
            </w:tcBorders>
          </w:tcPr>
          <w:p w:rsidR="00B40966" w:rsidRDefault="00B40966">
            <w:pPr>
              <w:pStyle w:val="TableText"/>
              <w:jc w:val="center"/>
            </w:pPr>
            <w:r>
              <w:t>1 005</w:t>
            </w:r>
          </w:p>
        </w:tc>
        <w:tc>
          <w:tcPr>
            <w:tcW w:w="1360" w:type="dxa"/>
          </w:tcPr>
          <w:p w:rsidR="00B40966" w:rsidRDefault="00B40966">
            <w:pPr>
              <w:pStyle w:val="TableText"/>
              <w:jc w:val="center"/>
            </w:pPr>
            <w:r>
              <w:t>1 005</w:t>
            </w:r>
          </w:p>
        </w:tc>
        <w:tc>
          <w:tcPr>
            <w:tcW w:w="1360" w:type="dxa"/>
            <w:gridSpan w:val="2"/>
            <w:tcBorders>
              <w:left w:val="single" w:sz="6" w:space="0" w:color="auto"/>
            </w:tcBorders>
          </w:tcPr>
          <w:p w:rsidR="00B40966" w:rsidRDefault="00B40966">
            <w:pPr>
              <w:pStyle w:val="TableText"/>
              <w:jc w:val="center"/>
            </w:pPr>
            <w:r>
              <w:t>610</w:t>
            </w:r>
          </w:p>
        </w:tc>
      </w:tr>
      <w:tr w:rsidR="00B40966">
        <w:trPr>
          <w:cantSplit/>
        </w:trPr>
        <w:tc>
          <w:tcPr>
            <w:tcW w:w="1760" w:type="dxa"/>
            <w:tcBorders>
              <w:right w:val="single" w:sz="6" w:space="0" w:color="auto"/>
            </w:tcBorders>
          </w:tcPr>
          <w:p w:rsidR="00B40966" w:rsidRDefault="00B40966">
            <w:pPr>
              <w:pStyle w:val="TableText"/>
            </w:pPr>
            <w:r>
              <w:t>40</w:t>
            </w:r>
            <w:r>
              <w:tab/>
            </w:r>
          </w:p>
        </w:tc>
        <w:tc>
          <w:tcPr>
            <w:tcW w:w="1420" w:type="dxa"/>
          </w:tcPr>
          <w:p w:rsidR="00B40966" w:rsidRDefault="00B40966">
            <w:pPr>
              <w:pStyle w:val="TableText"/>
              <w:jc w:val="center"/>
            </w:pPr>
            <w:r>
              <w:t>770</w:t>
            </w:r>
          </w:p>
        </w:tc>
        <w:tc>
          <w:tcPr>
            <w:tcW w:w="1420" w:type="dxa"/>
            <w:tcBorders>
              <w:left w:val="single" w:sz="6" w:space="0" w:color="auto"/>
              <w:right w:val="single" w:sz="6" w:space="0" w:color="auto"/>
            </w:tcBorders>
          </w:tcPr>
          <w:p w:rsidR="00B40966" w:rsidRDefault="00B40966">
            <w:pPr>
              <w:pStyle w:val="TableText"/>
              <w:jc w:val="center"/>
            </w:pPr>
            <w:r>
              <w:t>770</w:t>
            </w:r>
          </w:p>
        </w:tc>
        <w:tc>
          <w:tcPr>
            <w:tcW w:w="1360" w:type="dxa"/>
          </w:tcPr>
          <w:p w:rsidR="00B40966" w:rsidRDefault="00B40966">
            <w:pPr>
              <w:pStyle w:val="TableText"/>
              <w:jc w:val="center"/>
            </w:pPr>
            <w:r>
              <w:t>770</w:t>
            </w:r>
          </w:p>
        </w:tc>
        <w:tc>
          <w:tcPr>
            <w:tcW w:w="1360" w:type="dxa"/>
            <w:gridSpan w:val="2"/>
            <w:tcBorders>
              <w:left w:val="single" w:sz="6" w:space="0" w:color="auto"/>
            </w:tcBorders>
          </w:tcPr>
          <w:p w:rsidR="00B40966" w:rsidRDefault="00B40966">
            <w:pPr>
              <w:pStyle w:val="TableText"/>
              <w:jc w:val="center"/>
            </w:pPr>
            <w:r>
              <w:t>490</w:t>
            </w:r>
          </w:p>
        </w:tc>
      </w:tr>
      <w:tr w:rsidR="00B40966">
        <w:trPr>
          <w:cantSplit/>
        </w:trPr>
        <w:tc>
          <w:tcPr>
            <w:tcW w:w="1760" w:type="dxa"/>
            <w:tcBorders>
              <w:right w:val="single" w:sz="6" w:space="0" w:color="auto"/>
            </w:tcBorders>
          </w:tcPr>
          <w:p w:rsidR="00B40966" w:rsidRDefault="00B40966">
            <w:pPr>
              <w:pStyle w:val="TableText"/>
            </w:pPr>
            <w:r>
              <w:t>45</w:t>
            </w:r>
            <w:r>
              <w:tab/>
            </w:r>
          </w:p>
        </w:tc>
        <w:tc>
          <w:tcPr>
            <w:tcW w:w="1420" w:type="dxa"/>
          </w:tcPr>
          <w:p w:rsidR="00B40966" w:rsidRDefault="00B40966">
            <w:pPr>
              <w:pStyle w:val="TableText"/>
              <w:jc w:val="center"/>
            </w:pPr>
            <w:r>
              <w:t>608</w:t>
            </w:r>
          </w:p>
        </w:tc>
        <w:tc>
          <w:tcPr>
            <w:tcW w:w="1420" w:type="dxa"/>
            <w:tcBorders>
              <w:left w:val="single" w:sz="6" w:space="0" w:color="auto"/>
              <w:right w:val="single" w:sz="6" w:space="0" w:color="auto"/>
            </w:tcBorders>
          </w:tcPr>
          <w:p w:rsidR="00B40966" w:rsidRDefault="00B40966">
            <w:pPr>
              <w:pStyle w:val="TableText"/>
              <w:jc w:val="center"/>
            </w:pPr>
            <w:r>
              <w:t>608</w:t>
            </w:r>
          </w:p>
        </w:tc>
        <w:tc>
          <w:tcPr>
            <w:tcW w:w="1360" w:type="dxa"/>
          </w:tcPr>
          <w:p w:rsidR="00B40966" w:rsidRDefault="00B40966">
            <w:pPr>
              <w:pStyle w:val="TableText"/>
              <w:jc w:val="center"/>
            </w:pPr>
            <w:r>
              <w:t>608</w:t>
            </w:r>
          </w:p>
        </w:tc>
        <w:tc>
          <w:tcPr>
            <w:tcW w:w="1360" w:type="dxa"/>
            <w:gridSpan w:val="2"/>
            <w:tcBorders>
              <w:left w:val="single" w:sz="6" w:space="0" w:color="auto"/>
            </w:tcBorders>
          </w:tcPr>
          <w:p w:rsidR="00B40966" w:rsidRDefault="00B40966">
            <w:pPr>
              <w:pStyle w:val="TableText"/>
              <w:jc w:val="center"/>
            </w:pPr>
            <w:r>
              <w:t>384</w:t>
            </w:r>
          </w:p>
        </w:tc>
      </w:tr>
      <w:tr w:rsidR="00B40966">
        <w:trPr>
          <w:cantSplit/>
        </w:trPr>
        <w:tc>
          <w:tcPr>
            <w:tcW w:w="1760" w:type="dxa"/>
            <w:tcBorders>
              <w:right w:val="single" w:sz="6" w:space="0" w:color="auto"/>
            </w:tcBorders>
          </w:tcPr>
          <w:p w:rsidR="00B40966" w:rsidRDefault="00B40966">
            <w:pPr>
              <w:pStyle w:val="TableText"/>
            </w:pPr>
            <w:r>
              <w:t>50</w:t>
            </w:r>
            <w:r>
              <w:tab/>
            </w:r>
          </w:p>
        </w:tc>
        <w:tc>
          <w:tcPr>
            <w:tcW w:w="1420" w:type="dxa"/>
          </w:tcPr>
          <w:p w:rsidR="00B40966" w:rsidRDefault="00B40966">
            <w:pPr>
              <w:pStyle w:val="TableText"/>
              <w:jc w:val="center"/>
            </w:pPr>
            <w:r>
              <w:t>493</w:t>
            </w:r>
          </w:p>
        </w:tc>
        <w:tc>
          <w:tcPr>
            <w:tcW w:w="1420" w:type="dxa"/>
            <w:tcBorders>
              <w:left w:val="single" w:sz="6" w:space="0" w:color="auto"/>
              <w:right w:val="single" w:sz="6" w:space="0" w:color="auto"/>
            </w:tcBorders>
          </w:tcPr>
          <w:p w:rsidR="00B40966" w:rsidRDefault="00B40966">
            <w:pPr>
              <w:pStyle w:val="TableText"/>
              <w:jc w:val="center"/>
            </w:pPr>
            <w:r>
              <w:t>493</w:t>
            </w:r>
          </w:p>
        </w:tc>
        <w:tc>
          <w:tcPr>
            <w:tcW w:w="1360" w:type="dxa"/>
          </w:tcPr>
          <w:p w:rsidR="00B40966" w:rsidRDefault="00B40966">
            <w:pPr>
              <w:pStyle w:val="TableText"/>
              <w:jc w:val="center"/>
            </w:pPr>
            <w:r>
              <w:t>493</w:t>
            </w:r>
          </w:p>
        </w:tc>
        <w:tc>
          <w:tcPr>
            <w:tcW w:w="1360" w:type="dxa"/>
            <w:gridSpan w:val="2"/>
            <w:tcBorders>
              <w:left w:val="single" w:sz="6" w:space="0" w:color="auto"/>
            </w:tcBorders>
          </w:tcPr>
          <w:p w:rsidR="00B40966" w:rsidRDefault="00B40966">
            <w:pPr>
              <w:pStyle w:val="TableText"/>
              <w:jc w:val="center"/>
            </w:pPr>
            <w:r>
              <w:t>312</w:t>
            </w:r>
          </w:p>
        </w:tc>
      </w:tr>
      <w:tr w:rsidR="00B40966">
        <w:trPr>
          <w:cantSplit/>
        </w:trPr>
        <w:tc>
          <w:tcPr>
            <w:tcW w:w="1760" w:type="dxa"/>
            <w:tcBorders>
              <w:right w:val="single" w:sz="6" w:space="0" w:color="auto"/>
            </w:tcBorders>
          </w:tcPr>
          <w:p w:rsidR="00B40966" w:rsidRDefault="00B40966">
            <w:pPr>
              <w:pStyle w:val="TableText"/>
            </w:pPr>
            <w:r>
              <w:t>55</w:t>
            </w:r>
            <w:r>
              <w:tab/>
            </w:r>
          </w:p>
        </w:tc>
        <w:tc>
          <w:tcPr>
            <w:tcW w:w="1420" w:type="dxa"/>
          </w:tcPr>
          <w:p w:rsidR="00B40966" w:rsidRDefault="00B40966">
            <w:pPr>
              <w:pStyle w:val="TableText"/>
              <w:jc w:val="center"/>
            </w:pPr>
            <w:r>
              <w:t>407</w:t>
            </w:r>
          </w:p>
        </w:tc>
        <w:tc>
          <w:tcPr>
            <w:tcW w:w="1420" w:type="dxa"/>
            <w:tcBorders>
              <w:left w:val="single" w:sz="6" w:space="0" w:color="auto"/>
              <w:right w:val="single" w:sz="6" w:space="0" w:color="auto"/>
            </w:tcBorders>
          </w:tcPr>
          <w:p w:rsidR="00B40966" w:rsidRDefault="00B40966">
            <w:pPr>
              <w:pStyle w:val="TableText"/>
              <w:jc w:val="center"/>
            </w:pPr>
            <w:r>
              <w:t>407</w:t>
            </w:r>
          </w:p>
        </w:tc>
        <w:tc>
          <w:tcPr>
            <w:tcW w:w="1360" w:type="dxa"/>
          </w:tcPr>
          <w:p w:rsidR="00B40966" w:rsidRDefault="00B40966">
            <w:pPr>
              <w:pStyle w:val="TableText"/>
              <w:jc w:val="center"/>
            </w:pPr>
            <w:r>
              <w:t>407</w:t>
            </w:r>
          </w:p>
        </w:tc>
        <w:tc>
          <w:tcPr>
            <w:tcW w:w="1360" w:type="dxa"/>
            <w:gridSpan w:val="2"/>
            <w:tcBorders>
              <w:left w:val="single" w:sz="6" w:space="0" w:color="auto"/>
            </w:tcBorders>
          </w:tcPr>
          <w:p w:rsidR="00B40966" w:rsidRDefault="00B40966">
            <w:pPr>
              <w:pStyle w:val="TableText"/>
              <w:jc w:val="center"/>
            </w:pPr>
            <w:r>
              <w:t>262</w:t>
            </w:r>
          </w:p>
        </w:tc>
      </w:tr>
      <w:tr w:rsidR="00B40966">
        <w:trPr>
          <w:cantSplit/>
        </w:trPr>
        <w:tc>
          <w:tcPr>
            <w:tcW w:w="1760" w:type="dxa"/>
            <w:tcBorders>
              <w:right w:val="single" w:sz="6" w:space="0" w:color="auto"/>
            </w:tcBorders>
          </w:tcPr>
          <w:p w:rsidR="00B40966" w:rsidRDefault="00B40966">
            <w:pPr>
              <w:pStyle w:val="TableText"/>
            </w:pPr>
            <w:r>
              <w:t>60</w:t>
            </w:r>
            <w:r>
              <w:tab/>
            </w:r>
          </w:p>
        </w:tc>
        <w:tc>
          <w:tcPr>
            <w:tcW w:w="1420" w:type="dxa"/>
          </w:tcPr>
          <w:p w:rsidR="00B40966" w:rsidRDefault="00B40966">
            <w:pPr>
              <w:pStyle w:val="TableText"/>
              <w:jc w:val="center"/>
            </w:pPr>
            <w:r>
              <w:t>342</w:t>
            </w:r>
          </w:p>
        </w:tc>
        <w:tc>
          <w:tcPr>
            <w:tcW w:w="1420" w:type="dxa"/>
            <w:tcBorders>
              <w:left w:val="single" w:sz="6" w:space="0" w:color="auto"/>
              <w:right w:val="single" w:sz="6" w:space="0" w:color="auto"/>
            </w:tcBorders>
          </w:tcPr>
          <w:p w:rsidR="00B40966" w:rsidRDefault="00B40966">
            <w:pPr>
              <w:pStyle w:val="TableText"/>
              <w:jc w:val="center"/>
            </w:pPr>
            <w:r>
              <w:t>342</w:t>
            </w:r>
          </w:p>
        </w:tc>
        <w:tc>
          <w:tcPr>
            <w:tcW w:w="1360" w:type="dxa"/>
          </w:tcPr>
          <w:p w:rsidR="00B40966" w:rsidRDefault="00B40966">
            <w:pPr>
              <w:pStyle w:val="TableText"/>
              <w:jc w:val="center"/>
            </w:pPr>
            <w:r>
              <w:t>342</w:t>
            </w:r>
          </w:p>
        </w:tc>
        <w:tc>
          <w:tcPr>
            <w:tcW w:w="1360" w:type="dxa"/>
            <w:gridSpan w:val="2"/>
            <w:tcBorders>
              <w:left w:val="single" w:sz="6" w:space="0" w:color="auto"/>
            </w:tcBorders>
          </w:tcPr>
          <w:p w:rsidR="00B40966" w:rsidRDefault="00B40966">
            <w:pPr>
              <w:pStyle w:val="TableText"/>
              <w:jc w:val="center"/>
            </w:pPr>
            <w:r>
              <w:t>222</w:t>
            </w:r>
          </w:p>
        </w:tc>
      </w:tr>
      <w:tr w:rsidR="00B40966">
        <w:trPr>
          <w:cantSplit/>
        </w:trPr>
        <w:tc>
          <w:tcPr>
            <w:tcW w:w="1760" w:type="dxa"/>
            <w:tcBorders>
              <w:right w:val="single" w:sz="6" w:space="0" w:color="auto"/>
            </w:tcBorders>
          </w:tcPr>
          <w:p w:rsidR="00B40966" w:rsidRDefault="00B40966">
            <w:pPr>
              <w:pStyle w:val="TableText"/>
            </w:pPr>
            <w:r>
              <w:t>65</w:t>
            </w:r>
            <w:r>
              <w:tab/>
            </w:r>
          </w:p>
        </w:tc>
        <w:tc>
          <w:tcPr>
            <w:tcW w:w="1420" w:type="dxa"/>
          </w:tcPr>
          <w:p w:rsidR="00B40966" w:rsidRDefault="00B40966">
            <w:pPr>
              <w:pStyle w:val="TableText"/>
              <w:jc w:val="center"/>
            </w:pPr>
            <w:r>
              <w:t>292</w:t>
            </w:r>
          </w:p>
        </w:tc>
        <w:tc>
          <w:tcPr>
            <w:tcW w:w="1420" w:type="dxa"/>
            <w:tcBorders>
              <w:left w:val="single" w:sz="6" w:space="0" w:color="auto"/>
              <w:right w:val="single" w:sz="6" w:space="0" w:color="auto"/>
            </w:tcBorders>
          </w:tcPr>
          <w:p w:rsidR="00B40966" w:rsidRDefault="00B40966">
            <w:pPr>
              <w:pStyle w:val="TableText"/>
              <w:jc w:val="center"/>
            </w:pPr>
            <w:r>
              <w:t>292</w:t>
            </w:r>
          </w:p>
        </w:tc>
        <w:tc>
          <w:tcPr>
            <w:tcW w:w="1360" w:type="dxa"/>
          </w:tcPr>
          <w:p w:rsidR="00B40966" w:rsidRDefault="00B40966">
            <w:pPr>
              <w:pStyle w:val="TableText"/>
              <w:jc w:val="center"/>
            </w:pPr>
            <w:r>
              <w:t>292</w:t>
            </w:r>
          </w:p>
        </w:tc>
        <w:tc>
          <w:tcPr>
            <w:tcW w:w="1360" w:type="dxa"/>
            <w:gridSpan w:val="2"/>
            <w:tcBorders>
              <w:left w:val="single" w:sz="6" w:space="0" w:color="auto"/>
            </w:tcBorders>
          </w:tcPr>
          <w:p w:rsidR="00B40966" w:rsidRDefault="00B40966">
            <w:pPr>
              <w:pStyle w:val="TableText"/>
              <w:jc w:val="center"/>
            </w:pPr>
            <w:r>
              <w:t>192</w:t>
            </w:r>
          </w:p>
        </w:tc>
      </w:tr>
      <w:tr w:rsidR="00B40966">
        <w:trPr>
          <w:cantSplit/>
        </w:trPr>
        <w:tc>
          <w:tcPr>
            <w:tcW w:w="1760" w:type="dxa"/>
            <w:tcBorders>
              <w:right w:val="single" w:sz="6" w:space="0" w:color="auto"/>
            </w:tcBorders>
          </w:tcPr>
          <w:p w:rsidR="00B40966" w:rsidRDefault="00B40966">
            <w:pPr>
              <w:pStyle w:val="TableText"/>
            </w:pPr>
            <w:r>
              <w:t>70</w:t>
            </w:r>
            <w:r>
              <w:tab/>
            </w:r>
          </w:p>
        </w:tc>
        <w:tc>
          <w:tcPr>
            <w:tcW w:w="1420" w:type="dxa"/>
          </w:tcPr>
          <w:p w:rsidR="00B40966" w:rsidRDefault="00B40966">
            <w:pPr>
              <w:pStyle w:val="TableText"/>
              <w:jc w:val="center"/>
            </w:pPr>
            <w:r>
              <w:t>252</w:t>
            </w:r>
          </w:p>
        </w:tc>
        <w:tc>
          <w:tcPr>
            <w:tcW w:w="1420" w:type="dxa"/>
            <w:tcBorders>
              <w:left w:val="single" w:sz="6" w:space="0" w:color="auto"/>
              <w:right w:val="single" w:sz="6" w:space="0" w:color="auto"/>
            </w:tcBorders>
          </w:tcPr>
          <w:p w:rsidR="00B40966" w:rsidRDefault="00B40966">
            <w:pPr>
              <w:pStyle w:val="TableText"/>
              <w:jc w:val="center"/>
            </w:pPr>
            <w:r>
              <w:t>252</w:t>
            </w:r>
          </w:p>
        </w:tc>
        <w:tc>
          <w:tcPr>
            <w:tcW w:w="1360" w:type="dxa"/>
          </w:tcPr>
          <w:p w:rsidR="00B40966" w:rsidRDefault="00B40966">
            <w:pPr>
              <w:pStyle w:val="TableText"/>
              <w:jc w:val="center"/>
            </w:pPr>
            <w:r>
              <w:t>252</w:t>
            </w:r>
          </w:p>
        </w:tc>
        <w:tc>
          <w:tcPr>
            <w:tcW w:w="1360" w:type="dxa"/>
            <w:gridSpan w:val="2"/>
            <w:tcBorders>
              <w:left w:val="single" w:sz="6" w:space="0" w:color="auto"/>
            </w:tcBorders>
          </w:tcPr>
          <w:p w:rsidR="00B40966" w:rsidRDefault="00B40966">
            <w:pPr>
              <w:pStyle w:val="TableText"/>
              <w:jc w:val="center"/>
            </w:pPr>
            <w:r>
              <w:t>168</w:t>
            </w:r>
          </w:p>
        </w:tc>
      </w:tr>
      <w:tr w:rsidR="00B40966">
        <w:trPr>
          <w:cantSplit/>
        </w:trPr>
        <w:tc>
          <w:tcPr>
            <w:tcW w:w="1760" w:type="dxa"/>
            <w:tcBorders>
              <w:right w:val="single" w:sz="6" w:space="0" w:color="auto"/>
            </w:tcBorders>
          </w:tcPr>
          <w:p w:rsidR="00B40966" w:rsidRDefault="00B40966">
            <w:pPr>
              <w:pStyle w:val="TableText"/>
            </w:pPr>
            <w:r>
              <w:t>75</w:t>
            </w:r>
            <w:r>
              <w:tab/>
            </w:r>
          </w:p>
        </w:tc>
        <w:tc>
          <w:tcPr>
            <w:tcW w:w="1420" w:type="dxa"/>
          </w:tcPr>
          <w:p w:rsidR="00B40966" w:rsidRDefault="00B40966">
            <w:pPr>
              <w:pStyle w:val="TableText"/>
              <w:jc w:val="center"/>
            </w:pPr>
            <w:r>
              <w:t>219</w:t>
            </w:r>
          </w:p>
        </w:tc>
        <w:tc>
          <w:tcPr>
            <w:tcW w:w="1420" w:type="dxa"/>
            <w:tcBorders>
              <w:left w:val="single" w:sz="6" w:space="0" w:color="auto"/>
              <w:right w:val="single" w:sz="6" w:space="0" w:color="auto"/>
            </w:tcBorders>
          </w:tcPr>
          <w:p w:rsidR="00B40966" w:rsidRDefault="00B40966">
            <w:pPr>
              <w:pStyle w:val="TableText"/>
              <w:jc w:val="center"/>
            </w:pPr>
            <w:r>
              <w:t>219</w:t>
            </w:r>
          </w:p>
        </w:tc>
        <w:tc>
          <w:tcPr>
            <w:tcW w:w="1360" w:type="dxa"/>
          </w:tcPr>
          <w:p w:rsidR="00B40966" w:rsidRDefault="00B40966">
            <w:pPr>
              <w:pStyle w:val="TableText"/>
              <w:jc w:val="center"/>
            </w:pPr>
            <w:r>
              <w:t>219</w:t>
            </w:r>
          </w:p>
        </w:tc>
        <w:tc>
          <w:tcPr>
            <w:tcW w:w="1360" w:type="dxa"/>
            <w:gridSpan w:val="2"/>
            <w:tcBorders>
              <w:left w:val="single" w:sz="6" w:space="0" w:color="auto"/>
            </w:tcBorders>
          </w:tcPr>
          <w:p w:rsidR="00B40966" w:rsidRDefault="00B40966">
            <w:pPr>
              <w:pStyle w:val="TableText"/>
              <w:jc w:val="center"/>
            </w:pPr>
            <w:r>
              <w:t>140</w:t>
            </w:r>
          </w:p>
        </w:tc>
      </w:tr>
      <w:tr w:rsidR="00B40966">
        <w:trPr>
          <w:cantSplit/>
        </w:trPr>
        <w:tc>
          <w:tcPr>
            <w:tcW w:w="1760" w:type="dxa"/>
            <w:tcBorders>
              <w:right w:val="single" w:sz="6" w:space="0" w:color="auto"/>
            </w:tcBorders>
          </w:tcPr>
          <w:p w:rsidR="00B40966" w:rsidRDefault="00B40966">
            <w:pPr>
              <w:pStyle w:val="TableText"/>
            </w:pPr>
            <w:r>
              <w:t>80</w:t>
            </w:r>
            <w:r>
              <w:tab/>
            </w:r>
          </w:p>
        </w:tc>
        <w:tc>
          <w:tcPr>
            <w:tcW w:w="1420" w:type="dxa"/>
          </w:tcPr>
          <w:p w:rsidR="00B40966" w:rsidRDefault="00B40966">
            <w:pPr>
              <w:pStyle w:val="TableText"/>
              <w:jc w:val="center"/>
            </w:pPr>
            <w:r>
              <w:t>192</w:t>
            </w:r>
          </w:p>
        </w:tc>
        <w:tc>
          <w:tcPr>
            <w:tcW w:w="1420" w:type="dxa"/>
            <w:tcBorders>
              <w:left w:val="single" w:sz="6" w:space="0" w:color="auto"/>
              <w:right w:val="single" w:sz="6" w:space="0" w:color="auto"/>
            </w:tcBorders>
          </w:tcPr>
          <w:p w:rsidR="00B40966" w:rsidRDefault="00B40966">
            <w:pPr>
              <w:pStyle w:val="TableText"/>
              <w:jc w:val="center"/>
            </w:pPr>
            <w:r>
              <w:t>192</w:t>
            </w:r>
          </w:p>
        </w:tc>
        <w:tc>
          <w:tcPr>
            <w:tcW w:w="1360" w:type="dxa"/>
          </w:tcPr>
          <w:p w:rsidR="00B40966" w:rsidRDefault="00B40966">
            <w:pPr>
              <w:pStyle w:val="TableText"/>
              <w:jc w:val="center"/>
            </w:pPr>
            <w:r>
              <w:t>192</w:t>
            </w:r>
          </w:p>
        </w:tc>
        <w:tc>
          <w:tcPr>
            <w:tcW w:w="1360" w:type="dxa"/>
            <w:gridSpan w:val="2"/>
            <w:tcBorders>
              <w:left w:val="single" w:sz="6" w:space="0" w:color="auto"/>
            </w:tcBorders>
          </w:tcPr>
          <w:p w:rsidR="00B40966" w:rsidRDefault="00B40966">
            <w:pPr>
              <w:pStyle w:val="TableText"/>
              <w:jc w:val="center"/>
            </w:pPr>
            <w:r>
              <w:t>120</w:t>
            </w:r>
          </w:p>
        </w:tc>
      </w:tr>
      <w:tr w:rsidR="00B40966">
        <w:trPr>
          <w:cantSplit/>
        </w:trPr>
        <w:tc>
          <w:tcPr>
            <w:tcW w:w="1760" w:type="dxa"/>
            <w:tcBorders>
              <w:right w:val="single" w:sz="6" w:space="0" w:color="auto"/>
            </w:tcBorders>
          </w:tcPr>
          <w:p w:rsidR="00B40966" w:rsidRDefault="00B40966">
            <w:pPr>
              <w:pStyle w:val="TableText"/>
            </w:pPr>
            <w:r>
              <w:t>85</w:t>
            </w:r>
            <w:r>
              <w:tab/>
            </w:r>
          </w:p>
        </w:tc>
        <w:tc>
          <w:tcPr>
            <w:tcW w:w="1420" w:type="dxa"/>
          </w:tcPr>
          <w:p w:rsidR="00B40966" w:rsidRDefault="00B40966">
            <w:pPr>
              <w:pStyle w:val="TableText"/>
              <w:jc w:val="center"/>
            </w:pPr>
            <w:r>
              <w:t>170</w:t>
            </w:r>
          </w:p>
        </w:tc>
        <w:tc>
          <w:tcPr>
            <w:tcW w:w="1420" w:type="dxa"/>
            <w:tcBorders>
              <w:left w:val="single" w:sz="6" w:space="0" w:color="auto"/>
              <w:right w:val="single" w:sz="6" w:space="0" w:color="auto"/>
            </w:tcBorders>
          </w:tcPr>
          <w:p w:rsidR="00B40966" w:rsidRDefault="00B40966">
            <w:pPr>
              <w:pStyle w:val="TableText"/>
              <w:jc w:val="center"/>
            </w:pPr>
            <w:r>
              <w:t>170</w:t>
            </w:r>
          </w:p>
        </w:tc>
        <w:tc>
          <w:tcPr>
            <w:tcW w:w="1360" w:type="dxa"/>
          </w:tcPr>
          <w:p w:rsidR="00B40966" w:rsidRDefault="00B40966">
            <w:pPr>
              <w:pStyle w:val="TableText"/>
              <w:jc w:val="center"/>
            </w:pPr>
            <w:r>
              <w:t>170</w:t>
            </w:r>
          </w:p>
        </w:tc>
        <w:tc>
          <w:tcPr>
            <w:tcW w:w="1360" w:type="dxa"/>
            <w:gridSpan w:val="2"/>
            <w:tcBorders>
              <w:left w:val="single" w:sz="6" w:space="0" w:color="auto"/>
            </w:tcBorders>
          </w:tcPr>
          <w:p w:rsidR="00B40966" w:rsidRDefault="00B40966">
            <w:pPr>
              <w:pStyle w:val="TableText"/>
              <w:jc w:val="center"/>
            </w:pPr>
            <w:r>
              <w:t>113</w:t>
            </w:r>
          </w:p>
        </w:tc>
      </w:tr>
      <w:tr w:rsidR="00B40966">
        <w:trPr>
          <w:cantSplit/>
        </w:trPr>
        <w:tc>
          <w:tcPr>
            <w:tcW w:w="1760" w:type="dxa"/>
            <w:tcBorders>
              <w:bottom w:val="single" w:sz="6" w:space="0" w:color="auto"/>
              <w:right w:val="single" w:sz="6" w:space="0" w:color="auto"/>
            </w:tcBorders>
          </w:tcPr>
          <w:p w:rsidR="00B40966" w:rsidRDefault="00B40966">
            <w:pPr>
              <w:pStyle w:val="TableText"/>
            </w:pPr>
            <w:r>
              <w:t>90</w:t>
            </w:r>
            <w:r>
              <w:tab/>
            </w:r>
          </w:p>
        </w:tc>
        <w:tc>
          <w:tcPr>
            <w:tcW w:w="1420" w:type="dxa"/>
            <w:tcBorders>
              <w:bottom w:val="single" w:sz="6" w:space="0" w:color="auto"/>
            </w:tcBorders>
          </w:tcPr>
          <w:p w:rsidR="00B40966" w:rsidRDefault="00B40966">
            <w:pPr>
              <w:pStyle w:val="TableText"/>
              <w:jc w:val="center"/>
            </w:pPr>
            <w:r>
              <w:t>152</w:t>
            </w:r>
          </w:p>
        </w:tc>
        <w:tc>
          <w:tcPr>
            <w:tcW w:w="1420" w:type="dxa"/>
            <w:tcBorders>
              <w:left w:val="single" w:sz="6" w:space="0" w:color="auto"/>
              <w:bottom w:val="single" w:sz="6" w:space="0" w:color="auto"/>
              <w:right w:val="single" w:sz="6" w:space="0" w:color="auto"/>
            </w:tcBorders>
          </w:tcPr>
          <w:p w:rsidR="00B40966" w:rsidRDefault="00B40966">
            <w:pPr>
              <w:pStyle w:val="TableText"/>
              <w:jc w:val="center"/>
            </w:pPr>
            <w:r>
              <w:t>152</w:t>
            </w:r>
          </w:p>
        </w:tc>
        <w:tc>
          <w:tcPr>
            <w:tcW w:w="1360" w:type="dxa"/>
            <w:tcBorders>
              <w:bottom w:val="single" w:sz="6" w:space="0" w:color="auto"/>
            </w:tcBorders>
          </w:tcPr>
          <w:p w:rsidR="00B40966" w:rsidRDefault="00B40966">
            <w:pPr>
              <w:pStyle w:val="TableText"/>
              <w:jc w:val="center"/>
            </w:pPr>
            <w:r>
              <w:t>152</w:t>
            </w:r>
          </w:p>
        </w:tc>
        <w:tc>
          <w:tcPr>
            <w:tcW w:w="1360" w:type="dxa"/>
            <w:gridSpan w:val="2"/>
            <w:tcBorders>
              <w:left w:val="single" w:sz="6" w:space="0" w:color="auto"/>
              <w:bottom w:val="single" w:sz="6" w:space="0" w:color="auto"/>
            </w:tcBorders>
          </w:tcPr>
          <w:p w:rsidR="00B40966" w:rsidRDefault="00B40966">
            <w:pPr>
              <w:pStyle w:val="TableText"/>
              <w:jc w:val="center"/>
            </w:pPr>
            <w:r>
              <w:t>102</w:t>
            </w:r>
          </w:p>
        </w:tc>
      </w:tr>
    </w:tbl>
    <w:p w:rsidR="00B40966" w:rsidRDefault="00B40966">
      <w:pPr>
        <w:pStyle w:val="Amain"/>
        <w:ind w:left="228" w:hanging="312"/>
        <w:rPr>
          <w:sz w:val="20"/>
        </w:rPr>
      </w:pPr>
      <w:r>
        <w:rPr>
          <w:color w:val="000000"/>
          <w:sz w:val="20"/>
        </w:rPr>
        <w:tab/>
        <w:t>Permissible</w:t>
      </w:r>
      <w:r>
        <w:rPr>
          <w:sz w:val="20"/>
        </w:rPr>
        <w:t xml:space="preserve"> stresses for intermediate ratios of slenderness should be interpolated.</w:t>
      </w:r>
    </w:p>
    <w:p w:rsidR="00B40966" w:rsidRDefault="00B40966">
      <w:pPr>
        <w:pStyle w:val="Amain"/>
        <w:ind w:left="228" w:hanging="312"/>
        <w:rPr>
          <w:sz w:val="20"/>
        </w:rPr>
      </w:pPr>
      <w:r>
        <w:rPr>
          <w:color w:val="000000"/>
          <w:sz w:val="20"/>
        </w:rPr>
        <w:tab/>
        <w:t>Refer</w:t>
      </w:r>
      <w:r>
        <w:rPr>
          <w:sz w:val="20"/>
        </w:rPr>
        <w:t xml:space="preserve"> to s 131 about quality of timber.</w:t>
      </w:r>
    </w:p>
    <w:p w:rsidR="00B40966" w:rsidRDefault="00B40966">
      <w:pPr>
        <w:pStyle w:val="Amain"/>
        <w:ind w:left="228" w:hanging="312"/>
        <w:rPr>
          <w:sz w:val="20"/>
        </w:rPr>
      </w:pPr>
      <w:r>
        <w:rPr>
          <w:sz w:val="20"/>
        </w:rPr>
        <w:t>*</w:t>
      </w:r>
      <w:r>
        <w:rPr>
          <w:sz w:val="20"/>
        </w:rPr>
        <w:tab/>
      </w:r>
      <w:r>
        <w:rPr>
          <w:color w:val="000000"/>
          <w:sz w:val="20"/>
        </w:rPr>
        <w:t>Hardwood</w:t>
      </w:r>
      <w:r>
        <w:rPr>
          <w:sz w:val="20"/>
        </w:rPr>
        <w:t xml:space="preserve"> includes only Australian Hardwoods of approximately the same strength and reliability as Spotted Gum.</w:t>
      </w:r>
    </w:p>
    <w:p w:rsidR="00B40966" w:rsidRDefault="00B40966"/>
    <w:p w:rsidR="00B40966" w:rsidRDefault="00B40966">
      <w:pPr>
        <w:pStyle w:val="Amain"/>
      </w:pPr>
      <w:r>
        <w:rPr>
          <w:color w:val="000000"/>
        </w:rPr>
        <w:tab/>
        <w:t>(49)</w:t>
      </w:r>
      <w:r>
        <w:rPr>
          <w:color w:val="000000"/>
        </w:rPr>
        <w:tab/>
        <w:t>If a timber member is subject to simultaneous axial compression and transverse stress it shall be designed as a beam, or if free at 1 end, a cantilever, in which the maximum transverse stress is determined by the formula—</w:t>
      </w:r>
    </w:p>
    <w:tbl>
      <w:tblPr>
        <w:tblW w:w="0" w:type="auto"/>
        <w:tblInd w:w="800" w:type="dxa"/>
        <w:tblLayout w:type="fixed"/>
        <w:tblCellMar>
          <w:left w:w="80" w:type="dxa"/>
          <w:right w:w="80" w:type="dxa"/>
        </w:tblCellMar>
        <w:tblLook w:val="0000" w:firstRow="0" w:lastRow="0" w:firstColumn="0" w:lastColumn="0" w:noHBand="0" w:noVBand="0"/>
      </w:tblPr>
      <w:tblGrid>
        <w:gridCol w:w="360"/>
        <w:gridCol w:w="720"/>
        <w:gridCol w:w="1080"/>
        <w:gridCol w:w="360"/>
        <w:gridCol w:w="3960"/>
      </w:tblGrid>
      <w:tr w:rsidR="00B40966">
        <w:trPr>
          <w:cantSplit/>
        </w:trPr>
        <w:tc>
          <w:tcPr>
            <w:tcW w:w="360" w:type="dxa"/>
          </w:tcPr>
          <w:p w:rsidR="00B40966" w:rsidRDefault="00B40966">
            <w:pPr>
              <w:pStyle w:val="allsections"/>
              <w:ind w:firstLine="0"/>
              <w:jc w:val="left"/>
              <w:rPr>
                <w:color w:val="000000"/>
                <w:sz w:val="48"/>
              </w:rPr>
            </w:pPr>
            <w:r>
              <w:rPr>
                <w:color w:val="000000"/>
                <w:sz w:val="48"/>
              </w:rPr>
              <w:t>(</w:t>
            </w:r>
          </w:p>
        </w:tc>
        <w:tc>
          <w:tcPr>
            <w:tcW w:w="720" w:type="dxa"/>
          </w:tcPr>
          <w:p w:rsidR="00B40966" w:rsidRDefault="00B40966">
            <w:pPr>
              <w:pStyle w:val="allsections"/>
              <w:ind w:firstLine="0"/>
              <w:jc w:val="left"/>
              <w:rPr>
                <w:color w:val="000000"/>
              </w:rPr>
            </w:pPr>
            <w:r>
              <w:rPr>
                <w:color w:val="000000"/>
              </w:rPr>
              <w:fldChar w:fldCharType="begin"/>
            </w:r>
            <w:r>
              <w:rPr>
                <w:color w:val="000000"/>
              </w:rPr>
              <w:instrText xml:space="preserve"> EQ \F(</w:instrText>
            </w:r>
            <w:r>
              <w:rPr>
                <w:i/>
                <w:color w:val="000000"/>
              </w:rPr>
              <w:instrText>cf</w:instrText>
            </w:r>
            <w:r>
              <w:rPr>
                <w:color w:val="000000"/>
              </w:rPr>
              <w:instrText>,2.</w:instrText>
            </w:r>
            <w:r>
              <w:rPr>
                <w:i/>
                <w:color w:val="000000"/>
              </w:rPr>
              <w:instrText>f</w:instrText>
            </w:r>
            <w:r>
              <w:rPr>
                <w:i/>
                <w:color w:val="000000"/>
                <w:sz w:val="12"/>
              </w:rPr>
              <w:instrText>p</w:instrText>
            </w:r>
            <w:r>
              <w:rPr>
                <w:color w:val="000000"/>
              </w:rPr>
              <w:instrText xml:space="preserve">) </w:instrText>
            </w:r>
            <w:r>
              <w:rPr>
                <w:color w:val="000000"/>
              </w:rPr>
              <w:fldChar w:fldCharType="end"/>
            </w:r>
          </w:p>
        </w:tc>
        <w:tc>
          <w:tcPr>
            <w:tcW w:w="1080" w:type="dxa"/>
          </w:tcPr>
          <w:p w:rsidR="00B40966" w:rsidRDefault="00B40966">
            <w:pPr>
              <w:pStyle w:val="allsections"/>
              <w:spacing w:before="160"/>
              <w:ind w:firstLine="0"/>
              <w:jc w:val="left"/>
              <w:rPr>
                <w:color w:val="000000"/>
              </w:rPr>
            </w:pPr>
            <w:r>
              <w:rPr>
                <w:color w:val="000000"/>
                <w:sz w:val="28"/>
              </w:rPr>
              <w:t>+</w:t>
            </w:r>
            <w:r>
              <w:rPr>
                <w:rStyle w:val="charItals"/>
              </w:rPr>
              <w:t xml:space="preserve">fx </w:t>
            </w:r>
            <w:r>
              <w:rPr>
                <w:color w:val="000000"/>
                <w:sz w:val="28"/>
              </w:rPr>
              <w:t>+</w:t>
            </w:r>
            <w:r>
              <w:rPr>
                <w:color w:val="000000"/>
              </w:rPr>
              <w:t xml:space="preserve"> </w:t>
            </w:r>
            <w:r>
              <w:rPr>
                <w:rStyle w:val="charItals"/>
              </w:rPr>
              <w:t>fy</w:t>
            </w:r>
          </w:p>
        </w:tc>
        <w:tc>
          <w:tcPr>
            <w:tcW w:w="360" w:type="dxa"/>
          </w:tcPr>
          <w:p w:rsidR="00B40966" w:rsidRDefault="00B40966">
            <w:pPr>
              <w:pStyle w:val="allsections"/>
              <w:ind w:firstLine="0"/>
              <w:jc w:val="left"/>
              <w:rPr>
                <w:color w:val="000000"/>
                <w:sz w:val="48"/>
              </w:rPr>
            </w:pPr>
            <w:r>
              <w:rPr>
                <w:color w:val="000000"/>
                <w:sz w:val="48"/>
              </w:rPr>
              <w:t>)</w:t>
            </w:r>
          </w:p>
        </w:tc>
        <w:tc>
          <w:tcPr>
            <w:tcW w:w="3960" w:type="dxa"/>
          </w:tcPr>
          <w:p w:rsidR="00B40966" w:rsidRDefault="00B40966">
            <w:pPr>
              <w:pStyle w:val="allsections"/>
              <w:tabs>
                <w:tab w:val="left" w:leader="dot" w:pos="1480"/>
              </w:tabs>
              <w:spacing w:before="160"/>
              <w:ind w:firstLine="0"/>
              <w:jc w:val="left"/>
              <w:rPr>
                <w:rFonts w:ascii="Times New Roman" w:hAnsi="Times New Roman"/>
                <w:color w:val="000000"/>
              </w:rPr>
            </w:pPr>
            <w:r>
              <w:rPr>
                <w:rFonts w:ascii="Times New Roman" w:hAnsi="Times New Roman"/>
                <w:color w:val="000000"/>
              </w:rPr>
              <w:t>pounds per square inch</w:t>
            </w:r>
          </w:p>
        </w:tc>
      </w:tr>
    </w:tbl>
    <w:p w:rsidR="00B40966" w:rsidRDefault="00B40966">
      <w:pPr>
        <w:pStyle w:val="Amainreturn"/>
      </w:pPr>
      <w:r>
        <w:t>where, in relation to the section under consideration:</w:t>
      </w:r>
    </w:p>
    <w:p w:rsidR="00B40966" w:rsidRDefault="00B40966">
      <w:pPr>
        <w:pStyle w:val="aDef"/>
      </w:pPr>
      <w:r>
        <w:rPr>
          <w:rStyle w:val="charBoldItals"/>
        </w:rPr>
        <w:t>c</w:t>
      </w:r>
      <w:r>
        <w:t xml:space="preserve"> is a constant, having the value 8000 for ironbark or other Australian hardwood timbers, or 3600 for Douglas fir (Oregon pine).</w:t>
      </w:r>
    </w:p>
    <w:p w:rsidR="00B40966" w:rsidRDefault="00B40966">
      <w:pPr>
        <w:pStyle w:val="aDef"/>
      </w:pPr>
      <w:r>
        <w:rPr>
          <w:rStyle w:val="charItals"/>
          <w:b/>
        </w:rPr>
        <w:t>f</w:t>
      </w:r>
      <w:r>
        <w:t xml:space="preserve"> is the maximum axial compressive stress.</w:t>
      </w:r>
    </w:p>
    <w:p w:rsidR="00B40966" w:rsidRDefault="00B40966">
      <w:pPr>
        <w:pStyle w:val="aDef"/>
      </w:pPr>
      <w:r>
        <w:rPr>
          <w:rStyle w:val="charItals"/>
          <w:b/>
        </w:rPr>
        <w:t>fp</w:t>
      </w:r>
      <w:r>
        <w:t xml:space="preserve"> is the maximum permissible axial compressive stress as prescribed in this section for the same member if assumed subject solely to axial stress.</w:t>
      </w:r>
    </w:p>
    <w:p w:rsidR="00B40966" w:rsidRDefault="00B40966">
      <w:pPr>
        <w:pStyle w:val="aDef"/>
      </w:pPr>
      <w:r>
        <w:rPr>
          <w:rStyle w:val="charItals"/>
          <w:b/>
        </w:rPr>
        <w:t>fx</w:t>
      </w:r>
      <w:r>
        <w:t xml:space="preserve"> and </w:t>
      </w:r>
      <w:r>
        <w:rPr>
          <w:rStyle w:val="charItals"/>
          <w:b/>
        </w:rPr>
        <w:t>fy</w:t>
      </w:r>
      <w:r>
        <w:t xml:space="preserve"> are the maximum transverse stresses due to external flexural forces acting or resolved about the respective principal rectilinear axes.</w:t>
      </w:r>
    </w:p>
    <w:p w:rsidR="00B40966" w:rsidRDefault="00B40966">
      <w:pPr>
        <w:pStyle w:val="Amain"/>
      </w:pPr>
      <w:r>
        <w:rPr>
          <w:color w:val="000000"/>
        </w:rPr>
        <w:tab/>
        <w:t>(50)</w:t>
      </w:r>
      <w:r>
        <w:rPr>
          <w:color w:val="000000"/>
        </w:rPr>
        <w:tab/>
        <w:t>If the cross-section of a timber compression member or strut is less near the ends of the member than in the vicinity of the half-length of it, the diameter of the inscribed circle referred to in subsections (47) and (48) shall, for the purpose of assessing the slenderness ratio, be reduced in the ratio—</w:t>
      </w:r>
    </w:p>
    <w:p w:rsidR="00B40966" w:rsidRDefault="00B40966">
      <w:pPr>
        <w:pStyle w:val="Amain"/>
        <w:jc w:val="center"/>
        <w:rPr>
          <w:color w:val="000000"/>
        </w:rPr>
      </w:pPr>
      <w:r>
        <w:rPr>
          <w:color w:val="000000"/>
        </w:rPr>
        <w:fldChar w:fldCharType="begin"/>
      </w:r>
      <w:r>
        <w:rPr>
          <w:color w:val="000000"/>
        </w:rPr>
        <w:instrText xml:space="preserve"> EQ \F(</w:instrText>
      </w:r>
      <w:r>
        <w:rPr>
          <w:b/>
          <w:color w:val="000000"/>
        </w:rPr>
        <w:instrText>D</w:instrText>
      </w:r>
      <w:r>
        <w:rPr>
          <w:i/>
          <w:color w:val="000000"/>
        </w:rPr>
        <w:instrText>q</w:instrText>
      </w:r>
      <w:r>
        <w:rPr>
          <w:color w:val="000000"/>
        </w:rPr>
        <w:instrText>,0.75</w:instrText>
      </w:r>
      <w:r>
        <w:rPr>
          <w:b/>
          <w:color w:val="000000"/>
        </w:rPr>
        <w:instrText>D</w:instrText>
      </w:r>
      <w:r>
        <w:rPr>
          <w:color w:val="000000"/>
        </w:rPr>
        <w:instrText xml:space="preserve">) </w:instrText>
      </w:r>
      <w:r>
        <w:rPr>
          <w:color w:val="000000"/>
        </w:rPr>
        <w:fldChar w:fldCharType="end"/>
      </w:r>
    </w:p>
    <w:p w:rsidR="00B40966" w:rsidRDefault="00B40966">
      <w:pPr>
        <w:pStyle w:val="Amainreturn"/>
      </w:pPr>
      <w:r>
        <w:t>where:</w:t>
      </w:r>
    </w:p>
    <w:p w:rsidR="00B40966" w:rsidRDefault="00B40966">
      <w:pPr>
        <w:pStyle w:val="Amainreturn"/>
      </w:pPr>
      <w:r>
        <w:rPr>
          <w:b/>
        </w:rPr>
        <w:t>D</w:t>
      </w:r>
      <w:r>
        <w:t xml:space="preserve"> is the diameter of the greatest inscribed circle of a section at the half</w:t>
      </w:r>
      <w:r>
        <w:noBreakHyphen/>
        <w:t>length of the member.</w:t>
      </w:r>
    </w:p>
    <w:p w:rsidR="00B40966" w:rsidRDefault="00B40966">
      <w:pPr>
        <w:pStyle w:val="aDef"/>
      </w:pPr>
      <w:r>
        <w:rPr>
          <w:b/>
        </w:rPr>
        <w:t>D</w:t>
      </w:r>
      <w:r>
        <w:rPr>
          <w:rStyle w:val="charItals"/>
          <w:b/>
        </w:rPr>
        <w:t>q</w:t>
      </w:r>
      <w:r>
        <w:t xml:space="preserve"> is the diameter of the greatest inscribed circle of the least section that is </w:t>
      </w:r>
      <w:r>
        <w:rPr>
          <w:position w:val="6"/>
          <w:sz w:val="18"/>
        </w:rPr>
        <w:t>1</w:t>
      </w:r>
      <w:r>
        <w:t>/</w:t>
      </w:r>
      <w:r>
        <w:rPr>
          <w:sz w:val="18"/>
        </w:rPr>
        <w:t>4</w:t>
      </w:r>
      <w:r>
        <w:t xml:space="preserve"> of the length of the member from either end.</w:t>
      </w:r>
    </w:p>
    <w:p w:rsidR="00B40966" w:rsidRDefault="00B40966">
      <w:pPr>
        <w:pStyle w:val="Amain"/>
      </w:pPr>
      <w:r>
        <w:rPr>
          <w:color w:val="000000"/>
        </w:rPr>
        <w:tab/>
        <w:t>(51)</w:t>
      </w:r>
      <w:r>
        <w:rPr>
          <w:color w:val="000000"/>
        </w:rPr>
        <w:tab/>
        <w:t xml:space="preserve">The computed early deflection of a timber beam in the direction of either the major or minor rectilinear axis of any cross-section shall not exceed </w:t>
      </w:r>
      <w:r>
        <w:rPr>
          <w:color w:val="000000"/>
          <w:position w:val="6"/>
          <w:sz w:val="18"/>
        </w:rPr>
        <w:t>1</w:t>
      </w:r>
      <w:r>
        <w:rPr>
          <w:color w:val="000000"/>
        </w:rPr>
        <w:t>/</w:t>
      </w:r>
      <w:r>
        <w:rPr>
          <w:color w:val="000000"/>
          <w:sz w:val="18"/>
        </w:rPr>
        <w:t>380</w:t>
      </w:r>
      <w:r>
        <w:rPr>
          <w:color w:val="000000"/>
        </w:rPr>
        <w:t xml:space="preserve"> part of the span of the beam.</w:t>
      </w:r>
    </w:p>
    <w:p w:rsidR="00B40966" w:rsidRDefault="00B40966">
      <w:pPr>
        <w:pStyle w:val="Amain"/>
      </w:pPr>
      <w:r>
        <w:tab/>
        <w:t>(52)</w:t>
      </w:r>
      <w:r>
        <w:tab/>
        <w:t>The computed early deflection at the extremity of a timber cantilever shall not when measured in the direction of either the major or minor rectilinear axis of any cross-section, exceed </w:t>
      </w:r>
      <w:r>
        <w:rPr>
          <w:position w:val="6"/>
          <w:sz w:val="18"/>
        </w:rPr>
        <w:t>1</w:t>
      </w:r>
      <w:r>
        <w:t>/</w:t>
      </w:r>
      <w:r>
        <w:rPr>
          <w:sz w:val="18"/>
        </w:rPr>
        <w:t>190</w:t>
      </w:r>
      <w:r>
        <w:t> part of the length of the cantilever.</w:t>
      </w:r>
    </w:p>
    <w:p w:rsidR="00B40966" w:rsidRDefault="00B40966">
      <w:pPr>
        <w:pStyle w:val="Amain"/>
        <w:keepLines/>
      </w:pPr>
      <w:r>
        <w:tab/>
        <w:t>(53)</w:t>
      </w:r>
      <w:r>
        <w:tab/>
        <w:t xml:space="preserve">The computed early deflection of a timber beam used for scaffolding or shoring purposes, shall not exceed </w:t>
      </w:r>
      <w:r>
        <w:rPr>
          <w:position w:val="6"/>
          <w:sz w:val="18"/>
        </w:rPr>
        <w:t>1</w:t>
      </w:r>
      <w:r>
        <w:t>/</w:t>
      </w:r>
      <w:r>
        <w:rPr>
          <w:sz w:val="18"/>
        </w:rPr>
        <w:t>150</w:t>
      </w:r>
      <w:r>
        <w:t xml:space="preserve"> part of the span of the beam, provided that the computed early deflection of platform planks of bricklayers’ or similar heavy scaffoldings shall not exceed </w:t>
      </w:r>
      <w:r>
        <w:rPr>
          <w:position w:val="6"/>
          <w:sz w:val="18"/>
        </w:rPr>
        <w:t>1</w:t>
      </w:r>
      <w:r>
        <w:t>/</w:t>
      </w:r>
      <w:r>
        <w:rPr>
          <w:sz w:val="18"/>
        </w:rPr>
        <w:t>60</w:t>
      </w:r>
      <w:r>
        <w:t xml:space="preserve"> part of their span, and that the computed early deflection of platform planks of decorators’ or similar scaffoldings of the lightest type shall not exceed 5</w:t>
      </w:r>
      <w:r>
        <w:rPr>
          <w:position w:val="6"/>
          <w:sz w:val="18"/>
        </w:rPr>
        <w:t>1</w:t>
      </w:r>
      <w:r>
        <w:t>/</w:t>
      </w:r>
      <w:r>
        <w:rPr>
          <w:sz w:val="18"/>
        </w:rPr>
        <w:t>2</w:t>
      </w:r>
      <w:r>
        <w:t xml:space="preserve"> inches.</w:t>
      </w:r>
    </w:p>
    <w:p w:rsidR="00B40966" w:rsidRDefault="00B40966">
      <w:pPr>
        <w:pStyle w:val="Amain"/>
      </w:pPr>
      <w:r>
        <w:tab/>
        <w:t>(54)</w:t>
      </w:r>
      <w:r>
        <w:tab/>
        <w:t>For the purpose of computing the deflections the modulus of elasticity of the constituent timber shall be deemed to be—</w:t>
      </w:r>
    </w:p>
    <w:p w:rsidR="00B40966" w:rsidRDefault="00B40966">
      <w:pPr>
        <w:pStyle w:val="Apara"/>
      </w:pPr>
      <w:r>
        <w:tab/>
        <w:t>(a)</w:t>
      </w:r>
      <w:r>
        <w:tab/>
        <w:t>for ironbark—1 300 tons per square inch; and</w:t>
      </w:r>
    </w:p>
    <w:p w:rsidR="00B40966" w:rsidRDefault="00B40966">
      <w:pPr>
        <w:pStyle w:val="Apara"/>
      </w:pPr>
      <w:r>
        <w:tab/>
        <w:t>(b)</w:t>
      </w:r>
      <w:r>
        <w:tab/>
        <w:t>for other hardwoods—1 050 tons per square inch; and</w:t>
      </w:r>
    </w:p>
    <w:p w:rsidR="00B40966" w:rsidRDefault="00B40966">
      <w:pPr>
        <w:pStyle w:val="Apara"/>
      </w:pPr>
      <w:r>
        <w:tab/>
        <w:t>(c)</w:t>
      </w:r>
      <w:r>
        <w:tab/>
        <w:t>for Douglas fir (Oregon pine)—715 tons per square inch.</w:t>
      </w:r>
    </w:p>
    <w:p w:rsidR="00B40966" w:rsidRDefault="00B40966">
      <w:pPr>
        <w:pStyle w:val="Amain"/>
      </w:pPr>
      <w:r>
        <w:tab/>
        <w:t>(55)</w:t>
      </w:r>
      <w:r>
        <w:tab/>
        <w:t>In computing deflections it shall be necessary to increase the forces producing the deflections in the way provided by section 125.</w:t>
      </w:r>
    </w:p>
    <w:p w:rsidR="00B40966" w:rsidRDefault="00B40966">
      <w:pPr>
        <w:pStyle w:val="Amain"/>
      </w:pPr>
      <w:r>
        <w:tab/>
        <w:t>(56)</w:t>
      </w:r>
      <w:r>
        <w:tab/>
        <w:t>Forces shall be considered to act simultaneously and the horizontal forces referred to in section 124 shall be included.</w:t>
      </w:r>
    </w:p>
    <w:p w:rsidR="00B40966" w:rsidRDefault="00B40966">
      <w:pPr>
        <w:pStyle w:val="Amain"/>
      </w:pPr>
      <w:r>
        <w:rPr>
          <w:color w:val="000000"/>
        </w:rPr>
        <w:tab/>
        <w:t>(57)</w:t>
      </w:r>
      <w:r>
        <w:rPr>
          <w:color w:val="000000"/>
        </w:rPr>
        <w:tab/>
        <w:t>The thickness of a timber beam or cantilever shall not be less than </w:t>
      </w:r>
      <w:r>
        <w:rPr>
          <w:color w:val="000000"/>
          <w:position w:val="6"/>
          <w:sz w:val="18"/>
        </w:rPr>
        <w:t>1</w:t>
      </w:r>
      <w:r>
        <w:rPr>
          <w:color w:val="000000"/>
        </w:rPr>
        <w:t>/</w:t>
      </w:r>
      <w:r>
        <w:rPr>
          <w:color w:val="000000"/>
          <w:sz w:val="18"/>
        </w:rPr>
        <w:t>4</w:t>
      </w:r>
      <w:r>
        <w:rPr>
          <w:color w:val="000000"/>
        </w:rPr>
        <w:t xml:space="preserve"> of the depth of the beam or cantilever.</w:t>
      </w:r>
    </w:p>
    <w:p w:rsidR="00B40966" w:rsidRDefault="00B40966">
      <w:pPr>
        <w:pStyle w:val="Amain"/>
      </w:pPr>
      <w:r>
        <w:rPr>
          <w:color w:val="000000"/>
        </w:rPr>
        <w:tab/>
        <w:t>(58)</w:t>
      </w:r>
      <w:r>
        <w:rPr>
          <w:color w:val="000000"/>
        </w:rPr>
        <w:tab/>
        <w:t>If 1 bridge beam only of an overhead traveller crane is supported laterally by effective bracings, the other bridge beam may be considered to derive from it a measure of lateral support per medium of the crab frame and its track wheels, provided the wheels have double flanges and together with their supports and fastenings are considered by the chief inspector to be suitable for the purpose.</w:t>
      </w:r>
    </w:p>
    <w:p w:rsidR="00B40966" w:rsidRDefault="00B40966">
      <w:pPr>
        <w:pStyle w:val="Amain"/>
      </w:pPr>
      <w:r>
        <w:tab/>
        <w:t>(59)</w:t>
      </w:r>
      <w:r>
        <w:tab/>
        <w:t>In such case the strength of the unbraced beam may be determined by placing the fully-loaded crab at whatever position is productive of the greatest critical stress.</w:t>
      </w:r>
    </w:p>
    <w:p w:rsidR="00B40966" w:rsidRDefault="00B40966">
      <w:pPr>
        <w:pStyle w:val="Amain"/>
        <w:keepLines/>
      </w:pPr>
      <w:r>
        <w:tab/>
        <w:t>(60)</w:t>
      </w:r>
      <w:r>
        <w:tab/>
        <w:t xml:space="preserve">The maximum stress then resulting at any section of the unbraced beam shall not exceed the maximum stress permissible for the same beam when the laterally unsupported length is deemed to be </w:t>
      </w:r>
      <w:r>
        <w:rPr>
          <w:position w:val="6"/>
          <w:sz w:val="18"/>
        </w:rPr>
        <w:t>3</w:t>
      </w:r>
      <w:r>
        <w:t>/</w:t>
      </w:r>
      <w:r>
        <w:rPr>
          <w:sz w:val="18"/>
        </w:rPr>
        <w:t>4</w:t>
      </w:r>
      <w:r>
        <w:t xml:space="preserve"> of the actual span.</w:t>
      </w:r>
    </w:p>
    <w:p w:rsidR="00B40966" w:rsidRDefault="00B40966">
      <w:pPr>
        <w:pStyle w:val="Amain"/>
      </w:pPr>
      <w:r>
        <w:tab/>
        <w:t>(61)</w:t>
      </w:r>
      <w:r>
        <w:tab/>
        <w:t xml:space="preserve">The lateral deflection due to all loads other than those applied by the crab wheels shall not exceed </w:t>
      </w:r>
      <w:r>
        <w:rPr>
          <w:position w:val="6"/>
          <w:sz w:val="18"/>
        </w:rPr>
        <w:t>1</w:t>
      </w:r>
      <w:r>
        <w:t>/</w:t>
      </w:r>
      <w:r>
        <w:rPr>
          <w:sz w:val="18"/>
        </w:rPr>
        <w:t>2</w:t>
      </w:r>
      <w:r>
        <w:t xml:space="preserve"> an inch, when calculated on the assumption that the crane is brought evenly to rest from its maximum travelling speed in a distance of 5 feet.</w:t>
      </w:r>
    </w:p>
    <w:p w:rsidR="00B40966" w:rsidRDefault="00B40966">
      <w:pPr>
        <w:pStyle w:val="Amain"/>
      </w:pPr>
      <w:r>
        <w:tab/>
        <w:t>(62)</w:t>
      </w:r>
      <w:r>
        <w:tab/>
        <w:t>Other deflections with the crab at any position shall not, however, exceed those elsewhere prescribed for beams by this regulation.</w:t>
      </w:r>
    </w:p>
    <w:p w:rsidR="00B40966" w:rsidRDefault="00B40966">
      <w:pPr>
        <w:pStyle w:val="Amain"/>
        <w:rPr>
          <w:color w:val="000000"/>
        </w:rPr>
      </w:pPr>
      <w:r>
        <w:rPr>
          <w:color w:val="000000"/>
        </w:rPr>
        <w:tab/>
        <w:t>(63)</w:t>
      </w:r>
      <w:r>
        <w:rPr>
          <w:color w:val="000000"/>
        </w:rPr>
        <w:tab/>
        <w:t>The ratio of slenderness of a tension member shall not exceed 300.</w:t>
      </w:r>
    </w:p>
    <w:p w:rsidR="00B40966" w:rsidRDefault="00B40966">
      <w:pPr>
        <w:pStyle w:val="Amain"/>
      </w:pPr>
      <w:r>
        <w:rPr>
          <w:color w:val="000000"/>
        </w:rPr>
        <w:tab/>
        <w:t>(64)</w:t>
      </w:r>
      <w:r>
        <w:rPr>
          <w:color w:val="000000"/>
        </w:rPr>
        <w:tab/>
        <w:t>The ratio shall be determined as though the member were a compression member.</w:t>
      </w:r>
    </w:p>
    <w:p w:rsidR="00B40966" w:rsidRDefault="00B40966">
      <w:pPr>
        <w:pStyle w:val="Amain"/>
        <w:rPr>
          <w:color w:val="000000"/>
        </w:rPr>
      </w:pPr>
      <w:r>
        <w:rPr>
          <w:color w:val="000000"/>
        </w:rPr>
        <w:tab/>
        <w:t>(65)</w:t>
      </w:r>
      <w:r>
        <w:rPr>
          <w:color w:val="000000"/>
        </w:rPr>
        <w:tab/>
        <w:t>After being increased as prescribed by subsection (67), the torsional stress imposed or developed in any spring made from carbon spring steel shall not exceed the relevant and appropriate maximum stress shown in table 126.8.</w:t>
      </w:r>
    </w:p>
    <w:p w:rsidR="00B40966" w:rsidRDefault="00B40966">
      <w:pPr>
        <w:pStyle w:val="Amain"/>
      </w:pPr>
      <w:r>
        <w:rPr>
          <w:color w:val="000000"/>
        </w:rPr>
        <w:tab/>
        <w:t>(66)</w:t>
      </w:r>
      <w:r>
        <w:rPr>
          <w:color w:val="000000"/>
        </w:rPr>
        <w:tab/>
        <w:t>It shall not be necessary to increase the computed forces on, or moments in, a spring in the way otherwise prescribed by section 125, unless alternation occurs, and in such case the provisions of section 122 shall apply.</w:t>
      </w:r>
    </w:p>
    <w:p w:rsidR="00B40966" w:rsidRDefault="00B40966">
      <w:pPr>
        <w:pStyle w:val="TableHd"/>
        <w:ind w:left="1539" w:hanging="1539"/>
      </w:pPr>
      <w:r>
        <w:t>Table 126.8</w:t>
      </w:r>
      <w:r>
        <w:tab/>
        <w:t>Maximum torsional stresses permissible in springs of carbon spring steel (in pounds per square inch)</w:t>
      </w:r>
    </w:p>
    <w:tbl>
      <w:tblPr>
        <w:tblW w:w="7752" w:type="dxa"/>
        <w:tblInd w:w="80" w:type="dxa"/>
        <w:tblLayout w:type="fixed"/>
        <w:tblCellMar>
          <w:left w:w="80" w:type="dxa"/>
          <w:right w:w="80" w:type="dxa"/>
        </w:tblCellMar>
        <w:tblLook w:val="0000" w:firstRow="0" w:lastRow="0" w:firstColumn="0" w:lastColumn="0" w:noHBand="0" w:noVBand="0"/>
      </w:tblPr>
      <w:tblGrid>
        <w:gridCol w:w="4040"/>
        <w:gridCol w:w="1375"/>
        <w:gridCol w:w="1140"/>
        <w:gridCol w:w="1197"/>
      </w:tblGrid>
      <w:tr w:rsidR="00B40966">
        <w:trPr>
          <w:cantSplit/>
          <w:tblHeader/>
        </w:trPr>
        <w:tc>
          <w:tcPr>
            <w:tcW w:w="4040" w:type="dxa"/>
          </w:tcPr>
          <w:p w:rsidR="00B40966" w:rsidRDefault="00B40966">
            <w:pPr>
              <w:pStyle w:val="TableColHd"/>
            </w:pPr>
            <w:r>
              <w:t>diameter in inches of greatest circle that may be inscribed within the least section that is relevant of the material of which spring is made</w:t>
            </w:r>
          </w:p>
        </w:tc>
        <w:tc>
          <w:tcPr>
            <w:tcW w:w="3712" w:type="dxa"/>
            <w:gridSpan w:val="3"/>
          </w:tcPr>
          <w:p w:rsidR="00B40966" w:rsidRDefault="00B40966">
            <w:pPr>
              <w:pStyle w:val="TableColHd"/>
              <w:ind w:left="440"/>
            </w:pPr>
            <w:r>
              <w:t>classification of part of crane, hoist, plant, or scaffolding in which spring is employed</w:t>
            </w:r>
          </w:p>
        </w:tc>
      </w:tr>
      <w:tr w:rsidR="00B40966">
        <w:trPr>
          <w:cantSplit/>
          <w:tblHeader/>
        </w:trPr>
        <w:tc>
          <w:tcPr>
            <w:tcW w:w="4040" w:type="dxa"/>
            <w:tcBorders>
              <w:bottom w:val="single" w:sz="4" w:space="0" w:color="auto"/>
            </w:tcBorders>
          </w:tcPr>
          <w:p w:rsidR="00B40966" w:rsidRDefault="00B40966">
            <w:pPr>
              <w:pStyle w:val="TableColHd"/>
            </w:pPr>
          </w:p>
        </w:tc>
        <w:tc>
          <w:tcPr>
            <w:tcW w:w="1375" w:type="dxa"/>
            <w:tcBorders>
              <w:bottom w:val="single" w:sz="4" w:space="0" w:color="auto"/>
            </w:tcBorders>
          </w:tcPr>
          <w:p w:rsidR="00B40966" w:rsidRDefault="00B40966">
            <w:pPr>
              <w:pStyle w:val="TableColHd"/>
              <w:jc w:val="center"/>
            </w:pPr>
            <w:r>
              <w:t>4</w:t>
            </w:r>
          </w:p>
        </w:tc>
        <w:tc>
          <w:tcPr>
            <w:tcW w:w="1140" w:type="dxa"/>
            <w:tcBorders>
              <w:bottom w:val="single" w:sz="4" w:space="0" w:color="auto"/>
            </w:tcBorders>
          </w:tcPr>
          <w:p w:rsidR="00B40966" w:rsidRDefault="00B40966">
            <w:pPr>
              <w:pStyle w:val="TableColHd"/>
              <w:jc w:val="center"/>
            </w:pPr>
            <w:r>
              <w:t>3</w:t>
            </w:r>
          </w:p>
        </w:tc>
        <w:tc>
          <w:tcPr>
            <w:tcW w:w="1197" w:type="dxa"/>
            <w:tcBorders>
              <w:bottom w:val="single" w:sz="4" w:space="0" w:color="auto"/>
            </w:tcBorders>
          </w:tcPr>
          <w:p w:rsidR="00B40966" w:rsidRDefault="00B40966">
            <w:pPr>
              <w:pStyle w:val="TableColHd"/>
              <w:jc w:val="center"/>
            </w:pPr>
            <w:r>
              <w:t>2 or 1</w:t>
            </w:r>
          </w:p>
        </w:tc>
      </w:tr>
      <w:tr w:rsidR="00B40966">
        <w:trPr>
          <w:cantSplit/>
        </w:trPr>
        <w:tc>
          <w:tcPr>
            <w:tcW w:w="4040" w:type="dxa"/>
            <w:tcBorders>
              <w:top w:val="single" w:sz="4" w:space="0" w:color="auto"/>
            </w:tcBorders>
          </w:tcPr>
          <w:p w:rsidR="00B40966" w:rsidRDefault="00B40966">
            <w:pPr>
              <w:pStyle w:val="TableText"/>
              <w:keepNext/>
            </w:pPr>
            <w:r>
              <w:t>not exceeding 0.085</w:t>
            </w:r>
          </w:p>
        </w:tc>
        <w:tc>
          <w:tcPr>
            <w:tcW w:w="1375" w:type="dxa"/>
            <w:tcBorders>
              <w:top w:val="single" w:sz="4" w:space="0" w:color="auto"/>
            </w:tcBorders>
          </w:tcPr>
          <w:p w:rsidR="00B40966" w:rsidRDefault="00B40966">
            <w:pPr>
              <w:pStyle w:val="TableText"/>
              <w:jc w:val="center"/>
            </w:pPr>
            <w:r>
              <w:t>60 000</w:t>
            </w:r>
          </w:p>
        </w:tc>
        <w:tc>
          <w:tcPr>
            <w:tcW w:w="1140" w:type="dxa"/>
            <w:tcBorders>
              <w:top w:val="single" w:sz="4" w:space="0" w:color="auto"/>
            </w:tcBorders>
          </w:tcPr>
          <w:p w:rsidR="00B40966" w:rsidRDefault="00B40966">
            <w:pPr>
              <w:pStyle w:val="TableText"/>
              <w:jc w:val="center"/>
            </w:pPr>
            <w:r>
              <w:t>75 000</w:t>
            </w:r>
          </w:p>
        </w:tc>
        <w:tc>
          <w:tcPr>
            <w:tcW w:w="1197" w:type="dxa"/>
            <w:tcBorders>
              <w:top w:val="single" w:sz="4" w:space="0" w:color="auto"/>
            </w:tcBorders>
          </w:tcPr>
          <w:p w:rsidR="00B40966" w:rsidRDefault="00B40966">
            <w:pPr>
              <w:pStyle w:val="TableText"/>
              <w:jc w:val="center"/>
            </w:pPr>
            <w:r>
              <w:t>93 000</w:t>
            </w:r>
          </w:p>
        </w:tc>
      </w:tr>
      <w:tr w:rsidR="00B40966">
        <w:trPr>
          <w:cantSplit/>
        </w:trPr>
        <w:tc>
          <w:tcPr>
            <w:tcW w:w="4040" w:type="dxa"/>
          </w:tcPr>
          <w:p w:rsidR="00B40966" w:rsidRDefault="00B40966">
            <w:pPr>
              <w:pStyle w:val="TableText"/>
            </w:pPr>
            <w:r>
              <w:t>above .085 and no exceeding 0.185</w:t>
            </w:r>
          </w:p>
        </w:tc>
        <w:tc>
          <w:tcPr>
            <w:tcW w:w="1375" w:type="dxa"/>
          </w:tcPr>
          <w:p w:rsidR="00B40966" w:rsidRDefault="00B40966">
            <w:pPr>
              <w:pStyle w:val="TableText"/>
              <w:jc w:val="center"/>
            </w:pPr>
            <w:r>
              <w:t>55 000</w:t>
            </w:r>
          </w:p>
        </w:tc>
        <w:tc>
          <w:tcPr>
            <w:tcW w:w="1140" w:type="dxa"/>
          </w:tcPr>
          <w:p w:rsidR="00B40966" w:rsidRDefault="00B40966">
            <w:pPr>
              <w:pStyle w:val="TableText"/>
              <w:jc w:val="center"/>
            </w:pPr>
            <w:r>
              <w:t>69 000</w:t>
            </w:r>
          </w:p>
        </w:tc>
        <w:tc>
          <w:tcPr>
            <w:tcW w:w="1197" w:type="dxa"/>
          </w:tcPr>
          <w:p w:rsidR="00B40966" w:rsidRDefault="00B40966">
            <w:pPr>
              <w:pStyle w:val="TableText"/>
              <w:jc w:val="center"/>
            </w:pPr>
            <w:r>
              <w:t>85 000</w:t>
            </w:r>
          </w:p>
        </w:tc>
      </w:tr>
      <w:tr w:rsidR="00B40966">
        <w:trPr>
          <w:cantSplit/>
        </w:trPr>
        <w:tc>
          <w:tcPr>
            <w:tcW w:w="4040" w:type="dxa"/>
          </w:tcPr>
          <w:p w:rsidR="00B40966" w:rsidRDefault="00B40966">
            <w:pPr>
              <w:pStyle w:val="TableText"/>
            </w:pPr>
            <w:r>
              <w:t>above 0.185 and not exceeding 0.32</w:t>
            </w:r>
          </w:p>
        </w:tc>
        <w:tc>
          <w:tcPr>
            <w:tcW w:w="1375" w:type="dxa"/>
          </w:tcPr>
          <w:p w:rsidR="00B40966" w:rsidRDefault="00B40966">
            <w:pPr>
              <w:pStyle w:val="TableText"/>
              <w:jc w:val="center"/>
            </w:pPr>
            <w:r>
              <w:t>48 000</w:t>
            </w:r>
          </w:p>
        </w:tc>
        <w:tc>
          <w:tcPr>
            <w:tcW w:w="1140" w:type="dxa"/>
          </w:tcPr>
          <w:p w:rsidR="00B40966" w:rsidRDefault="00B40966">
            <w:pPr>
              <w:pStyle w:val="TableText"/>
              <w:jc w:val="center"/>
            </w:pPr>
            <w:r>
              <w:t>60 000</w:t>
            </w:r>
          </w:p>
        </w:tc>
        <w:tc>
          <w:tcPr>
            <w:tcW w:w="1197" w:type="dxa"/>
          </w:tcPr>
          <w:p w:rsidR="00B40966" w:rsidRDefault="00B40966">
            <w:pPr>
              <w:pStyle w:val="TableText"/>
              <w:jc w:val="center"/>
            </w:pPr>
            <w:r>
              <w:t>74 000</w:t>
            </w:r>
          </w:p>
        </w:tc>
      </w:tr>
      <w:tr w:rsidR="00B40966">
        <w:trPr>
          <w:cantSplit/>
        </w:trPr>
        <w:tc>
          <w:tcPr>
            <w:tcW w:w="4040" w:type="dxa"/>
          </w:tcPr>
          <w:p w:rsidR="00B40966" w:rsidRDefault="00B40966">
            <w:pPr>
              <w:pStyle w:val="TableText"/>
            </w:pPr>
            <w:r>
              <w:t>above 0.32 and not exceeding 0.53</w:t>
            </w:r>
          </w:p>
        </w:tc>
        <w:tc>
          <w:tcPr>
            <w:tcW w:w="1375" w:type="dxa"/>
          </w:tcPr>
          <w:p w:rsidR="00B40966" w:rsidRDefault="00B40966">
            <w:pPr>
              <w:pStyle w:val="TableText"/>
              <w:jc w:val="center"/>
            </w:pPr>
            <w:r>
              <w:t>42 000</w:t>
            </w:r>
          </w:p>
        </w:tc>
        <w:tc>
          <w:tcPr>
            <w:tcW w:w="1140" w:type="dxa"/>
          </w:tcPr>
          <w:p w:rsidR="00B40966" w:rsidRDefault="00B40966">
            <w:pPr>
              <w:pStyle w:val="TableText"/>
              <w:jc w:val="center"/>
            </w:pPr>
            <w:r>
              <w:t>52 000</w:t>
            </w:r>
          </w:p>
        </w:tc>
        <w:tc>
          <w:tcPr>
            <w:tcW w:w="1197" w:type="dxa"/>
          </w:tcPr>
          <w:p w:rsidR="00B40966" w:rsidRDefault="00B40966">
            <w:pPr>
              <w:pStyle w:val="TableText"/>
              <w:jc w:val="center"/>
            </w:pPr>
            <w:r>
              <w:t>65 000</w:t>
            </w:r>
          </w:p>
        </w:tc>
      </w:tr>
      <w:tr w:rsidR="00B40966">
        <w:trPr>
          <w:cantSplit/>
        </w:trPr>
        <w:tc>
          <w:tcPr>
            <w:tcW w:w="4040" w:type="dxa"/>
          </w:tcPr>
          <w:p w:rsidR="00B40966" w:rsidRDefault="00B40966">
            <w:pPr>
              <w:pStyle w:val="TableText"/>
            </w:pPr>
            <w:r>
              <w:t>above 0.53 and not exceeding 0.97</w:t>
            </w:r>
          </w:p>
        </w:tc>
        <w:tc>
          <w:tcPr>
            <w:tcW w:w="1375" w:type="dxa"/>
          </w:tcPr>
          <w:p w:rsidR="00B40966" w:rsidRDefault="00B40966">
            <w:pPr>
              <w:pStyle w:val="TableText"/>
              <w:jc w:val="center"/>
            </w:pPr>
            <w:r>
              <w:t>36 000</w:t>
            </w:r>
          </w:p>
        </w:tc>
        <w:tc>
          <w:tcPr>
            <w:tcW w:w="1140" w:type="dxa"/>
          </w:tcPr>
          <w:p w:rsidR="00B40966" w:rsidRDefault="00B40966">
            <w:pPr>
              <w:pStyle w:val="TableText"/>
              <w:jc w:val="center"/>
            </w:pPr>
            <w:r>
              <w:t>45 000</w:t>
            </w:r>
          </w:p>
        </w:tc>
        <w:tc>
          <w:tcPr>
            <w:tcW w:w="1197" w:type="dxa"/>
          </w:tcPr>
          <w:p w:rsidR="00B40966" w:rsidRDefault="00B40966">
            <w:pPr>
              <w:pStyle w:val="TableText"/>
              <w:jc w:val="center"/>
            </w:pPr>
            <w:r>
              <w:t>56 000</w:t>
            </w:r>
          </w:p>
        </w:tc>
      </w:tr>
      <w:tr w:rsidR="00B40966">
        <w:trPr>
          <w:cantSplit/>
        </w:trPr>
        <w:tc>
          <w:tcPr>
            <w:tcW w:w="4040" w:type="dxa"/>
          </w:tcPr>
          <w:p w:rsidR="00B40966" w:rsidRDefault="00B40966">
            <w:pPr>
              <w:pStyle w:val="TableText"/>
            </w:pPr>
            <w:r>
              <w:t>above 0.97 and not exceeding 1.5</w:t>
            </w:r>
          </w:p>
        </w:tc>
        <w:tc>
          <w:tcPr>
            <w:tcW w:w="1375" w:type="dxa"/>
          </w:tcPr>
          <w:p w:rsidR="00B40966" w:rsidRDefault="00B40966">
            <w:pPr>
              <w:pStyle w:val="TableText"/>
              <w:jc w:val="center"/>
            </w:pPr>
            <w:r>
              <w:t>32 000</w:t>
            </w:r>
          </w:p>
        </w:tc>
        <w:tc>
          <w:tcPr>
            <w:tcW w:w="1140" w:type="dxa"/>
          </w:tcPr>
          <w:p w:rsidR="00B40966" w:rsidRDefault="00B40966">
            <w:pPr>
              <w:pStyle w:val="TableText"/>
              <w:jc w:val="center"/>
            </w:pPr>
            <w:r>
              <w:t>40 000</w:t>
            </w:r>
          </w:p>
        </w:tc>
        <w:tc>
          <w:tcPr>
            <w:tcW w:w="1197" w:type="dxa"/>
          </w:tcPr>
          <w:p w:rsidR="00B40966" w:rsidRDefault="00B40966">
            <w:pPr>
              <w:pStyle w:val="TableText"/>
              <w:jc w:val="center"/>
            </w:pPr>
            <w:r>
              <w:t>50 000</w:t>
            </w:r>
          </w:p>
        </w:tc>
      </w:tr>
    </w:tbl>
    <w:p w:rsidR="00B40966" w:rsidRDefault="00B40966"/>
    <w:p w:rsidR="00B40966" w:rsidRDefault="00B40966">
      <w:pPr>
        <w:pStyle w:val="Amain"/>
      </w:pPr>
      <w:r>
        <w:rPr>
          <w:color w:val="000000"/>
        </w:rPr>
        <w:tab/>
        <w:t>(67)</w:t>
      </w:r>
      <w:r>
        <w:rPr>
          <w:color w:val="000000"/>
        </w:rPr>
        <w:tab/>
        <w:t xml:space="preserve">To compensate for errors consequential to computation of only torsional stresses in helical or volute springs, the computed torsional stress in any helical or volute spring shall be increased in the ratio </w:t>
      </w:r>
      <w:r>
        <w:rPr>
          <w:b/>
          <w:color w:val="000000"/>
        </w:rPr>
        <w:t>W</w:t>
      </w:r>
      <w:r>
        <w:rPr>
          <w:color w:val="000000"/>
        </w:rPr>
        <w:t>, the Wahl factor, shown in table 126.9 as relevant and appropriate to the relationship:</w:t>
      </w:r>
    </w:p>
    <w:p w:rsidR="00B40966" w:rsidRDefault="00B40966">
      <w:pPr>
        <w:pStyle w:val="Formula"/>
      </w:pPr>
      <w:r>
        <w:t xml:space="preserve">R = </w:t>
      </w:r>
      <w:r>
        <w:fldChar w:fldCharType="begin"/>
      </w:r>
      <w:r>
        <w:instrText xml:space="preserve"> EQ \F(</w:instrText>
      </w:r>
      <w:r>
        <w:rPr>
          <w:b/>
        </w:rPr>
        <w:instrText>D</w:instrText>
      </w:r>
      <w:r>
        <w:instrText>,</w:instrText>
      </w:r>
      <w:r>
        <w:rPr>
          <w:i/>
        </w:rPr>
        <w:instrText>d</w:instrText>
      </w:r>
      <w:r>
        <w:instrText xml:space="preserve">) </w:instrText>
      </w:r>
      <w:r>
        <w:fldChar w:fldCharType="end"/>
      </w:r>
      <w:r>
        <w:t xml:space="preserve">  .</w:t>
      </w:r>
    </w:p>
    <w:p w:rsidR="00B40966" w:rsidRDefault="00B40966">
      <w:pPr>
        <w:pStyle w:val="Amain"/>
      </w:pPr>
      <w:r>
        <w:tab/>
        <w:t>(68)</w:t>
      </w:r>
      <w:r>
        <w:tab/>
        <w:t>In subsection (67):</w:t>
      </w:r>
    </w:p>
    <w:p w:rsidR="00B40966" w:rsidRDefault="00B40966">
      <w:pPr>
        <w:pStyle w:val="aDef"/>
      </w:pPr>
      <w:r>
        <w:rPr>
          <w:b/>
        </w:rPr>
        <w:t>D</w:t>
      </w:r>
      <w:r>
        <w:t xml:space="preserve"> is the maximum pitch circle diameter of the spring, measured in inches.</w:t>
      </w:r>
    </w:p>
    <w:p w:rsidR="00B40966" w:rsidRDefault="00B40966">
      <w:pPr>
        <w:pStyle w:val="aDef"/>
      </w:pPr>
      <w:r>
        <w:rPr>
          <w:rStyle w:val="charItals"/>
          <w:b/>
        </w:rPr>
        <w:t>d</w:t>
      </w:r>
      <w:r>
        <w:t xml:space="preserve"> is the diameter in inches of the greatest circle that may be inscribed within the least section that is relevant of the material of which the spring is made.</w:t>
      </w:r>
    </w:p>
    <w:p w:rsidR="00B40966" w:rsidRDefault="00B40966">
      <w:pPr>
        <w:pStyle w:val="TableHd"/>
        <w:ind w:left="2166" w:hanging="1653"/>
      </w:pPr>
      <w:r>
        <w:t>Table 126.9</w:t>
      </w:r>
      <w:r>
        <w:tab/>
        <w:t>Compensating ratios, W, or Wahl factors, for stresses in helical or volute springs</w:t>
      </w:r>
    </w:p>
    <w:tbl>
      <w:tblPr>
        <w:tblW w:w="0" w:type="auto"/>
        <w:tblInd w:w="536" w:type="dxa"/>
        <w:tblLayout w:type="fixed"/>
        <w:tblCellMar>
          <w:left w:w="80" w:type="dxa"/>
          <w:right w:w="80" w:type="dxa"/>
        </w:tblCellMar>
        <w:tblLook w:val="0000" w:firstRow="0" w:lastRow="0" w:firstColumn="0" w:lastColumn="0" w:noHBand="0" w:noVBand="0"/>
      </w:tblPr>
      <w:tblGrid>
        <w:gridCol w:w="1220"/>
        <w:gridCol w:w="1180"/>
        <w:gridCol w:w="1200"/>
        <w:gridCol w:w="1200"/>
        <w:gridCol w:w="6"/>
        <w:gridCol w:w="1194"/>
        <w:gridCol w:w="1280"/>
      </w:tblGrid>
      <w:tr w:rsidR="00B40966">
        <w:trPr>
          <w:cantSplit/>
          <w:tblHeader/>
        </w:trPr>
        <w:tc>
          <w:tcPr>
            <w:tcW w:w="2400" w:type="dxa"/>
            <w:gridSpan w:val="2"/>
            <w:tcBorders>
              <w:top w:val="single" w:sz="6" w:space="0" w:color="auto"/>
              <w:bottom w:val="single" w:sz="6" w:space="0" w:color="auto"/>
            </w:tcBorders>
          </w:tcPr>
          <w:p w:rsidR="00B40966" w:rsidRDefault="00B40966">
            <w:pPr>
              <w:pStyle w:val="Formula"/>
            </w:pPr>
            <w:r>
              <w:rPr>
                <w:position w:val="-22"/>
              </w:rPr>
              <w:object w:dxaOrig="1540" w:dyaOrig="540">
                <v:shape id="_x0000_i1038" type="#_x0000_t75" style="width:77.25pt;height:27pt" o:ole="" fillcolor="window">
                  <v:imagedata r:id="rId73" o:title=""/>
                </v:shape>
                <o:OLEObject Type="Embed" ProgID="Equation.2" ShapeID="_x0000_i1038" DrawAspect="Content" ObjectID="_1595937055" r:id="rId74"/>
              </w:object>
            </w:r>
          </w:p>
        </w:tc>
        <w:tc>
          <w:tcPr>
            <w:tcW w:w="2406" w:type="dxa"/>
            <w:gridSpan w:val="3"/>
            <w:tcBorders>
              <w:top w:val="single" w:sz="6" w:space="0" w:color="auto"/>
              <w:bottom w:val="single" w:sz="6" w:space="0" w:color="auto"/>
            </w:tcBorders>
          </w:tcPr>
          <w:p w:rsidR="00B40966" w:rsidRDefault="00B40966">
            <w:pPr>
              <w:pStyle w:val="Formula"/>
            </w:pPr>
            <w:r>
              <w:rPr>
                <w:position w:val="-22"/>
              </w:rPr>
              <w:object w:dxaOrig="1540" w:dyaOrig="540">
                <v:shape id="_x0000_i1039" type="#_x0000_t75" style="width:77.25pt;height:27pt" o:ole="" fillcolor="window">
                  <v:imagedata r:id="rId73" o:title=""/>
                </v:shape>
                <o:OLEObject Type="Embed" ProgID="Equation.2" ShapeID="_x0000_i1039" DrawAspect="Content" ObjectID="_1595937056" r:id="rId75"/>
              </w:object>
            </w:r>
          </w:p>
        </w:tc>
        <w:tc>
          <w:tcPr>
            <w:tcW w:w="2474" w:type="dxa"/>
            <w:gridSpan w:val="2"/>
            <w:tcBorders>
              <w:top w:val="single" w:sz="6" w:space="0" w:color="auto"/>
              <w:bottom w:val="single" w:sz="6" w:space="0" w:color="auto"/>
            </w:tcBorders>
          </w:tcPr>
          <w:p w:rsidR="00B40966" w:rsidRDefault="00B40966">
            <w:pPr>
              <w:pStyle w:val="Formula"/>
            </w:pPr>
            <w:r>
              <w:rPr>
                <w:position w:val="-22"/>
              </w:rPr>
              <w:object w:dxaOrig="1540" w:dyaOrig="540">
                <v:shape id="_x0000_i1040" type="#_x0000_t75" style="width:77.25pt;height:27pt" o:ole="" fillcolor="window">
                  <v:imagedata r:id="rId73" o:title=""/>
                </v:shape>
                <o:OLEObject Type="Embed" ProgID="Equation.2" ShapeID="_x0000_i1040" DrawAspect="Content" ObjectID="_1595937057" r:id="rId76"/>
              </w:object>
            </w:r>
          </w:p>
        </w:tc>
      </w:tr>
      <w:tr w:rsidR="00B40966">
        <w:trPr>
          <w:cantSplit/>
        </w:trPr>
        <w:tc>
          <w:tcPr>
            <w:tcW w:w="1220" w:type="dxa"/>
          </w:tcPr>
          <w:p w:rsidR="00B40966" w:rsidRDefault="00B40966">
            <w:pPr>
              <w:pStyle w:val="TableText"/>
              <w:jc w:val="center"/>
            </w:pPr>
            <w:r>
              <w:t>2.0</w:t>
            </w:r>
          </w:p>
        </w:tc>
        <w:tc>
          <w:tcPr>
            <w:tcW w:w="1180" w:type="dxa"/>
          </w:tcPr>
          <w:p w:rsidR="00B40966" w:rsidRDefault="00B40966">
            <w:pPr>
              <w:pStyle w:val="TableText"/>
              <w:jc w:val="center"/>
            </w:pPr>
            <w:r>
              <w:t>2.06</w:t>
            </w:r>
          </w:p>
        </w:tc>
        <w:tc>
          <w:tcPr>
            <w:tcW w:w="1200" w:type="dxa"/>
          </w:tcPr>
          <w:p w:rsidR="00B40966" w:rsidRDefault="00B40966">
            <w:pPr>
              <w:pStyle w:val="TableText"/>
              <w:jc w:val="center"/>
            </w:pPr>
            <w:r>
              <w:t>4.2</w:t>
            </w:r>
          </w:p>
        </w:tc>
        <w:tc>
          <w:tcPr>
            <w:tcW w:w="1200" w:type="dxa"/>
          </w:tcPr>
          <w:p w:rsidR="00B40966" w:rsidRDefault="00B40966">
            <w:pPr>
              <w:pStyle w:val="TableText"/>
              <w:jc w:val="center"/>
            </w:pPr>
            <w:r>
              <w:t>1.38</w:t>
            </w:r>
          </w:p>
        </w:tc>
        <w:tc>
          <w:tcPr>
            <w:tcW w:w="1200" w:type="dxa"/>
            <w:gridSpan w:val="2"/>
          </w:tcPr>
          <w:p w:rsidR="00B40966" w:rsidRDefault="00B40966">
            <w:pPr>
              <w:pStyle w:val="TableText"/>
              <w:jc w:val="center"/>
            </w:pPr>
            <w:r>
              <w:t>7.6</w:t>
            </w:r>
          </w:p>
        </w:tc>
        <w:tc>
          <w:tcPr>
            <w:tcW w:w="1280" w:type="dxa"/>
          </w:tcPr>
          <w:p w:rsidR="00B40966" w:rsidRDefault="00B40966">
            <w:pPr>
              <w:pStyle w:val="TableText"/>
              <w:jc w:val="center"/>
            </w:pPr>
            <w:r>
              <w:t>1.19</w:t>
            </w:r>
          </w:p>
        </w:tc>
      </w:tr>
      <w:tr w:rsidR="00B40966">
        <w:trPr>
          <w:cantSplit/>
        </w:trPr>
        <w:tc>
          <w:tcPr>
            <w:tcW w:w="1220" w:type="dxa"/>
          </w:tcPr>
          <w:p w:rsidR="00B40966" w:rsidRDefault="00B40966">
            <w:pPr>
              <w:pStyle w:val="TableText"/>
              <w:jc w:val="center"/>
            </w:pPr>
            <w:r>
              <w:t>2.1</w:t>
            </w:r>
          </w:p>
        </w:tc>
        <w:tc>
          <w:tcPr>
            <w:tcW w:w="1180" w:type="dxa"/>
          </w:tcPr>
          <w:p w:rsidR="00B40966" w:rsidRDefault="00B40966">
            <w:pPr>
              <w:pStyle w:val="TableText"/>
              <w:jc w:val="center"/>
            </w:pPr>
            <w:r>
              <w:t>1.98</w:t>
            </w:r>
          </w:p>
        </w:tc>
        <w:tc>
          <w:tcPr>
            <w:tcW w:w="1200" w:type="dxa"/>
          </w:tcPr>
          <w:p w:rsidR="00B40966" w:rsidRDefault="00B40966">
            <w:pPr>
              <w:pStyle w:val="TableText"/>
              <w:jc w:val="center"/>
            </w:pPr>
            <w:r>
              <w:t>4.3</w:t>
            </w:r>
          </w:p>
        </w:tc>
        <w:tc>
          <w:tcPr>
            <w:tcW w:w="1200" w:type="dxa"/>
          </w:tcPr>
          <w:p w:rsidR="00B40966" w:rsidRDefault="00B40966">
            <w:pPr>
              <w:pStyle w:val="TableText"/>
              <w:jc w:val="center"/>
            </w:pPr>
            <w:r>
              <w:t>1.37</w:t>
            </w:r>
          </w:p>
        </w:tc>
        <w:tc>
          <w:tcPr>
            <w:tcW w:w="1200" w:type="dxa"/>
            <w:gridSpan w:val="2"/>
          </w:tcPr>
          <w:p w:rsidR="00B40966" w:rsidRDefault="00B40966">
            <w:pPr>
              <w:pStyle w:val="TableText"/>
              <w:jc w:val="center"/>
            </w:pPr>
            <w:r>
              <w:t>7.8</w:t>
            </w:r>
          </w:p>
        </w:tc>
        <w:tc>
          <w:tcPr>
            <w:tcW w:w="1280" w:type="dxa"/>
          </w:tcPr>
          <w:p w:rsidR="00B40966" w:rsidRDefault="00B40966">
            <w:pPr>
              <w:pStyle w:val="TableText"/>
              <w:jc w:val="center"/>
            </w:pPr>
            <w:r>
              <w:t>1.19</w:t>
            </w:r>
          </w:p>
        </w:tc>
      </w:tr>
      <w:tr w:rsidR="00B40966">
        <w:trPr>
          <w:cantSplit/>
        </w:trPr>
        <w:tc>
          <w:tcPr>
            <w:tcW w:w="1220" w:type="dxa"/>
          </w:tcPr>
          <w:p w:rsidR="00B40966" w:rsidRDefault="00B40966">
            <w:pPr>
              <w:pStyle w:val="TableText"/>
              <w:jc w:val="center"/>
            </w:pPr>
            <w:r>
              <w:t>2.2</w:t>
            </w:r>
          </w:p>
        </w:tc>
        <w:tc>
          <w:tcPr>
            <w:tcW w:w="1180" w:type="dxa"/>
          </w:tcPr>
          <w:p w:rsidR="00B40966" w:rsidRDefault="00B40966">
            <w:pPr>
              <w:pStyle w:val="TableText"/>
              <w:jc w:val="center"/>
            </w:pPr>
            <w:r>
              <w:t>1.90</w:t>
            </w:r>
          </w:p>
        </w:tc>
        <w:tc>
          <w:tcPr>
            <w:tcW w:w="1200" w:type="dxa"/>
          </w:tcPr>
          <w:p w:rsidR="00B40966" w:rsidRDefault="00B40966">
            <w:pPr>
              <w:pStyle w:val="TableText"/>
              <w:jc w:val="center"/>
            </w:pPr>
            <w:r>
              <w:t>4.4</w:t>
            </w:r>
          </w:p>
        </w:tc>
        <w:tc>
          <w:tcPr>
            <w:tcW w:w="1200" w:type="dxa"/>
          </w:tcPr>
          <w:p w:rsidR="00B40966" w:rsidRDefault="00B40966">
            <w:pPr>
              <w:pStyle w:val="TableText"/>
              <w:jc w:val="center"/>
            </w:pPr>
            <w:r>
              <w:t>1.36</w:t>
            </w:r>
          </w:p>
        </w:tc>
        <w:tc>
          <w:tcPr>
            <w:tcW w:w="1200" w:type="dxa"/>
            <w:gridSpan w:val="2"/>
          </w:tcPr>
          <w:p w:rsidR="00B40966" w:rsidRDefault="00B40966">
            <w:pPr>
              <w:pStyle w:val="TableText"/>
              <w:jc w:val="center"/>
            </w:pPr>
            <w:r>
              <w:t>8.0</w:t>
            </w:r>
          </w:p>
        </w:tc>
        <w:tc>
          <w:tcPr>
            <w:tcW w:w="1280" w:type="dxa"/>
          </w:tcPr>
          <w:p w:rsidR="00B40966" w:rsidRDefault="00B40966">
            <w:pPr>
              <w:pStyle w:val="TableText"/>
              <w:jc w:val="center"/>
            </w:pPr>
            <w:r>
              <w:t>1.18</w:t>
            </w:r>
          </w:p>
        </w:tc>
      </w:tr>
      <w:tr w:rsidR="00B40966">
        <w:trPr>
          <w:cantSplit/>
        </w:trPr>
        <w:tc>
          <w:tcPr>
            <w:tcW w:w="1220" w:type="dxa"/>
          </w:tcPr>
          <w:p w:rsidR="00B40966" w:rsidRDefault="00B40966">
            <w:pPr>
              <w:pStyle w:val="TableText"/>
              <w:jc w:val="center"/>
            </w:pPr>
            <w:r>
              <w:t>2.3</w:t>
            </w:r>
          </w:p>
        </w:tc>
        <w:tc>
          <w:tcPr>
            <w:tcW w:w="1180" w:type="dxa"/>
          </w:tcPr>
          <w:p w:rsidR="00B40966" w:rsidRDefault="00B40966">
            <w:pPr>
              <w:pStyle w:val="TableText"/>
              <w:jc w:val="center"/>
            </w:pPr>
            <w:r>
              <w:t>1.84</w:t>
            </w:r>
          </w:p>
        </w:tc>
        <w:tc>
          <w:tcPr>
            <w:tcW w:w="1200" w:type="dxa"/>
          </w:tcPr>
          <w:p w:rsidR="00B40966" w:rsidRDefault="00B40966">
            <w:pPr>
              <w:pStyle w:val="TableText"/>
              <w:jc w:val="center"/>
            </w:pPr>
            <w:r>
              <w:t>4.5</w:t>
            </w:r>
          </w:p>
        </w:tc>
        <w:tc>
          <w:tcPr>
            <w:tcW w:w="1200" w:type="dxa"/>
          </w:tcPr>
          <w:p w:rsidR="00B40966" w:rsidRDefault="00B40966">
            <w:pPr>
              <w:pStyle w:val="TableText"/>
              <w:jc w:val="center"/>
            </w:pPr>
            <w:r>
              <w:t>1.35</w:t>
            </w:r>
          </w:p>
        </w:tc>
        <w:tc>
          <w:tcPr>
            <w:tcW w:w="1200" w:type="dxa"/>
            <w:gridSpan w:val="2"/>
          </w:tcPr>
          <w:p w:rsidR="00B40966" w:rsidRDefault="00B40966">
            <w:pPr>
              <w:pStyle w:val="TableText"/>
              <w:jc w:val="center"/>
            </w:pPr>
            <w:r>
              <w:t>8.5</w:t>
            </w:r>
          </w:p>
        </w:tc>
        <w:tc>
          <w:tcPr>
            <w:tcW w:w="1280" w:type="dxa"/>
          </w:tcPr>
          <w:p w:rsidR="00B40966" w:rsidRDefault="00B40966">
            <w:pPr>
              <w:pStyle w:val="TableText"/>
              <w:jc w:val="center"/>
            </w:pPr>
            <w:r>
              <w:t>1.17</w:t>
            </w:r>
          </w:p>
        </w:tc>
      </w:tr>
      <w:tr w:rsidR="00B40966">
        <w:trPr>
          <w:cantSplit/>
        </w:trPr>
        <w:tc>
          <w:tcPr>
            <w:tcW w:w="1220" w:type="dxa"/>
          </w:tcPr>
          <w:p w:rsidR="00B40966" w:rsidRDefault="00B40966">
            <w:pPr>
              <w:pStyle w:val="TableText"/>
              <w:jc w:val="center"/>
            </w:pPr>
            <w:r>
              <w:t>2.4</w:t>
            </w:r>
          </w:p>
        </w:tc>
        <w:tc>
          <w:tcPr>
            <w:tcW w:w="1180" w:type="dxa"/>
          </w:tcPr>
          <w:p w:rsidR="00B40966" w:rsidRDefault="00B40966">
            <w:pPr>
              <w:pStyle w:val="TableText"/>
              <w:jc w:val="center"/>
            </w:pPr>
            <w:r>
              <w:t>1.79</w:t>
            </w:r>
          </w:p>
        </w:tc>
        <w:tc>
          <w:tcPr>
            <w:tcW w:w="1200" w:type="dxa"/>
          </w:tcPr>
          <w:p w:rsidR="00B40966" w:rsidRDefault="00B40966">
            <w:pPr>
              <w:pStyle w:val="TableText"/>
              <w:jc w:val="center"/>
            </w:pPr>
            <w:r>
              <w:t>4.6</w:t>
            </w:r>
          </w:p>
        </w:tc>
        <w:tc>
          <w:tcPr>
            <w:tcW w:w="1200" w:type="dxa"/>
          </w:tcPr>
          <w:p w:rsidR="00B40966" w:rsidRDefault="00B40966">
            <w:pPr>
              <w:pStyle w:val="TableText"/>
              <w:jc w:val="center"/>
            </w:pPr>
            <w:r>
              <w:t>1.34</w:t>
            </w:r>
          </w:p>
        </w:tc>
        <w:tc>
          <w:tcPr>
            <w:tcW w:w="1200" w:type="dxa"/>
            <w:gridSpan w:val="2"/>
          </w:tcPr>
          <w:p w:rsidR="00B40966" w:rsidRDefault="00B40966">
            <w:pPr>
              <w:pStyle w:val="TableText"/>
              <w:jc w:val="center"/>
            </w:pPr>
            <w:r>
              <w:t>9.0</w:t>
            </w:r>
          </w:p>
        </w:tc>
        <w:tc>
          <w:tcPr>
            <w:tcW w:w="1280" w:type="dxa"/>
          </w:tcPr>
          <w:p w:rsidR="00B40966" w:rsidRDefault="00B40966">
            <w:pPr>
              <w:pStyle w:val="TableText"/>
              <w:jc w:val="center"/>
            </w:pPr>
            <w:r>
              <w:t>1.16</w:t>
            </w:r>
          </w:p>
        </w:tc>
      </w:tr>
      <w:tr w:rsidR="00B40966">
        <w:trPr>
          <w:cantSplit/>
        </w:trPr>
        <w:tc>
          <w:tcPr>
            <w:tcW w:w="1220" w:type="dxa"/>
          </w:tcPr>
          <w:p w:rsidR="00B40966" w:rsidRDefault="00B40966">
            <w:pPr>
              <w:pStyle w:val="TableText"/>
              <w:jc w:val="center"/>
            </w:pPr>
            <w:r>
              <w:t>2.5</w:t>
            </w:r>
          </w:p>
        </w:tc>
        <w:tc>
          <w:tcPr>
            <w:tcW w:w="1180" w:type="dxa"/>
          </w:tcPr>
          <w:p w:rsidR="00B40966" w:rsidRDefault="00B40966">
            <w:pPr>
              <w:pStyle w:val="TableText"/>
              <w:jc w:val="center"/>
            </w:pPr>
            <w:r>
              <w:t>1.75</w:t>
            </w:r>
          </w:p>
        </w:tc>
        <w:tc>
          <w:tcPr>
            <w:tcW w:w="1200" w:type="dxa"/>
          </w:tcPr>
          <w:p w:rsidR="00B40966" w:rsidRDefault="00B40966">
            <w:pPr>
              <w:pStyle w:val="TableText"/>
              <w:jc w:val="center"/>
            </w:pPr>
            <w:r>
              <w:t>4.7</w:t>
            </w:r>
          </w:p>
        </w:tc>
        <w:tc>
          <w:tcPr>
            <w:tcW w:w="1200" w:type="dxa"/>
          </w:tcPr>
          <w:p w:rsidR="00B40966" w:rsidRDefault="00B40966">
            <w:pPr>
              <w:pStyle w:val="TableText"/>
              <w:jc w:val="center"/>
            </w:pPr>
            <w:r>
              <w:t>1.34</w:t>
            </w:r>
          </w:p>
        </w:tc>
        <w:tc>
          <w:tcPr>
            <w:tcW w:w="1200" w:type="dxa"/>
            <w:gridSpan w:val="2"/>
          </w:tcPr>
          <w:p w:rsidR="00B40966" w:rsidRDefault="00B40966">
            <w:pPr>
              <w:pStyle w:val="TableText"/>
              <w:jc w:val="center"/>
            </w:pPr>
            <w:r>
              <w:t>9.5</w:t>
            </w:r>
          </w:p>
        </w:tc>
        <w:tc>
          <w:tcPr>
            <w:tcW w:w="1280" w:type="dxa"/>
          </w:tcPr>
          <w:p w:rsidR="00B40966" w:rsidRDefault="00B40966">
            <w:pPr>
              <w:pStyle w:val="TableText"/>
              <w:jc w:val="center"/>
            </w:pPr>
            <w:r>
              <w:t>1.15</w:t>
            </w:r>
          </w:p>
        </w:tc>
      </w:tr>
      <w:tr w:rsidR="00B40966">
        <w:trPr>
          <w:cantSplit/>
        </w:trPr>
        <w:tc>
          <w:tcPr>
            <w:tcW w:w="1220" w:type="dxa"/>
          </w:tcPr>
          <w:p w:rsidR="00B40966" w:rsidRDefault="00B40966">
            <w:pPr>
              <w:pStyle w:val="TableText"/>
              <w:jc w:val="center"/>
            </w:pPr>
            <w:r>
              <w:t>2.6</w:t>
            </w:r>
          </w:p>
        </w:tc>
        <w:tc>
          <w:tcPr>
            <w:tcW w:w="1180" w:type="dxa"/>
          </w:tcPr>
          <w:p w:rsidR="00B40966" w:rsidRDefault="00B40966">
            <w:pPr>
              <w:pStyle w:val="TableText"/>
              <w:jc w:val="center"/>
            </w:pPr>
            <w:r>
              <w:t>1.71</w:t>
            </w:r>
          </w:p>
        </w:tc>
        <w:tc>
          <w:tcPr>
            <w:tcW w:w="1200" w:type="dxa"/>
          </w:tcPr>
          <w:p w:rsidR="00B40966" w:rsidRDefault="00B40966">
            <w:pPr>
              <w:pStyle w:val="TableText"/>
              <w:jc w:val="center"/>
            </w:pPr>
            <w:r>
              <w:t>4.8</w:t>
            </w:r>
          </w:p>
        </w:tc>
        <w:tc>
          <w:tcPr>
            <w:tcW w:w="1200" w:type="dxa"/>
          </w:tcPr>
          <w:p w:rsidR="00B40966" w:rsidRDefault="00B40966">
            <w:pPr>
              <w:pStyle w:val="TableText"/>
              <w:jc w:val="center"/>
            </w:pPr>
            <w:r>
              <w:t>1.32</w:t>
            </w:r>
          </w:p>
        </w:tc>
        <w:tc>
          <w:tcPr>
            <w:tcW w:w="1200" w:type="dxa"/>
            <w:gridSpan w:val="2"/>
          </w:tcPr>
          <w:p w:rsidR="00B40966" w:rsidRDefault="00B40966">
            <w:pPr>
              <w:pStyle w:val="TableText"/>
              <w:jc w:val="center"/>
            </w:pPr>
            <w:r>
              <w:t>10.0</w:t>
            </w:r>
          </w:p>
        </w:tc>
        <w:tc>
          <w:tcPr>
            <w:tcW w:w="1280" w:type="dxa"/>
          </w:tcPr>
          <w:p w:rsidR="00B40966" w:rsidRDefault="00B40966">
            <w:pPr>
              <w:pStyle w:val="TableText"/>
              <w:jc w:val="center"/>
            </w:pPr>
            <w:r>
              <w:t>1.14</w:t>
            </w:r>
          </w:p>
        </w:tc>
      </w:tr>
      <w:tr w:rsidR="00B40966">
        <w:trPr>
          <w:cantSplit/>
        </w:trPr>
        <w:tc>
          <w:tcPr>
            <w:tcW w:w="1220" w:type="dxa"/>
          </w:tcPr>
          <w:p w:rsidR="00B40966" w:rsidRDefault="00B40966">
            <w:pPr>
              <w:pStyle w:val="TableText"/>
              <w:jc w:val="center"/>
            </w:pPr>
            <w:r>
              <w:t>2.7</w:t>
            </w:r>
          </w:p>
        </w:tc>
        <w:tc>
          <w:tcPr>
            <w:tcW w:w="1180" w:type="dxa"/>
          </w:tcPr>
          <w:p w:rsidR="00B40966" w:rsidRDefault="00B40966">
            <w:pPr>
              <w:pStyle w:val="TableText"/>
              <w:jc w:val="center"/>
            </w:pPr>
            <w:r>
              <w:t>1.68</w:t>
            </w:r>
          </w:p>
        </w:tc>
        <w:tc>
          <w:tcPr>
            <w:tcW w:w="1200" w:type="dxa"/>
          </w:tcPr>
          <w:p w:rsidR="00B40966" w:rsidRDefault="00B40966">
            <w:pPr>
              <w:pStyle w:val="TableText"/>
              <w:jc w:val="center"/>
            </w:pPr>
            <w:r>
              <w:t>4.9</w:t>
            </w:r>
          </w:p>
        </w:tc>
        <w:tc>
          <w:tcPr>
            <w:tcW w:w="1200" w:type="dxa"/>
          </w:tcPr>
          <w:p w:rsidR="00B40966" w:rsidRDefault="00B40966">
            <w:pPr>
              <w:pStyle w:val="TableText"/>
              <w:jc w:val="center"/>
            </w:pPr>
            <w:r>
              <w:t>1.32</w:t>
            </w:r>
          </w:p>
        </w:tc>
        <w:tc>
          <w:tcPr>
            <w:tcW w:w="1200" w:type="dxa"/>
            <w:gridSpan w:val="2"/>
          </w:tcPr>
          <w:p w:rsidR="00B40966" w:rsidRDefault="00B40966">
            <w:pPr>
              <w:pStyle w:val="TableText"/>
              <w:jc w:val="center"/>
            </w:pPr>
            <w:r>
              <w:t>10.5</w:t>
            </w:r>
          </w:p>
        </w:tc>
        <w:tc>
          <w:tcPr>
            <w:tcW w:w="1280" w:type="dxa"/>
          </w:tcPr>
          <w:p w:rsidR="00B40966" w:rsidRDefault="00B40966">
            <w:pPr>
              <w:pStyle w:val="TableText"/>
              <w:jc w:val="center"/>
            </w:pPr>
            <w:r>
              <w:t>1.14</w:t>
            </w:r>
          </w:p>
        </w:tc>
      </w:tr>
      <w:tr w:rsidR="00B40966">
        <w:trPr>
          <w:cantSplit/>
        </w:trPr>
        <w:tc>
          <w:tcPr>
            <w:tcW w:w="1220" w:type="dxa"/>
          </w:tcPr>
          <w:p w:rsidR="00B40966" w:rsidRDefault="00B40966">
            <w:pPr>
              <w:pStyle w:val="TableText"/>
              <w:jc w:val="center"/>
            </w:pPr>
            <w:r>
              <w:t>2.8</w:t>
            </w:r>
          </w:p>
        </w:tc>
        <w:tc>
          <w:tcPr>
            <w:tcW w:w="1180" w:type="dxa"/>
          </w:tcPr>
          <w:p w:rsidR="00B40966" w:rsidRDefault="00B40966">
            <w:pPr>
              <w:pStyle w:val="TableText"/>
              <w:jc w:val="center"/>
            </w:pPr>
            <w:r>
              <w:t>1.64</w:t>
            </w:r>
          </w:p>
        </w:tc>
        <w:tc>
          <w:tcPr>
            <w:tcW w:w="1200" w:type="dxa"/>
          </w:tcPr>
          <w:p w:rsidR="00B40966" w:rsidRDefault="00B40966">
            <w:pPr>
              <w:pStyle w:val="TableText"/>
              <w:jc w:val="center"/>
            </w:pPr>
            <w:r>
              <w:t>5.0</w:t>
            </w:r>
          </w:p>
        </w:tc>
        <w:tc>
          <w:tcPr>
            <w:tcW w:w="1200" w:type="dxa"/>
          </w:tcPr>
          <w:p w:rsidR="00B40966" w:rsidRDefault="00B40966">
            <w:pPr>
              <w:pStyle w:val="TableText"/>
              <w:jc w:val="center"/>
            </w:pPr>
            <w:r>
              <w:t>1.31</w:t>
            </w:r>
          </w:p>
        </w:tc>
        <w:tc>
          <w:tcPr>
            <w:tcW w:w="1200" w:type="dxa"/>
            <w:gridSpan w:val="2"/>
          </w:tcPr>
          <w:p w:rsidR="00B40966" w:rsidRDefault="00B40966">
            <w:pPr>
              <w:pStyle w:val="TableText"/>
              <w:jc w:val="center"/>
            </w:pPr>
            <w:r>
              <w:t>11.0</w:t>
            </w:r>
          </w:p>
        </w:tc>
        <w:tc>
          <w:tcPr>
            <w:tcW w:w="1280" w:type="dxa"/>
          </w:tcPr>
          <w:p w:rsidR="00B40966" w:rsidRDefault="00B40966">
            <w:pPr>
              <w:pStyle w:val="TableText"/>
              <w:jc w:val="center"/>
            </w:pPr>
            <w:r>
              <w:t>1.13</w:t>
            </w:r>
          </w:p>
        </w:tc>
      </w:tr>
      <w:tr w:rsidR="00B40966">
        <w:trPr>
          <w:cantSplit/>
        </w:trPr>
        <w:tc>
          <w:tcPr>
            <w:tcW w:w="1220" w:type="dxa"/>
          </w:tcPr>
          <w:p w:rsidR="00B40966" w:rsidRDefault="00B40966">
            <w:pPr>
              <w:pStyle w:val="TableText"/>
              <w:jc w:val="center"/>
            </w:pPr>
            <w:r>
              <w:t>2.9</w:t>
            </w:r>
          </w:p>
        </w:tc>
        <w:tc>
          <w:tcPr>
            <w:tcW w:w="1180" w:type="dxa"/>
          </w:tcPr>
          <w:p w:rsidR="00B40966" w:rsidRDefault="00B40966">
            <w:pPr>
              <w:pStyle w:val="TableText"/>
              <w:jc w:val="center"/>
            </w:pPr>
            <w:r>
              <w:t>1.60</w:t>
            </w:r>
          </w:p>
        </w:tc>
        <w:tc>
          <w:tcPr>
            <w:tcW w:w="1200" w:type="dxa"/>
          </w:tcPr>
          <w:p w:rsidR="00B40966" w:rsidRDefault="00B40966">
            <w:pPr>
              <w:pStyle w:val="TableText"/>
              <w:jc w:val="center"/>
            </w:pPr>
            <w:r>
              <w:t>5.2</w:t>
            </w:r>
          </w:p>
        </w:tc>
        <w:tc>
          <w:tcPr>
            <w:tcW w:w="1200" w:type="dxa"/>
          </w:tcPr>
          <w:p w:rsidR="00B40966" w:rsidRDefault="00B40966">
            <w:pPr>
              <w:pStyle w:val="TableText"/>
              <w:jc w:val="center"/>
            </w:pPr>
            <w:r>
              <w:t>1.30</w:t>
            </w:r>
          </w:p>
        </w:tc>
        <w:tc>
          <w:tcPr>
            <w:tcW w:w="1200" w:type="dxa"/>
            <w:gridSpan w:val="2"/>
          </w:tcPr>
          <w:p w:rsidR="00B40966" w:rsidRDefault="00B40966">
            <w:pPr>
              <w:pStyle w:val="TableText"/>
              <w:jc w:val="center"/>
            </w:pPr>
            <w:r>
              <w:t>11.5</w:t>
            </w:r>
          </w:p>
        </w:tc>
        <w:tc>
          <w:tcPr>
            <w:tcW w:w="1280" w:type="dxa"/>
          </w:tcPr>
          <w:p w:rsidR="00B40966" w:rsidRDefault="00B40966">
            <w:pPr>
              <w:pStyle w:val="TableText"/>
              <w:jc w:val="center"/>
            </w:pPr>
            <w:r>
              <w:t>1.12</w:t>
            </w:r>
          </w:p>
        </w:tc>
      </w:tr>
      <w:tr w:rsidR="00B40966">
        <w:trPr>
          <w:cantSplit/>
        </w:trPr>
        <w:tc>
          <w:tcPr>
            <w:tcW w:w="1220" w:type="dxa"/>
          </w:tcPr>
          <w:p w:rsidR="00B40966" w:rsidRDefault="00B40966">
            <w:pPr>
              <w:pStyle w:val="TableText"/>
              <w:jc w:val="center"/>
            </w:pPr>
            <w:r>
              <w:t>3.0</w:t>
            </w:r>
          </w:p>
        </w:tc>
        <w:tc>
          <w:tcPr>
            <w:tcW w:w="1180" w:type="dxa"/>
          </w:tcPr>
          <w:p w:rsidR="00B40966" w:rsidRDefault="00B40966">
            <w:pPr>
              <w:pStyle w:val="TableText"/>
              <w:jc w:val="center"/>
            </w:pPr>
            <w:r>
              <w:t>1.58</w:t>
            </w:r>
          </w:p>
        </w:tc>
        <w:tc>
          <w:tcPr>
            <w:tcW w:w="1200" w:type="dxa"/>
          </w:tcPr>
          <w:p w:rsidR="00B40966" w:rsidRDefault="00B40966">
            <w:pPr>
              <w:pStyle w:val="TableText"/>
              <w:jc w:val="center"/>
            </w:pPr>
            <w:r>
              <w:t>5.4</w:t>
            </w:r>
          </w:p>
        </w:tc>
        <w:tc>
          <w:tcPr>
            <w:tcW w:w="1200" w:type="dxa"/>
          </w:tcPr>
          <w:p w:rsidR="00B40966" w:rsidRDefault="00B40966">
            <w:pPr>
              <w:pStyle w:val="TableText"/>
              <w:jc w:val="center"/>
            </w:pPr>
            <w:r>
              <w:t>1.28</w:t>
            </w:r>
          </w:p>
        </w:tc>
        <w:tc>
          <w:tcPr>
            <w:tcW w:w="1200" w:type="dxa"/>
            <w:gridSpan w:val="2"/>
          </w:tcPr>
          <w:p w:rsidR="00B40966" w:rsidRDefault="00B40966">
            <w:pPr>
              <w:pStyle w:val="TableText"/>
              <w:jc w:val="center"/>
            </w:pPr>
            <w:r>
              <w:t>12.0</w:t>
            </w:r>
          </w:p>
        </w:tc>
        <w:tc>
          <w:tcPr>
            <w:tcW w:w="1280" w:type="dxa"/>
          </w:tcPr>
          <w:p w:rsidR="00B40966" w:rsidRDefault="00B40966">
            <w:pPr>
              <w:pStyle w:val="TableText"/>
              <w:jc w:val="center"/>
            </w:pPr>
            <w:r>
              <w:t>1.12</w:t>
            </w:r>
          </w:p>
        </w:tc>
      </w:tr>
      <w:tr w:rsidR="00B40966">
        <w:trPr>
          <w:cantSplit/>
        </w:trPr>
        <w:tc>
          <w:tcPr>
            <w:tcW w:w="1220" w:type="dxa"/>
          </w:tcPr>
          <w:p w:rsidR="00B40966" w:rsidRDefault="00B40966">
            <w:pPr>
              <w:pStyle w:val="TableText"/>
              <w:jc w:val="center"/>
            </w:pPr>
            <w:r>
              <w:t>3.1</w:t>
            </w:r>
          </w:p>
        </w:tc>
        <w:tc>
          <w:tcPr>
            <w:tcW w:w="1180" w:type="dxa"/>
          </w:tcPr>
          <w:p w:rsidR="00B40966" w:rsidRDefault="00B40966">
            <w:pPr>
              <w:pStyle w:val="TableText"/>
              <w:jc w:val="center"/>
            </w:pPr>
            <w:r>
              <w:t>1.56</w:t>
            </w:r>
          </w:p>
        </w:tc>
        <w:tc>
          <w:tcPr>
            <w:tcW w:w="1200" w:type="dxa"/>
          </w:tcPr>
          <w:p w:rsidR="00B40966" w:rsidRDefault="00B40966">
            <w:pPr>
              <w:pStyle w:val="TableText"/>
              <w:jc w:val="center"/>
            </w:pPr>
            <w:r>
              <w:t>5.6</w:t>
            </w:r>
          </w:p>
        </w:tc>
        <w:tc>
          <w:tcPr>
            <w:tcW w:w="1200" w:type="dxa"/>
          </w:tcPr>
          <w:p w:rsidR="00B40966" w:rsidRDefault="00B40966">
            <w:pPr>
              <w:pStyle w:val="TableText"/>
              <w:jc w:val="center"/>
            </w:pPr>
            <w:r>
              <w:t>1.27</w:t>
            </w:r>
          </w:p>
        </w:tc>
        <w:tc>
          <w:tcPr>
            <w:tcW w:w="1200" w:type="dxa"/>
            <w:gridSpan w:val="2"/>
          </w:tcPr>
          <w:p w:rsidR="00B40966" w:rsidRDefault="00B40966">
            <w:pPr>
              <w:pStyle w:val="TableText"/>
              <w:jc w:val="center"/>
            </w:pPr>
            <w:r>
              <w:t>12.5</w:t>
            </w:r>
          </w:p>
        </w:tc>
        <w:tc>
          <w:tcPr>
            <w:tcW w:w="1280" w:type="dxa"/>
          </w:tcPr>
          <w:p w:rsidR="00B40966" w:rsidRDefault="00B40966">
            <w:pPr>
              <w:pStyle w:val="TableText"/>
              <w:jc w:val="center"/>
            </w:pPr>
            <w:r>
              <w:t>1.11</w:t>
            </w:r>
          </w:p>
        </w:tc>
      </w:tr>
      <w:tr w:rsidR="00B40966">
        <w:trPr>
          <w:cantSplit/>
        </w:trPr>
        <w:tc>
          <w:tcPr>
            <w:tcW w:w="1220" w:type="dxa"/>
          </w:tcPr>
          <w:p w:rsidR="00B40966" w:rsidRDefault="00B40966">
            <w:pPr>
              <w:pStyle w:val="TableText"/>
              <w:jc w:val="center"/>
            </w:pPr>
            <w:r>
              <w:t>3.2</w:t>
            </w:r>
          </w:p>
        </w:tc>
        <w:tc>
          <w:tcPr>
            <w:tcW w:w="1180" w:type="dxa"/>
          </w:tcPr>
          <w:p w:rsidR="00B40966" w:rsidRDefault="00B40966">
            <w:pPr>
              <w:pStyle w:val="TableText"/>
              <w:jc w:val="center"/>
            </w:pPr>
            <w:r>
              <w:t>1.53</w:t>
            </w:r>
          </w:p>
        </w:tc>
        <w:tc>
          <w:tcPr>
            <w:tcW w:w="1200" w:type="dxa"/>
          </w:tcPr>
          <w:p w:rsidR="00B40966" w:rsidRDefault="00B40966">
            <w:pPr>
              <w:pStyle w:val="TableText"/>
              <w:jc w:val="center"/>
            </w:pPr>
            <w:r>
              <w:t>5.8</w:t>
            </w:r>
          </w:p>
        </w:tc>
        <w:tc>
          <w:tcPr>
            <w:tcW w:w="1200" w:type="dxa"/>
          </w:tcPr>
          <w:p w:rsidR="00B40966" w:rsidRDefault="00B40966">
            <w:pPr>
              <w:pStyle w:val="TableText"/>
              <w:jc w:val="center"/>
            </w:pPr>
            <w:r>
              <w:t>1.26</w:t>
            </w:r>
          </w:p>
        </w:tc>
        <w:tc>
          <w:tcPr>
            <w:tcW w:w="1200" w:type="dxa"/>
            <w:gridSpan w:val="2"/>
          </w:tcPr>
          <w:p w:rsidR="00B40966" w:rsidRDefault="00B40966">
            <w:pPr>
              <w:pStyle w:val="TableText"/>
              <w:jc w:val="center"/>
            </w:pPr>
            <w:r>
              <w:t>13.0</w:t>
            </w:r>
          </w:p>
        </w:tc>
        <w:tc>
          <w:tcPr>
            <w:tcW w:w="1280" w:type="dxa"/>
          </w:tcPr>
          <w:p w:rsidR="00B40966" w:rsidRDefault="00B40966">
            <w:pPr>
              <w:pStyle w:val="TableText"/>
              <w:jc w:val="center"/>
            </w:pPr>
            <w:r>
              <w:t>1.11</w:t>
            </w:r>
          </w:p>
        </w:tc>
      </w:tr>
      <w:tr w:rsidR="00B40966">
        <w:trPr>
          <w:cantSplit/>
        </w:trPr>
        <w:tc>
          <w:tcPr>
            <w:tcW w:w="1220" w:type="dxa"/>
          </w:tcPr>
          <w:p w:rsidR="00B40966" w:rsidRDefault="00B40966">
            <w:pPr>
              <w:pStyle w:val="TableText"/>
              <w:jc w:val="center"/>
            </w:pPr>
            <w:r>
              <w:t>3.3</w:t>
            </w:r>
          </w:p>
        </w:tc>
        <w:tc>
          <w:tcPr>
            <w:tcW w:w="1180" w:type="dxa"/>
          </w:tcPr>
          <w:p w:rsidR="00B40966" w:rsidRDefault="00B40966">
            <w:pPr>
              <w:pStyle w:val="TableText"/>
              <w:jc w:val="center"/>
            </w:pPr>
            <w:r>
              <w:t>1.51</w:t>
            </w:r>
          </w:p>
        </w:tc>
        <w:tc>
          <w:tcPr>
            <w:tcW w:w="1200" w:type="dxa"/>
          </w:tcPr>
          <w:p w:rsidR="00B40966" w:rsidRDefault="00B40966">
            <w:pPr>
              <w:pStyle w:val="TableText"/>
              <w:jc w:val="center"/>
            </w:pPr>
            <w:r>
              <w:t>6.0</w:t>
            </w:r>
          </w:p>
        </w:tc>
        <w:tc>
          <w:tcPr>
            <w:tcW w:w="1200" w:type="dxa"/>
          </w:tcPr>
          <w:p w:rsidR="00B40966" w:rsidRDefault="00B40966">
            <w:pPr>
              <w:pStyle w:val="TableText"/>
              <w:jc w:val="center"/>
            </w:pPr>
            <w:r>
              <w:t>1.25</w:t>
            </w:r>
          </w:p>
        </w:tc>
        <w:tc>
          <w:tcPr>
            <w:tcW w:w="1200" w:type="dxa"/>
            <w:gridSpan w:val="2"/>
          </w:tcPr>
          <w:p w:rsidR="00B40966" w:rsidRDefault="00B40966">
            <w:pPr>
              <w:pStyle w:val="TableText"/>
              <w:jc w:val="center"/>
            </w:pPr>
            <w:r>
              <w:t>13.5</w:t>
            </w:r>
          </w:p>
        </w:tc>
        <w:tc>
          <w:tcPr>
            <w:tcW w:w="1280" w:type="dxa"/>
          </w:tcPr>
          <w:p w:rsidR="00B40966" w:rsidRDefault="00B40966">
            <w:pPr>
              <w:pStyle w:val="TableText"/>
              <w:jc w:val="center"/>
            </w:pPr>
            <w:r>
              <w:t>1.11</w:t>
            </w:r>
          </w:p>
        </w:tc>
      </w:tr>
      <w:tr w:rsidR="00B40966">
        <w:trPr>
          <w:cantSplit/>
        </w:trPr>
        <w:tc>
          <w:tcPr>
            <w:tcW w:w="1220" w:type="dxa"/>
          </w:tcPr>
          <w:p w:rsidR="00B40966" w:rsidRDefault="00B40966">
            <w:pPr>
              <w:pStyle w:val="TableText"/>
              <w:jc w:val="center"/>
            </w:pPr>
            <w:r>
              <w:t>3.4</w:t>
            </w:r>
          </w:p>
        </w:tc>
        <w:tc>
          <w:tcPr>
            <w:tcW w:w="1180" w:type="dxa"/>
          </w:tcPr>
          <w:p w:rsidR="00B40966" w:rsidRDefault="00B40966">
            <w:pPr>
              <w:pStyle w:val="TableText"/>
              <w:jc w:val="center"/>
            </w:pPr>
            <w:r>
              <w:t>1.49</w:t>
            </w:r>
          </w:p>
        </w:tc>
        <w:tc>
          <w:tcPr>
            <w:tcW w:w="1200" w:type="dxa"/>
          </w:tcPr>
          <w:p w:rsidR="00B40966" w:rsidRDefault="00B40966">
            <w:pPr>
              <w:pStyle w:val="TableText"/>
              <w:jc w:val="center"/>
            </w:pPr>
            <w:r>
              <w:t>6.2</w:t>
            </w:r>
          </w:p>
        </w:tc>
        <w:tc>
          <w:tcPr>
            <w:tcW w:w="1200" w:type="dxa"/>
          </w:tcPr>
          <w:p w:rsidR="00B40966" w:rsidRDefault="00B40966">
            <w:pPr>
              <w:pStyle w:val="TableText"/>
              <w:jc w:val="center"/>
            </w:pPr>
            <w:r>
              <w:t>1.24</w:t>
            </w:r>
          </w:p>
        </w:tc>
        <w:tc>
          <w:tcPr>
            <w:tcW w:w="1200" w:type="dxa"/>
            <w:gridSpan w:val="2"/>
          </w:tcPr>
          <w:p w:rsidR="00B40966" w:rsidRDefault="00B40966">
            <w:pPr>
              <w:pStyle w:val="TableText"/>
              <w:jc w:val="center"/>
            </w:pPr>
            <w:r>
              <w:t>14.0</w:t>
            </w:r>
          </w:p>
        </w:tc>
        <w:tc>
          <w:tcPr>
            <w:tcW w:w="1280" w:type="dxa"/>
          </w:tcPr>
          <w:p w:rsidR="00B40966" w:rsidRDefault="00B40966">
            <w:pPr>
              <w:pStyle w:val="TableText"/>
              <w:jc w:val="center"/>
            </w:pPr>
            <w:r>
              <w:t>1.10</w:t>
            </w:r>
          </w:p>
        </w:tc>
      </w:tr>
      <w:tr w:rsidR="00B40966">
        <w:trPr>
          <w:cantSplit/>
        </w:trPr>
        <w:tc>
          <w:tcPr>
            <w:tcW w:w="1220" w:type="dxa"/>
          </w:tcPr>
          <w:p w:rsidR="00B40966" w:rsidRDefault="00B40966">
            <w:pPr>
              <w:pStyle w:val="TableText"/>
              <w:jc w:val="center"/>
            </w:pPr>
            <w:r>
              <w:t>3.5</w:t>
            </w:r>
          </w:p>
        </w:tc>
        <w:tc>
          <w:tcPr>
            <w:tcW w:w="1180" w:type="dxa"/>
          </w:tcPr>
          <w:p w:rsidR="00B40966" w:rsidRDefault="00B40966">
            <w:pPr>
              <w:pStyle w:val="TableText"/>
              <w:jc w:val="center"/>
            </w:pPr>
            <w:r>
              <w:t>1.48</w:t>
            </w:r>
          </w:p>
        </w:tc>
        <w:tc>
          <w:tcPr>
            <w:tcW w:w="1200" w:type="dxa"/>
          </w:tcPr>
          <w:p w:rsidR="00B40966" w:rsidRDefault="00B40966">
            <w:pPr>
              <w:pStyle w:val="TableText"/>
              <w:jc w:val="center"/>
            </w:pPr>
            <w:r>
              <w:t>6.4</w:t>
            </w:r>
          </w:p>
        </w:tc>
        <w:tc>
          <w:tcPr>
            <w:tcW w:w="1200" w:type="dxa"/>
          </w:tcPr>
          <w:p w:rsidR="00B40966" w:rsidRDefault="00B40966">
            <w:pPr>
              <w:pStyle w:val="TableText"/>
              <w:jc w:val="center"/>
            </w:pPr>
            <w:r>
              <w:t>1.24</w:t>
            </w:r>
          </w:p>
        </w:tc>
        <w:tc>
          <w:tcPr>
            <w:tcW w:w="1200" w:type="dxa"/>
            <w:gridSpan w:val="2"/>
          </w:tcPr>
          <w:p w:rsidR="00B40966" w:rsidRDefault="00B40966">
            <w:pPr>
              <w:pStyle w:val="TableText"/>
              <w:jc w:val="center"/>
            </w:pPr>
            <w:r>
              <w:t>14.5</w:t>
            </w:r>
          </w:p>
        </w:tc>
        <w:tc>
          <w:tcPr>
            <w:tcW w:w="1280" w:type="dxa"/>
          </w:tcPr>
          <w:p w:rsidR="00B40966" w:rsidRDefault="00B40966">
            <w:pPr>
              <w:pStyle w:val="TableText"/>
              <w:jc w:val="center"/>
            </w:pPr>
            <w:r>
              <w:t>1.10</w:t>
            </w:r>
          </w:p>
        </w:tc>
      </w:tr>
      <w:tr w:rsidR="00B40966">
        <w:trPr>
          <w:cantSplit/>
        </w:trPr>
        <w:tc>
          <w:tcPr>
            <w:tcW w:w="1220" w:type="dxa"/>
          </w:tcPr>
          <w:p w:rsidR="00B40966" w:rsidRDefault="00B40966">
            <w:pPr>
              <w:pStyle w:val="TableText"/>
              <w:jc w:val="center"/>
            </w:pPr>
            <w:r>
              <w:t>3.6</w:t>
            </w:r>
          </w:p>
        </w:tc>
        <w:tc>
          <w:tcPr>
            <w:tcW w:w="1180" w:type="dxa"/>
          </w:tcPr>
          <w:p w:rsidR="00B40966" w:rsidRDefault="00B40966">
            <w:pPr>
              <w:pStyle w:val="TableText"/>
              <w:jc w:val="center"/>
            </w:pPr>
            <w:r>
              <w:t>1.46</w:t>
            </w:r>
          </w:p>
        </w:tc>
        <w:tc>
          <w:tcPr>
            <w:tcW w:w="1200" w:type="dxa"/>
          </w:tcPr>
          <w:p w:rsidR="00B40966" w:rsidRDefault="00B40966">
            <w:pPr>
              <w:pStyle w:val="TableText"/>
              <w:jc w:val="center"/>
            </w:pPr>
            <w:r>
              <w:t>6.6</w:t>
            </w:r>
          </w:p>
        </w:tc>
        <w:tc>
          <w:tcPr>
            <w:tcW w:w="1200" w:type="dxa"/>
          </w:tcPr>
          <w:p w:rsidR="00B40966" w:rsidRDefault="00B40966">
            <w:pPr>
              <w:pStyle w:val="TableText"/>
              <w:jc w:val="center"/>
            </w:pPr>
            <w:r>
              <w:t>1.23</w:t>
            </w:r>
          </w:p>
        </w:tc>
        <w:tc>
          <w:tcPr>
            <w:tcW w:w="1200" w:type="dxa"/>
            <w:gridSpan w:val="2"/>
          </w:tcPr>
          <w:p w:rsidR="00B40966" w:rsidRDefault="00B40966">
            <w:pPr>
              <w:pStyle w:val="TableText"/>
              <w:jc w:val="center"/>
            </w:pPr>
            <w:r>
              <w:t>15.0</w:t>
            </w:r>
          </w:p>
        </w:tc>
        <w:tc>
          <w:tcPr>
            <w:tcW w:w="1280" w:type="dxa"/>
          </w:tcPr>
          <w:p w:rsidR="00B40966" w:rsidRDefault="00B40966">
            <w:pPr>
              <w:pStyle w:val="TableText"/>
              <w:jc w:val="center"/>
            </w:pPr>
            <w:r>
              <w:t>1.10</w:t>
            </w:r>
          </w:p>
        </w:tc>
      </w:tr>
      <w:tr w:rsidR="00B40966">
        <w:trPr>
          <w:cantSplit/>
        </w:trPr>
        <w:tc>
          <w:tcPr>
            <w:tcW w:w="1220" w:type="dxa"/>
          </w:tcPr>
          <w:p w:rsidR="00B40966" w:rsidRDefault="00B40966">
            <w:pPr>
              <w:pStyle w:val="TableText"/>
              <w:jc w:val="center"/>
            </w:pPr>
            <w:r>
              <w:t>3.7</w:t>
            </w:r>
          </w:p>
        </w:tc>
        <w:tc>
          <w:tcPr>
            <w:tcW w:w="1180" w:type="dxa"/>
          </w:tcPr>
          <w:p w:rsidR="00B40966" w:rsidRDefault="00B40966">
            <w:pPr>
              <w:pStyle w:val="TableText"/>
              <w:jc w:val="center"/>
            </w:pPr>
            <w:r>
              <w:t>1.44</w:t>
            </w:r>
          </w:p>
        </w:tc>
        <w:tc>
          <w:tcPr>
            <w:tcW w:w="1200" w:type="dxa"/>
          </w:tcPr>
          <w:p w:rsidR="00B40966" w:rsidRDefault="00B40966">
            <w:pPr>
              <w:pStyle w:val="TableText"/>
              <w:jc w:val="center"/>
            </w:pPr>
            <w:r>
              <w:t>6.8</w:t>
            </w:r>
          </w:p>
        </w:tc>
        <w:tc>
          <w:tcPr>
            <w:tcW w:w="1200" w:type="dxa"/>
          </w:tcPr>
          <w:p w:rsidR="00B40966" w:rsidRDefault="00B40966">
            <w:pPr>
              <w:pStyle w:val="TableText"/>
              <w:jc w:val="center"/>
            </w:pPr>
            <w:r>
              <w:t>1.22</w:t>
            </w:r>
          </w:p>
        </w:tc>
        <w:tc>
          <w:tcPr>
            <w:tcW w:w="1200" w:type="dxa"/>
            <w:gridSpan w:val="2"/>
          </w:tcPr>
          <w:p w:rsidR="00B40966" w:rsidRDefault="00B40966">
            <w:pPr>
              <w:pStyle w:val="TableText"/>
              <w:jc w:val="center"/>
            </w:pPr>
            <w:r>
              <w:t>16.0</w:t>
            </w:r>
          </w:p>
        </w:tc>
        <w:tc>
          <w:tcPr>
            <w:tcW w:w="1280" w:type="dxa"/>
          </w:tcPr>
          <w:p w:rsidR="00B40966" w:rsidRDefault="00B40966">
            <w:pPr>
              <w:pStyle w:val="TableText"/>
              <w:jc w:val="center"/>
            </w:pPr>
            <w:r>
              <w:t>1.09</w:t>
            </w:r>
          </w:p>
        </w:tc>
      </w:tr>
      <w:tr w:rsidR="00B40966">
        <w:trPr>
          <w:cantSplit/>
        </w:trPr>
        <w:tc>
          <w:tcPr>
            <w:tcW w:w="1220" w:type="dxa"/>
          </w:tcPr>
          <w:p w:rsidR="00B40966" w:rsidRDefault="00B40966">
            <w:pPr>
              <w:pStyle w:val="TableText"/>
              <w:jc w:val="center"/>
            </w:pPr>
            <w:r>
              <w:t>3.8</w:t>
            </w:r>
          </w:p>
        </w:tc>
        <w:tc>
          <w:tcPr>
            <w:tcW w:w="1180" w:type="dxa"/>
          </w:tcPr>
          <w:p w:rsidR="00B40966" w:rsidRDefault="00B40966">
            <w:pPr>
              <w:pStyle w:val="TableText"/>
              <w:jc w:val="center"/>
            </w:pPr>
            <w:r>
              <w:t>1.43</w:t>
            </w:r>
          </w:p>
        </w:tc>
        <w:tc>
          <w:tcPr>
            <w:tcW w:w="1200" w:type="dxa"/>
          </w:tcPr>
          <w:p w:rsidR="00B40966" w:rsidRDefault="00B40966">
            <w:pPr>
              <w:pStyle w:val="TableText"/>
              <w:jc w:val="center"/>
            </w:pPr>
            <w:r>
              <w:t>7.0</w:t>
            </w:r>
          </w:p>
        </w:tc>
        <w:tc>
          <w:tcPr>
            <w:tcW w:w="1200" w:type="dxa"/>
          </w:tcPr>
          <w:p w:rsidR="00B40966" w:rsidRDefault="00B40966">
            <w:pPr>
              <w:pStyle w:val="TableText"/>
              <w:jc w:val="center"/>
            </w:pPr>
            <w:r>
              <w:t>1.21</w:t>
            </w:r>
          </w:p>
        </w:tc>
        <w:tc>
          <w:tcPr>
            <w:tcW w:w="1200" w:type="dxa"/>
            <w:gridSpan w:val="2"/>
          </w:tcPr>
          <w:p w:rsidR="00B40966" w:rsidRDefault="00B40966">
            <w:pPr>
              <w:pStyle w:val="TableText"/>
              <w:jc w:val="center"/>
            </w:pPr>
            <w:r>
              <w:t>17.0</w:t>
            </w:r>
          </w:p>
        </w:tc>
        <w:tc>
          <w:tcPr>
            <w:tcW w:w="1280" w:type="dxa"/>
          </w:tcPr>
          <w:p w:rsidR="00B40966" w:rsidRDefault="00B40966">
            <w:pPr>
              <w:pStyle w:val="TableText"/>
              <w:jc w:val="center"/>
            </w:pPr>
            <w:r>
              <w:t>1.08</w:t>
            </w:r>
          </w:p>
        </w:tc>
      </w:tr>
      <w:tr w:rsidR="00B40966">
        <w:trPr>
          <w:cantSplit/>
        </w:trPr>
        <w:tc>
          <w:tcPr>
            <w:tcW w:w="1220" w:type="dxa"/>
          </w:tcPr>
          <w:p w:rsidR="00B40966" w:rsidRDefault="00B40966">
            <w:pPr>
              <w:pStyle w:val="TableText"/>
              <w:jc w:val="center"/>
            </w:pPr>
            <w:r>
              <w:t>3.9</w:t>
            </w:r>
          </w:p>
        </w:tc>
        <w:tc>
          <w:tcPr>
            <w:tcW w:w="1180" w:type="dxa"/>
          </w:tcPr>
          <w:p w:rsidR="00B40966" w:rsidRDefault="00B40966">
            <w:pPr>
              <w:pStyle w:val="TableText"/>
              <w:jc w:val="center"/>
            </w:pPr>
            <w:r>
              <w:t>1.42</w:t>
            </w:r>
          </w:p>
        </w:tc>
        <w:tc>
          <w:tcPr>
            <w:tcW w:w="1200" w:type="dxa"/>
          </w:tcPr>
          <w:p w:rsidR="00B40966" w:rsidRDefault="00B40966">
            <w:pPr>
              <w:pStyle w:val="TableText"/>
              <w:jc w:val="center"/>
            </w:pPr>
            <w:r>
              <w:t>7.2</w:t>
            </w:r>
          </w:p>
        </w:tc>
        <w:tc>
          <w:tcPr>
            <w:tcW w:w="1200" w:type="dxa"/>
          </w:tcPr>
          <w:p w:rsidR="00B40966" w:rsidRDefault="00B40966">
            <w:pPr>
              <w:pStyle w:val="TableText"/>
              <w:jc w:val="center"/>
            </w:pPr>
            <w:r>
              <w:t>1.21</w:t>
            </w:r>
          </w:p>
        </w:tc>
        <w:tc>
          <w:tcPr>
            <w:tcW w:w="1200" w:type="dxa"/>
            <w:gridSpan w:val="2"/>
          </w:tcPr>
          <w:p w:rsidR="00B40966" w:rsidRDefault="00B40966">
            <w:pPr>
              <w:pStyle w:val="TableText"/>
              <w:jc w:val="center"/>
            </w:pPr>
            <w:r>
              <w:t>18.0</w:t>
            </w:r>
          </w:p>
        </w:tc>
        <w:tc>
          <w:tcPr>
            <w:tcW w:w="1280" w:type="dxa"/>
          </w:tcPr>
          <w:p w:rsidR="00B40966" w:rsidRDefault="00B40966">
            <w:pPr>
              <w:pStyle w:val="TableText"/>
              <w:jc w:val="center"/>
            </w:pPr>
            <w:r>
              <w:t>1.08</w:t>
            </w:r>
          </w:p>
        </w:tc>
      </w:tr>
      <w:tr w:rsidR="00B40966">
        <w:trPr>
          <w:cantSplit/>
        </w:trPr>
        <w:tc>
          <w:tcPr>
            <w:tcW w:w="1220" w:type="dxa"/>
          </w:tcPr>
          <w:p w:rsidR="00B40966" w:rsidRDefault="00B40966">
            <w:pPr>
              <w:pStyle w:val="TableText"/>
              <w:jc w:val="center"/>
            </w:pPr>
            <w:r>
              <w:t>4.0</w:t>
            </w:r>
          </w:p>
        </w:tc>
        <w:tc>
          <w:tcPr>
            <w:tcW w:w="1180" w:type="dxa"/>
          </w:tcPr>
          <w:p w:rsidR="00B40966" w:rsidRDefault="00B40966">
            <w:pPr>
              <w:pStyle w:val="TableText"/>
              <w:jc w:val="center"/>
            </w:pPr>
            <w:r>
              <w:t>1.40</w:t>
            </w:r>
          </w:p>
        </w:tc>
        <w:tc>
          <w:tcPr>
            <w:tcW w:w="1200" w:type="dxa"/>
          </w:tcPr>
          <w:p w:rsidR="00B40966" w:rsidRDefault="00B40966">
            <w:pPr>
              <w:pStyle w:val="TableText"/>
              <w:jc w:val="center"/>
            </w:pPr>
            <w:r>
              <w:t>7.4</w:t>
            </w:r>
          </w:p>
        </w:tc>
        <w:tc>
          <w:tcPr>
            <w:tcW w:w="1200" w:type="dxa"/>
          </w:tcPr>
          <w:p w:rsidR="00B40966" w:rsidRDefault="00B40966">
            <w:pPr>
              <w:pStyle w:val="TableText"/>
              <w:jc w:val="center"/>
            </w:pPr>
            <w:r>
              <w:t>1.20</w:t>
            </w:r>
          </w:p>
        </w:tc>
        <w:tc>
          <w:tcPr>
            <w:tcW w:w="1200" w:type="dxa"/>
            <w:gridSpan w:val="2"/>
          </w:tcPr>
          <w:p w:rsidR="00B40966" w:rsidRDefault="00B40966">
            <w:pPr>
              <w:pStyle w:val="TableText"/>
              <w:jc w:val="center"/>
            </w:pPr>
            <w:r>
              <w:t>19.0</w:t>
            </w:r>
          </w:p>
        </w:tc>
        <w:tc>
          <w:tcPr>
            <w:tcW w:w="1280" w:type="dxa"/>
          </w:tcPr>
          <w:p w:rsidR="00B40966" w:rsidRDefault="00B40966">
            <w:pPr>
              <w:pStyle w:val="TableText"/>
              <w:jc w:val="center"/>
            </w:pPr>
            <w:r>
              <w:t>1.07</w:t>
            </w:r>
          </w:p>
        </w:tc>
      </w:tr>
      <w:tr w:rsidR="00B40966">
        <w:trPr>
          <w:cantSplit/>
        </w:trPr>
        <w:tc>
          <w:tcPr>
            <w:tcW w:w="1220" w:type="dxa"/>
          </w:tcPr>
          <w:p w:rsidR="00B40966" w:rsidRDefault="00B40966">
            <w:pPr>
              <w:pStyle w:val="TableText"/>
              <w:jc w:val="center"/>
            </w:pPr>
            <w:r>
              <w:t>4.1</w:t>
            </w:r>
          </w:p>
        </w:tc>
        <w:tc>
          <w:tcPr>
            <w:tcW w:w="1180" w:type="dxa"/>
          </w:tcPr>
          <w:p w:rsidR="00B40966" w:rsidRDefault="00B40966">
            <w:pPr>
              <w:pStyle w:val="TableText"/>
              <w:jc w:val="center"/>
            </w:pPr>
            <w:r>
              <w:t>1.39</w:t>
            </w:r>
          </w:p>
        </w:tc>
        <w:tc>
          <w:tcPr>
            <w:tcW w:w="1200" w:type="dxa"/>
          </w:tcPr>
          <w:p w:rsidR="00B40966" w:rsidRDefault="00B40966">
            <w:pPr>
              <w:pStyle w:val="TableText"/>
              <w:jc w:val="center"/>
            </w:pPr>
          </w:p>
        </w:tc>
        <w:tc>
          <w:tcPr>
            <w:tcW w:w="1200" w:type="dxa"/>
          </w:tcPr>
          <w:p w:rsidR="00B40966" w:rsidRDefault="00B40966">
            <w:pPr>
              <w:pStyle w:val="TableText"/>
              <w:jc w:val="center"/>
            </w:pPr>
          </w:p>
        </w:tc>
        <w:tc>
          <w:tcPr>
            <w:tcW w:w="1200" w:type="dxa"/>
            <w:gridSpan w:val="2"/>
          </w:tcPr>
          <w:p w:rsidR="00B40966" w:rsidRDefault="00B40966">
            <w:pPr>
              <w:pStyle w:val="TableText"/>
              <w:jc w:val="center"/>
            </w:pPr>
          </w:p>
        </w:tc>
        <w:tc>
          <w:tcPr>
            <w:tcW w:w="1280" w:type="dxa"/>
          </w:tcPr>
          <w:p w:rsidR="00B40966" w:rsidRDefault="00B40966">
            <w:pPr>
              <w:pStyle w:val="TableText"/>
              <w:jc w:val="center"/>
            </w:pPr>
          </w:p>
        </w:tc>
      </w:tr>
    </w:tbl>
    <w:p w:rsidR="00B40966" w:rsidRDefault="00B40966">
      <w:pPr>
        <w:pStyle w:val="aNote"/>
      </w:pPr>
      <w:r>
        <w:rPr>
          <w:i/>
        </w:rPr>
        <w:t>Note</w:t>
      </w:r>
      <w:r>
        <w:tab/>
        <w:t>See also s (69) and s (70) about limiting values of R.</w:t>
      </w:r>
    </w:p>
    <w:p w:rsidR="00B40966" w:rsidRDefault="00B40966"/>
    <w:p w:rsidR="00B40966" w:rsidRDefault="00B40966">
      <w:pPr>
        <w:pStyle w:val="Amain"/>
        <w:rPr>
          <w:color w:val="000000"/>
        </w:rPr>
      </w:pPr>
      <w:r>
        <w:rPr>
          <w:color w:val="000000"/>
        </w:rPr>
        <w:tab/>
        <w:t>(69)</w:t>
      </w:r>
      <w:r>
        <w:rPr>
          <w:color w:val="000000"/>
        </w:rPr>
        <w:tab/>
        <w:t xml:space="preserve">Springs in which the ratio </w:t>
      </w:r>
      <w:r>
        <w:rPr>
          <w:b/>
          <w:color w:val="000000"/>
        </w:rPr>
        <w:t>R</w:t>
      </w:r>
      <w:r>
        <w:rPr>
          <w:color w:val="000000"/>
        </w:rPr>
        <w:t xml:space="preserve"> referred to in subsection (67) is less than 6 shall not be used unless specifically approved by the chief inspector.</w:t>
      </w:r>
    </w:p>
    <w:p w:rsidR="00B40966" w:rsidRDefault="00B40966">
      <w:pPr>
        <w:pStyle w:val="Amain"/>
      </w:pPr>
      <w:r>
        <w:rPr>
          <w:color w:val="000000"/>
        </w:rPr>
        <w:tab/>
        <w:t>(70)</w:t>
      </w:r>
      <w:r>
        <w:rPr>
          <w:color w:val="000000"/>
        </w:rPr>
        <w:tab/>
        <w:t xml:space="preserve">If practicable, </w:t>
      </w:r>
      <w:r>
        <w:rPr>
          <w:b/>
          <w:color w:val="000000"/>
        </w:rPr>
        <w:t>R</w:t>
      </w:r>
      <w:r>
        <w:rPr>
          <w:color w:val="000000"/>
        </w:rPr>
        <w:t xml:space="preserve"> shall be made equal to nine.</w:t>
      </w:r>
    </w:p>
    <w:p w:rsidR="00B40966" w:rsidRDefault="00B40966">
      <w:pPr>
        <w:pStyle w:val="Amain"/>
      </w:pPr>
      <w:r>
        <w:rPr>
          <w:color w:val="000000"/>
        </w:rPr>
        <w:tab/>
        <w:t>(71)</w:t>
      </w:r>
      <w:r>
        <w:rPr>
          <w:color w:val="000000"/>
        </w:rPr>
        <w:tab/>
        <w:t xml:space="preserve">The value of </w:t>
      </w:r>
      <w:r>
        <w:rPr>
          <w:rStyle w:val="charBoldItals"/>
        </w:rPr>
        <w:t>G</w:t>
      </w:r>
      <w:r>
        <w:rPr>
          <w:color w:val="000000"/>
        </w:rPr>
        <w:t>, the modulus of torsional rigidity shall, for carbon spring steel, be deemed to be 5 100 tons per square inch.</w:t>
      </w:r>
    </w:p>
    <w:p w:rsidR="00B40966" w:rsidRDefault="00B40966">
      <w:pPr>
        <w:pStyle w:val="AH4SubDiv"/>
      </w:pPr>
      <w:bookmarkStart w:id="225" w:name="_Toc87258081"/>
      <w:r>
        <w:t>General</w:t>
      </w:r>
      <w:bookmarkEnd w:id="225"/>
    </w:p>
    <w:p w:rsidR="00B40966" w:rsidRDefault="00B40966">
      <w:pPr>
        <w:pStyle w:val="AH5Sec"/>
      </w:pPr>
      <w:bookmarkStart w:id="226" w:name="_Toc87258082"/>
      <w:r>
        <w:rPr>
          <w:rStyle w:val="CharSectNo"/>
        </w:rPr>
        <w:t>127</w:t>
      </w:r>
      <w:bookmarkEnd w:id="226"/>
      <w:r>
        <w:tab/>
        <w:t xml:space="preserve">  </w:t>
      </w:r>
    </w:p>
    <w:p w:rsidR="00B40966" w:rsidRDefault="00B40966">
      <w:pPr>
        <w:pStyle w:val="Amain"/>
        <w:rPr>
          <w:color w:val="000000"/>
        </w:rPr>
      </w:pPr>
      <w:r>
        <w:rPr>
          <w:color w:val="000000"/>
        </w:rPr>
        <w:tab/>
        <w:t>(1)</w:t>
      </w:r>
      <w:r>
        <w:rPr>
          <w:color w:val="000000"/>
        </w:rPr>
        <w:tab/>
        <w:t>If necessary or advisable for safe and continued operation, the members, components, parts, linkages and attachments of machinery mechanisms and gearings shall be machined.</w:t>
      </w:r>
    </w:p>
    <w:p w:rsidR="00B40966" w:rsidRDefault="00B40966">
      <w:pPr>
        <w:pStyle w:val="Amain"/>
        <w:rPr>
          <w:color w:val="000000"/>
        </w:rPr>
      </w:pPr>
      <w:r>
        <w:rPr>
          <w:color w:val="000000"/>
        </w:rPr>
        <w:tab/>
        <w:t>(2)</w:t>
      </w:r>
      <w:r>
        <w:rPr>
          <w:color w:val="000000"/>
        </w:rPr>
        <w:tab/>
        <w:t>Machining shall be such as to ensure accurate fitting, smooth and accurate working and freedom from shocks due to lost motion or to slackness or inaccuracy.</w:t>
      </w:r>
    </w:p>
    <w:p w:rsidR="00B40966" w:rsidRDefault="00B40966">
      <w:pPr>
        <w:pStyle w:val="Amain"/>
        <w:rPr>
          <w:color w:val="000000"/>
        </w:rPr>
      </w:pPr>
      <w:r>
        <w:rPr>
          <w:color w:val="000000"/>
        </w:rPr>
        <w:tab/>
        <w:t>(3)</w:t>
      </w:r>
      <w:r>
        <w:rPr>
          <w:color w:val="000000"/>
        </w:rPr>
        <w:tab/>
        <w:t>It shall also ensure truth, precision, correctness and regularity of form and of pitch and alignment.</w:t>
      </w:r>
    </w:p>
    <w:p w:rsidR="00B40966" w:rsidRDefault="00B40966">
      <w:pPr>
        <w:pStyle w:val="Amain"/>
      </w:pPr>
      <w:r>
        <w:rPr>
          <w:color w:val="000000"/>
        </w:rPr>
        <w:tab/>
        <w:t>(4)</w:t>
      </w:r>
      <w:r>
        <w:rPr>
          <w:color w:val="000000"/>
        </w:rPr>
        <w:tab/>
        <w:t>‘Lost motion’ shall be eliminated except if it is an essential feature of design.</w:t>
      </w:r>
    </w:p>
    <w:p w:rsidR="00B40966" w:rsidRDefault="00B40966">
      <w:pPr>
        <w:pStyle w:val="Amain"/>
        <w:keepLines/>
      </w:pPr>
      <w:r>
        <w:rPr>
          <w:color w:val="000000"/>
        </w:rPr>
        <w:tab/>
        <w:t>(5)</w:t>
      </w:r>
      <w:r>
        <w:rPr>
          <w:color w:val="000000"/>
        </w:rPr>
        <w:tab/>
        <w:t>Bolts, studs, set bolts, set screws, grub screws, adjusting screws and plain or screwed pins, eyebolts, tie bars, screw clevises and the like shall be prevented by positive means from developing undue longitudinal slackness or becoming displaced when used—</w:t>
      </w:r>
    </w:p>
    <w:p w:rsidR="00B40966" w:rsidRDefault="00B40966">
      <w:pPr>
        <w:pStyle w:val="Apara"/>
      </w:pPr>
      <w:r>
        <w:tab/>
        <w:t>(a)</w:t>
      </w:r>
      <w:r>
        <w:tab/>
        <w:t>in connecting or securing members between which relative motion occurs; or</w:t>
      </w:r>
    </w:p>
    <w:p w:rsidR="00B40966" w:rsidRDefault="00B40966">
      <w:pPr>
        <w:pStyle w:val="Apara"/>
      </w:pPr>
      <w:r>
        <w:tab/>
        <w:t>(b)</w:t>
      </w:r>
      <w:r>
        <w:tab/>
        <w:t>in positions in which they are required to be longitudinally slack; or</w:t>
      </w:r>
    </w:p>
    <w:p w:rsidR="00B40966" w:rsidRDefault="00B40966">
      <w:pPr>
        <w:pStyle w:val="Apara"/>
      </w:pPr>
      <w:r>
        <w:tab/>
        <w:t>(c)</w:t>
      </w:r>
      <w:r>
        <w:tab/>
        <w:t>in positions in which they are liable to become loosened by vibration; or</w:t>
      </w:r>
    </w:p>
    <w:p w:rsidR="00B40966" w:rsidRDefault="00B40966">
      <w:pPr>
        <w:pStyle w:val="Apara"/>
      </w:pPr>
      <w:r>
        <w:tab/>
        <w:t>(d)</w:t>
      </w:r>
      <w:r>
        <w:tab/>
        <w:t>in positions in which they are subjected to rapid changes of load; or</w:t>
      </w:r>
    </w:p>
    <w:p w:rsidR="00B40966" w:rsidRDefault="00B40966">
      <w:pPr>
        <w:pStyle w:val="Apara"/>
      </w:pPr>
      <w:r>
        <w:tab/>
        <w:t>(e)</w:t>
      </w:r>
      <w:r>
        <w:tab/>
        <w:t>in positions in which they are subjected to alternations of load; or</w:t>
      </w:r>
    </w:p>
    <w:p w:rsidR="00B40966" w:rsidRDefault="00B40966">
      <w:pPr>
        <w:pStyle w:val="Apara"/>
      </w:pPr>
      <w:r>
        <w:tab/>
        <w:t>(f)</w:t>
      </w:r>
      <w:r>
        <w:tab/>
        <w:t>in positions in which they are subjected to actions tending to unscrew them.</w:t>
      </w:r>
    </w:p>
    <w:p w:rsidR="00B40966" w:rsidRDefault="00B40966">
      <w:pPr>
        <w:pStyle w:val="Amain"/>
      </w:pPr>
      <w:r>
        <w:rPr>
          <w:color w:val="000000"/>
        </w:rPr>
        <w:tab/>
        <w:t>(6)</w:t>
      </w:r>
      <w:r>
        <w:rPr>
          <w:color w:val="000000"/>
        </w:rPr>
        <w:tab/>
        <w:t xml:space="preserve">Split pins shall not be less in diameter than </w:t>
      </w:r>
      <w:r>
        <w:rPr>
          <w:color w:val="000000"/>
          <w:position w:val="6"/>
          <w:sz w:val="18"/>
        </w:rPr>
        <w:t>1</w:t>
      </w:r>
      <w:r>
        <w:rPr>
          <w:color w:val="000000"/>
        </w:rPr>
        <w:t>/</w:t>
      </w:r>
      <w:r>
        <w:rPr>
          <w:color w:val="000000"/>
          <w:sz w:val="18"/>
        </w:rPr>
        <w:t>4</w:t>
      </w:r>
      <w:r>
        <w:rPr>
          <w:color w:val="000000"/>
        </w:rPr>
        <w:t xml:space="preserve"> of the thickness of the metal they traverse.</w:t>
      </w:r>
    </w:p>
    <w:p w:rsidR="00B40966" w:rsidRDefault="00B40966">
      <w:pPr>
        <w:pStyle w:val="Amain"/>
      </w:pPr>
      <w:r>
        <w:rPr>
          <w:color w:val="000000"/>
        </w:rPr>
        <w:tab/>
        <w:t>(7)</w:t>
      </w:r>
      <w:r>
        <w:rPr>
          <w:color w:val="000000"/>
        </w:rPr>
        <w:tab/>
        <w:t>If split pins or taper pins are used in floating pins, washers shall be provided between the split or taper pins and adjacent rubbing surfaces.</w:t>
      </w:r>
    </w:p>
    <w:p w:rsidR="00B40966" w:rsidRDefault="00B40966">
      <w:pPr>
        <w:pStyle w:val="Amain"/>
        <w:rPr>
          <w:color w:val="000000"/>
        </w:rPr>
      </w:pPr>
      <w:r>
        <w:rPr>
          <w:color w:val="000000"/>
        </w:rPr>
        <w:tab/>
        <w:t>(8)</w:t>
      </w:r>
      <w:r>
        <w:rPr>
          <w:color w:val="000000"/>
        </w:rPr>
        <w:tab/>
        <w:t>Except if slackness is an essential feature of design, keys shall be well fitted and tightly driven, and feathers shall be well and tightly fitted.</w:t>
      </w:r>
    </w:p>
    <w:p w:rsidR="00B40966" w:rsidRDefault="00B40966">
      <w:pPr>
        <w:pStyle w:val="Amain"/>
      </w:pPr>
      <w:r>
        <w:rPr>
          <w:color w:val="000000"/>
        </w:rPr>
        <w:tab/>
        <w:t>(9)</w:t>
      </w:r>
      <w:r>
        <w:rPr>
          <w:color w:val="000000"/>
        </w:rPr>
        <w:tab/>
        <w:t>Splines shall fit closely.</w:t>
      </w:r>
    </w:p>
    <w:p w:rsidR="00B40966" w:rsidRDefault="00B40966">
      <w:pPr>
        <w:pStyle w:val="Amain"/>
        <w:keepLines/>
      </w:pPr>
      <w:r>
        <w:rPr>
          <w:color w:val="000000"/>
        </w:rPr>
        <w:tab/>
        <w:t>(10)</w:t>
      </w:r>
      <w:r>
        <w:rPr>
          <w:color w:val="000000"/>
        </w:rPr>
        <w:tab/>
        <w:t>Axles, sheave pins, or shafts, pins or spindles carrying revolving or oscillating parts shall, unless designed as lubricated revolving members, be effectively locked against rotation as well as against longitudinal displacement.</w:t>
      </w:r>
    </w:p>
    <w:p w:rsidR="00B40966" w:rsidRDefault="00B40966">
      <w:pPr>
        <w:pStyle w:val="Amain"/>
      </w:pPr>
      <w:r>
        <w:rPr>
          <w:color w:val="000000"/>
        </w:rPr>
        <w:tab/>
        <w:t>(11)</w:t>
      </w:r>
      <w:r>
        <w:rPr>
          <w:color w:val="000000"/>
        </w:rPr>
        <w:tab/>
        <w:t xml:space="preserve">Internal threads and nuts shall be of effective axial length at least equal to </w:t>
      </w:r>
      <w:r>
        <w:rPr>
          <w:color w:val="000000"/>
          <w:position w:val="6"/>
          <w:sz w:val="18"/>
        </w:rPr>
        <w:t>7</w:t>
      </w:r>
      <w:r>
        <w:rPr>
          <w:color w:val="000000"/>
        </w:rPr>
        <w:t>/</w:t>
      </w:r>
      <w:r>
        <w:rPr>
          <w:color w:val="000000"/>
          <w:sz w:val="18"/>
        </w:rPr>
        <w:t>8</w:t>
      </w:r>
      <w:r>
        <w:rPr>
          <w:color w:val="000000"/>
        </w:rPr>
        <w:t xml:space="preserve"> of the nominal diameter of their thread and shall engage with the male thread for their full length.</w:t>
      </w:r>
    </w:p>
    <w:p w:rsidR="00B40966" w:rsidRDefault="00B40966">
      <w:pPr>
        <w:pStyle w:val="Amain"/>
      </w:pPr>
      <w:r>
        <w:rPr>
          <w:color w:val="000000"/>
        </w:rPr>
        <w:tab/>
        <w:t>(12)</w:t>
      </w:r>
      <w:r>
        <w:rPr>
          <w:color w:val="000000"/>
        </w:rPr>
        <w:tab/>
        <w:t>Balance, bias or operating weights of cranks, levers or linkages shall be secured in position by rivets, through bolts, welding or brazing.</w:t>
      </w:r>
    </w:p>
    <w:p w:rsidR="00B40966" w:rsidRDefault="00B40966">
      <w:pPr>
        <w:pStyle w:val="Amain"/>
      </w:pPr>
      <w:r>
        <w:rPr>
          <w:color w:val="000000"/>
        </w:rPr>
        <w:tab/>
        <w:t>(13)</w:t>
      </w:r>
      <w:r>
        <w:rPr>
          <w:color w:val="000000"/>
        </w:rPr>
        <w:tab/>
        <w:t>All castings, pressings, stampings, flame cuttings, weldings and forgings shall be of true, correct, precise and regular form, pitch and alignment, well suited to their purpose and free from defects liable to impair their effectiveness or conducive of conditions of hazard, uncertainty or danger.</w:t>
      </w:r>
    </w:p>
    <w:p w:rsidR="00B40966" w:rsidRDefault="00B40966">
      <w:pPr>
        <w:pStyle w:val="Amain"/>
      </w:pPr>
      <w:r>
        <w:rPr>
          <w:color w:val="000000"/>
        </w:rPr>
        <w:tab/>
        <w:t>(14)</w:t>
      </w:r>
      <w:r>
        <w:rPr>
          <w:color w:val="000000"/>
        </w:rPr>
        <w:tab/>
        <w:t>Lifting hooks that have opened out at the throat by 5% of their throat dimension shall not be used.</w:t>
      </w:r>
    </w:p>
    <w:p w:rsidR="00B40966" w:rsidRDefault="00B40966">
      <w:pPr>
        <w:pStyle w:val="Amain"/>
      </w:pPr>
      <w:r>
        <w:rPr>
          <w:color w:val="000000"/>
        </w:rPr>
        <w:tab/>
        <w:t>(15)</w:t>
      </w:r>
      <w:r>
        <w:rPr>
          <w:color w:val="000000"/>
        </w:rPr>
        <w:tab/>
        <w:t>Lifting rings of which any internal diameter has increased or decreased by 5% shall not be used.</w:t>
      </w:r>
    </w:p>
    <w:p w:rsidR="00B40966" w:rsidRDefault="00B40966">
      <w:pPr>
        <w:pStyle w:val="Amain"/>
      </w:pPr>
      <w:r>
        <w:rPr>
          <w:color w:val="000000"/>
        </w:rPr>
        <w:tab/>
        <w:t>(16)</w:t>
      </w:r>
      <w:r>
        <w:rPr>
          <w:color w:val="000000"/>
        </w:rPr>
        <w:tab/>
        <w:t>If members, components, parts, linkages or attachments are unduly loose or slack or unduly worn, deteriorated, or otherwise impaired or if they are so cracked, distorted, eroded, burned, fatigued, strain</w:t>
      </w:r>
      <w:r>
        <w:rPr>
          <w:color w:val="000000"/>
        </w:rPr>
        <w:noBreakHyphen/>
        <w:t>hardened or in any way defective or so damaged as to be productive or conducive to conditions of hazard, uncertainty or danger, they shall be immediately replaced, or all use of them shall be immediately discontinued and all necessary or desirable action immediately taken to ensure that they are no longer productive or conducive to such conditions.</w:t>
      </w:r>
    </w:p>
    <w:p w:rsidR="00B40966" w:rsidRDefault="00B40966">
      <w:pPr>
        <w:pStyle w:val="Amain"/>
        <w:keepLines/>
        <w:rPr>
          <w:color w:val="000000"/>
        </w:rPr>
      </w:pPr>
      <w:r>
        <w:rPr>
          <w:color w:val="000000"/>
        </w:rPr>
        <w:tab/>
        <w:t>(17)</w:t>
      </w:r>
      <w:r>
        <w:rPr>
          <w:color w:val="000000"/>
        </w:rPr>
        <w:tab/>
        <w:t>Members, components, parts, linkages or attachments, particularly operating cords, controls and brakes shall be so arranged and constructed that at all times they fulfil their functions freely and without obstruction.</w:t>
      </w:r>
    </w:p>
    <w:p w:rsidR="00B40966" w:rsidRDefault="00B40966">
      <w:pPr>
        <w:pStyle w:val="Amain"/>
      </w:pPr>
      <w:r>
        <w:rPr>
          <w:color w:val="000000"/>
        </w:rPr>
        <w:tab/>
        <w:t>(18)</w:t>
      </w:r>
      <w:r>
        <w:rPr>
          <w:color w:val="000000"/>
        </w:rPr>
        <w:tab/>
        <w:t>They shall be constantly maintained and kept free of obstruction.</w:t>
      </w:r>
    </w:p>
    <w:p w:rsidR="00B40966" w:rsidRDefault="00B40966">
      <w:pPr>
        <w:pStyle w:val="Amain"/>
      </w:pPr>
      <w:r>
        <w:rPr>
          <w:color w:val="000000"/>
        </w:rPr>
        <w:tab/>
        <w:t>(19)</w:t>
      </w:r>
      <w:r>
        <w:rPr>
          <w:color w:val="000000"/>
        </w:rPr>
        <w:tab/>
        <w:t>Effective interlocking devices of approved designs shall be provided—</w:t>
      </w:r>
    </w:p>
    <w:p w:rsidR="00B40966" w:rsidRDefault="00B40966">
      <w:pPr>
        <w:pStyle w:val="Apara"/>
      </w:pPr>
      <w:r>
        <w:tab/>
        <w:t>(a)</w:t>
      </w:r>
      <w:r>
        <w:tab/>
        <w:t>if machinery or mechanisms are so arranged that they may be driven either manually or by power—to ensure that the means by which the agencies are adapted cannot be simultaneously engaged; or</w:t>
      </w:r>
    </w:p>
    <w:p w:rsidR="00B40966" w:rsidRDefault="00B40966">
      <w:pPr>
        <w:pStyle w:val="Apara"/>
      </w:pPr>
      <w:r>
        <w:tab/>
        <w:t>(b)</w:t>
      </w:r>
      <w:r>
        <w:tab/>
        <w:t>if alternative devices are provided for sustaining or controlling any load—to prevent their simultaneous disengagement and consequent loss of control of load; or</w:t>
      </w:r>
    </w:p>
    <w:p w:rsidR="00B40966" w:rsidRDefault="00B40966">
      <w:pPr>
        <w:pStyle w:val="Apara"/>
      </w:pPr>
      <w:r>
        <w:tab/>
        <w:t>(c)</w:t>
      </w:r>
      <w:r>
        <w:tab/>
        <w:t>in power cranes or power hoists, if any device other than a brake or friction clutch is provided for sustaining any load—to prevent driving against the load-sustaining device; or</w:t>
      </w:r>
    </w:p>
    <w:p w:rsidR="00B40966" w:rsidRDefault="00B40966">
      <w:pPr>
        <w:pStyle w:val="Apara"/>
      </w:pPr>
      <w:r>
        <w:tab/>
        <w:t>(d)</w:t>
      </w:r>
      <w:r>
        <w:tab/>
        <w:t>to prevent loads or lifting gear being lowered through hatchways on, or into the path of travel of, travelling cranes, and to prevent the cranes colliding with the loads; or</w:t>
      </w:r>
    </w:p>
    <w:p w:rsidR="00B40966" w:rsidRDefault="00B40966">
      <w:pPr>
        <w:pStyle w:val="Apara"/>
      </w:pPr>
      <w:r>
        <w:tab/>
        <w:t>(e)</w:t>
      </w:r>
      <w:r>
        <w:tab/>
        <w:t>to ensure that trolleys, carriages, or crabs cannot overrun or become otherwise displaced from their tracks, at or near moveable sections of them, or at or near crossovers, switches, turntables, or transfer positions; or</w:t>
      </w:r>
    </w:p>
    <w:p w:rsidR="00B40966" w:rsidRDefault="00B40966">
      <w:pPr>
        <w:pStyle w:val="Apara"/>
      </w:pPr>
      <w:r>
        <w:tab/>
        <w:t>(f)</w:t>
      </w:r>
      <w:r>
        <w:tab/>
        <w:t>to prevent the operation of any hoist or lift having a moving platform, cage, hopper, box, cradle, skip, kibble, bucket, vessel, tine, monkey or yoke while any enclosure door is not fully closed and locked; or</w:t>
      </w:r>
    </w:p>
    <w:p w:rsidR="00B40966" w:rsidRDefault="00B40966">
      <w:pPr>
        <w:pStyle w:val="Apara"/>
      </w:pPr>
      <w:r>
        <w:tab/>
        <w:t>(g)</w:t>
      </w:r>
      <w:r>
        <w:tab/>
        <w:t>to prevent the unlocking or opening of any enclosure door of any hoist or lift referred to in paragraph (f), except a door relative to which the platform, cage, hopper, box, cradle, skip, kibble, bucket, vessel, tine, monkey or yoke has attained such a position that persons may safely enter the enclosure; or</w:t>
      </w:r>
    </w:p>
    <w:p w:rsidR="00B40966" w:rsidRDefault="00B40966">
      <w:pPr>
        <w:pStyle w:val="Apara"/>
      </w:pPr>
      <w:r>
        <w:tab/>
        <w:t>(h)</w:t>
      </w:r>
      <w:r>
        <w:tab/>
        <w:t>as required by subsections (49) and (50) for speed-changing devices.</w:t>
      </w:r>
    </w:p>
    <w:p w:rsidR="00B40966" w:rsidRDefault="00B40966">
      <w:pPr>
        <w:pStyle w:val="Amain"/>
        <w:rPr>
          <w:color w:val="000000"/>
        </w:rPr>
      </w:pPr>
      <w:r>
        <w:rPr>
          <w:color w:val="000000"/>
        </w:rPr>
        <w:tab/>
        <w:t>(20)</w:t>
      </w:r>
      <w:r>
        <w:rPr>
          <w:color w:val="000000"/>
        </w:rPr>
        <w:tab/>
        <w:t>Unless the chief inspector so directs, subsection (19) (b) does not require the interlocking of a brake.</w:t>
      </w:r>
    </w:p>
    <w:p w:rsidR="00B40966" w:rsidRDefault="00B40966">
      <w:pPr>
        <w:pStyle w:val="Amain"/>
        <w:rPr>
          <w:color w:val="000000"/>
        </w:rPr>
      </w:pPr>
      <w:r>
        <w:rPr>
          <w:color w:val="000000"/>
        </w:rPr>
        <w:tab/>
        <w:t>(21)</w:t>
      </w:r>
      <w:r>
        <w:rPr>
          <w:color w:val="000000"/>
        </w:rPr>
        <w:tab/>
        <w:t>Subsection (19) (f) does not apply to temporary hoists used in building, demolition, excuvation or compressed air work.</w:t>
      </w:r>
    </w:p>
    <w:p w:rsidR="00B40966" w:rsidRDefault="00B40966">
      <w:pPr>
        <w:pStyle w:val="Amain"/>
      </w:pPr>
      <w:r>
        <w:rPr>
          <w:color w:val="000000"/>
        </w:rPr>
        <w:tab/>
        <w:t>(22)</w:t>
      </w:r>
      <w:r>
        <w:rPr>
          <w:color w:val="000000"/>
        </w:rPr>
        <w:tab/>
        <w:t>Linkages, including those employing ropes, shall, unless it is an essential feature of design, be so devised and constructed that they cannot attain ‘deadcentre’ or other self-locking or self-neutralising positions.</w:t>
      </w:r>
    </w:p>
    <w:p w:rsidR="00B40966" w:rsidRDefault="00B40966">
      <w:pPr>
        <w:pStyle w:val="Amain"/>
      </w:pPr>
      <w:r>
        <w:rPr>
          <w:color w:val="000000"/>
        </w:rPr>
        <w:tab/>
        <w:t>(23)</w:t>
      </w:r>
      <w:r>
        <w:rPr>
          <w:color w:val="000000"/>
        </w:rPr>
        <w:tab/>
        <w:t>If owing to external agency the load supported by a crane or hoist may be subjected to major impact effects, shock absorbers of approved design shall be fixed in approved positions to relieve the crane or hoist of the effects.</w:t>
      </w:r>
    </w:p>
    <w:p w:rsidR="00B40966" w:rsidRDefault="00B40966">
      <w:pPr>
        <w:pStyle w:val="Amain"/>
      </w:pPr>
      <w:r>
        <w:rPr>
          <w:color w:val="000000"/>
        </w:rPr>
        <w:tab/>
        <w:t>(24)</w:t>
      </w:r>
      <w:r>
        <w:rPr>
          <w:color w:val="000000"/>
        </w:rPr>
        <w:tab/>
        <w:t>All of the members, components, parts, linkages and attachments of cranes and hoists and lifts and scaffoldings and plant shall be effectively and strongly secured in position.</w:t>
      </w:r>
    </w:p>
    <w:p w:rsidR="00B40966" w:rsidRDefault="00B40966">
      <w:pPr>
        <w:pStyle w:val="Amain"/>
        <w:rPr>
          <w:color w:val="000000"/>
        </w:rPr>
      </w:pPr>
      <w:r>
        <w:rPr>
          <w:color w:val="000000"/>
        </w:rPr>
        <w:tab/>
        <w:t>(25)</w:t>
      </w:r>
      <w:r>
        <w:rPr>
          <w:color w:val="000000"/>
        </w:rPr>
        <w:tab/>
        <w:t>All load chains and all hand chains shall be caused to book correctly on their gipsies, sheaves, quadrants or the like by means of chain guides.</w:t>
      </w:r>
    </w:p>
    <w:p w:rsidR="00B40966" w:rsidRDefault="00B40966">
      <w:pPr>
        <w:pStyle w:val="Amain"/>
        <w:rPr>
          <w:color w:val="000000"/>
        </w:rPr>
      </w:pPr>
      <w:r>
        <w:rPr>
          <w:color w:val="000000"/>
        </w:rPr>
        <w:tab/>
        <w:t>(26)</w:t>
      </w:r>
      <w:r>
        <w:rPr>
          <w:color w:val="000000"/>
        </w:rPr>
        <w:tab/>
        <w:t>To avoid jamming of the chain, guide rollers shall not be used in proximity to gipsies.</w:t>
      </w:r>
    </w:p>
    <w:p w:rsidR="00B40966" w:rsidRDefault="00B40966">
      <w:pPr>
        <w:pStyle w:val="Amain"/>
      </w:pPr>
      <w:r>
        <w:rPr>
          <w:color w:val="000000"/>
        </w:rPr>
        <w:tab/>
        <w:t>(27)</w:t>
      </w:r>
      <w:r>
        <w:rPr>
          <w:color w:val="000000"/>
        </w:rPr>
        <w:tab/>
        <w:t>Chain guides used with gipsies shall, if practicable, be of the fixed type.</w:t>
      </w:r>
    </w:p>
    <w:p w:rsidR="00B40966" w:rsidRDefault="00B40966">
      <w:pPr>
        <w:pStyle w:val="Amain"/>
      </w:pPr>
      <w:r>
        <w:rPr>
          <w:color w:val="000000"/>
        </w:rPr>
        <w:tab/>
        <w:t>(28)</w:t>
      </w:r>
      <w:r>
        <w:rPr>
          <w:color w:val="000000"/>
        </w:rPr>
        <w:tab/>
        <w:t>Hand ropes shall be caused to book correctly on their sheaves, quadrants or the like by means of effective rope guides.</w:t>
      </w:r>
    </w:p>
    <w:p w:rsidR="00B40966" w:rsidRDefault="00B40966">
      <w:pPr>
        <w:pStyle w:val="Amain"/>
        <w:rPr>
          <w:color w:val="000000"/>
        </w:rPr>
      </w:pPr>
      <w:r>
        <w:rPr>
          <w:color w:val="000000"/>
        </w:rPr>
        <w:tab/>
        <w:t>(29)</w:t>
      </w:r>
      <w:r>
        <w:rPr>
          <w:color w:val="000000"/>
        </w:rPr>
        <w:tab/>
        <w:t>The total force required at the hand chain or hand rope of a crane, hoist, scaffolding or plant to raise, lower, handle or control the working load or for purposes of manipulation shall not exceed 80 pounds.</w:t>
      </w:r>
    </w:p>
    <w:p w:rsidR="00B40966" w:rsidRDefault="00B40966">
      <w:pPr>
        <w:pStyle w:val="Amain"/>
      </w:pPr>
      <w:r>
        <w:rPr>
          <w:color w:val="000000"/>
        </w:rPr>
        <w:tab/>
        <w:t>(30)</w:t>
      </w:r>
      <w:r>
        <w:rPr>
          <w:color w:val="000000"/>
        </w:rPr>
        <w:tab/>
        <w:t>However, subsection (29) shall not apply to motions effectively controlled by trailing bandbrakes, weston type brakes, or automatic brakes analogous to them.</w:t>
      </w:r>
    </w:p>
    <w:p w:rsidR="00B40966" w:rsidRDefault="00B40966">
      <w:pPr>
        <w:pStyle w:val="Amain"/>
      </w:pPr>
      <w:r>
        <w:rPr>
          <w:color w:val="000000"/>
        </w:rPr>
        <w:tab/>
        <w:t>(31)</w:t>
      </w:r>
      <w:r>
        <w:rPr>
          <w:color w:val="000000"/>
        </w:rPr>
        <w:tab/>
        <w:t xml:space="preserve">The end carriages or bogies of the following cranes shall be so designed, constructed and maintained that breakage of a track wheel or its axle will not allow the carriage or bogey to become vertically displaced by more than </w:t>
      </w:r>
      <w:r>
        <w:rPr>
          <w:color w:val="000000"/>
          <w:position w:val="6"/>
          <w:sz w:val="18"/>
        </w:rPr>
        <w:t>3</w:t>
      </w:r>
      <w:r>
        <w:rPr>
          <w:color w:val="000000"/>
        </w:rPr>
        <w:t>/</w:t>
      </w:r>
      <w:r>
        <w:rPr>
          <w:color w:val="000000"/>
          <w:sz w:val="18"/>
        </w:rPr>
        <w:t>4</w:t>
      </w:r>
      <w:r>
        <w:rPr>
          <w:color w:val="000000"/>
        </w:rPr>
        <w:t xml:space="preserve"> of an inch:</w:t>
      </w:r>
    </w:p>
    <w:p w:rsidR="00B40966" w:rsidRDefault="00B40966">
      <w:pPr>
        <w:pStyle w:val="Apara"/>
      </w:pPr>
      <w:r>
        <w:tab/>
        <w:t>(a)</w:t>
      </w:r>
      <w:r>
        <w:tab/>
        <w:t>cranes of the overhead traveller type;</w:t>
      </w:r>
    </w:p>
    <w:p w:rsidR="00B40966" w:rsidRDefault="00B40966">
      <w:pPr>
        <w:pStyle w:val="Apara"/>
      </w:pPr>
      <w:r>
        <w:tab/>
        <w:t>(b)</w:t>
      </w:r>
      <w:r>
        <w:tab/>
        <w:t>travelling derrick cranes;</w:t>
      </w:r>
    </w:p>
    <w:p w:rsidR="00B40966" w:rsidRDefault="00B40966">
      <w:pPr>
        <w:pStyle w:val="Apara"/>
      </w:pPr>
      <w:r>
        <w:tab/>
        <w:t>(c)</w:t>
      </w:r>
      <w:r>
        <w:tab/>
        <w:t>travelling gallows type cranes or gantries;</w:t>
      </w:r>
    </w:p>
    <w:p w:rsidR="00B40966" w:rsidRDefault="00B40966">
      <w:pPr>
        <w:pStyle w:val="Apara"/>
      </w:pPr>
      <w:r>
        <w:tab/>
        <w:t>(d)</w:t>
      </w:r>
      <w:r>
        <w:tab/>
        <w:t>overhead runways other than monorail runways;</w:t>
      </w:r>
    </w:p>
    <w:p w:rsidR="00B40966" w:rsidRDefault="00B40966">
      <w:pPr>
        <w:pStyle w:val="Apara"/>
      </w:pPr>
      <w:r>
        <w:tab/>
        <w:t>(e)</w:t>
      </w:r>
      <w:r>
        <w:tab/>
        <w:t>travelling portal and semi-portal cranes;</w:t>
      </w:r>
    </w:p>
    <w:p w:rsidR="00B40966" w:rsidRDefault="00B40966">
      <w:pPr>
        <w:pStyle w:val="Apara"/>
      </w:pPr>
      <w:r>
        <w:tab/>
        <w:t>(f)</w:t>
      </w:r>
      <w:r>
        <w:tab/>
        <w:t>travelling hammerhead cranes.</w:t>
      </w:r>
    </w:p>
    <w:p w:rsidR="00B40966" w:rsidRDefault="00B40966">
      <w:pPr>
        <w:pStyle w:val="Amain"/>
      </w:pPr>
      <w:r>
        <w:rPr>
          <w:color w:val="000000"/>
        </w:rPr>
        <w:tab/>
        <w:t>(32)</w:t>
      </w:r>
      <w:r>
        <w:rPr>
          <w:color w:val="000000"/>
        </w:rPr>
        <w:tab/>
        <w:t>Worm or screw gearing shall not be employed in the machinery, mechanisms or gearings operating the following movements of scaffoldings, cranes, hoists or plant except when used in conjunction with the protective devices that are approved by the chief inspector:</w:t>
      </w:r>
    </w:p>
    <w:p w:rsidR="00B40966" w:rsidRDefault="00B40966">
      <w:pPr>
        <w:pStyle w:val="Apara"/>
      </w:pPr>
      <w:r>
        <w:tab/>
        <w:t>(a)</w:t>
      </w:r>
      <w:r>
        <w:tab/>
        <w:t>the slewing movements of jib cranes;</w:t>
      </w:r>
    </w:p>
    <w:p w:rsidR="00B40966" w:rsidRDefault="00B40966">
      <w:pPr>
        <w:pStyle w:val="Apara"/>
      </w:pPr>
      <w:r>
        <w:tab/>
        <w:t>(b)</w:t>
      </w:r>
      <w:r>
        <w:tab/>
        <w:t>the power-driven travelling movements, whether longitudinal or transverse, of cranes.</w:t>
      </w:r>
    </w:p>
    <w:p w:rsidR="00B40966" w:rsidRDefault="00B40966">
      <w:pPr>
        <w:pStyle w:val="Amain"/>
      </w:pPr>
      <w:r>
        <w:tab/>
        <w:t>(33)</w:t>
      </w:r>
      <w:r>
        <w:tab/>
        <w:t>However, subsection (32) does not apply to the mechanism by which ordinary vehicular or mobile cranes are propelled.</w:t>
      </w:r>
    </w:p>
    <w:p w:rsidR="00B40966" w:rsidRDefault="00B40966">
      <w:pPr>
        <w:pStyle w:val="Amain"/>
      </w:pPr>
      <w:r>
        <w:rPr>
          <w:color w:val="000000"/>
        </w:rPr>
        <w:tab/>
        <w:t>(34)</w:t>
      </w:r>
      <w:r>
        <w:rPr>
          <w:color w:val="000000"/>
        </w:rPr>
        <w:tab/>
        <w:t>Scaffoldings, cranes, hoists, plant or gear, including their crabs and trolleys, shall be so designed, constructed and maintained that the loads are distributed between all supporting track or road wheels in a statically determinate way.</w:t>
      </w:r>
    </w:p>
    <w:p w:rsidR="00B40966" w:rsidRDefault="00B40966">
      <w:pPr>
        <w:pStyle w:val="Amain"/>
      </w:pPr>
      <w:r>
        <w:rPr>
          <w:color w:val="000000"/>
        </w:rPr>
        <w:tab/>
        <w:t>(35)</w:t>
      </w:r>
      <w:r>
        <w:rPr>
          <w:color w:val="000000"/>
        </w:rPr>
        <w:tab/>
        <w:t>The slewing motions of power cranes having jibs or cantilevered booms shall be controlled by manually operated brakes.</w:t>
      </w:r>
    </w:p>
    <w:p w:rsidR="00B40966" w:rsidRDefault="00B40966">
      <w:pPr>
        <w:pStyle w:val="Amain"/>
      </w:pPr>
      <w:r>
        <w:rPr>
          <w:color w:val="000000"/>
        </w:rPr>
        <w:tab/>
        <w:t>(36)</w:t>
      </w:r>
      <w:r>
        <w:rPr>
          <w:color w:val="000000"/>
        </w:rPr>
        <w:tab/>
        <w:t>The travelling motion of the following cranes shall be controlled from and at their main driving stations by manually operated brakes:</w:t>
      </w:r>
    </w:p>
    <w:p w:rsidR="00B40966" w:rsidRDefault="00B40966">
      <w:pPr>
        <w:pStyle w:val="Apara"/>
      </w:pPr>
      <w:r>
        <w:tab/>
        <w:t>(a)</w:t>
      </w:r>
      <w:r>
        <w:tab/>
        <w:t>locomotive type power cranes;</w:t>
      </w:r>
    </w:p>
    <w:p w:rsidR="00B40966" w:rsidRDefault="00B40966">
      <w:pPr>
        <w:pStyle w:val="Apara"/>
      </w:pPr>
      <w:r>
        <w:tab/>
        <w:t>(b)</w:t>
      </w:r>
      <w:r>
        <w:tab/>
        <w:t>power cranes of the overhead traveller type;</w:t>
      </w:r>
    </w:p>
    <w:p w:rsidR="00B40966" w:rsidRDefault="00B40966">
      <w:pPr>
        <w:pStyle w:val="Apara"/>
      </w:pPr>
      <w:r>
        <w:tab/>
        <w:t>(c)</w:t>
      </w:r>
      <w:r>
        <w:tab/>
        <w:t>power cranes of the monorail or double-rail runway type of which the driver rides with or beside the load or lifting mechanism;</w:t>
      </w:r>
    </w:p>
    <w:p w:rsidR="00B40966" w:rsidRDefault="00B40966">
      <w:pPr>
        <w:pStyle w:val="Apara"/>
      </w:pPr>
      <w:r>
        <w:tab/>
        <w:t>(d)</w:t>
      </w:r>
      <w:r>
        <w:tab/>
        <w:t>vehicular power cranes;</w:t>
      </w:r>
    </w:p>
    <w:p w:rsidR="00B40966" w:rsidRDefault="00B40966">
      <w:pPr>
        <w:pStyle w:val="Apara"/>
      </w:pPr>
      <w:r>
        <w:tab/>
        <w:t>(e)</w:t>
      </w:r>
      <w:r>
        <w:tab/>
        <w:t>power cranes of the caterpillar type.</w:t>
      </w:r>
    </w:p>
    <w:p w:rsidR="00B40966" w:rsidRDefault="00B40966">
      <w:pPr>
        <w:pStyle w:val="Amain"/>
        <w:keepLines/>
      </w:pPr>
      <w:r>
        <w:rPr>
          <w:color w:val="000000"/>
        </w:rPr>
        <w:tab/>
        <w:t>(37)</w:t>
      </w:r>
      <w:r>
        <w:rPr>
          <w:color w:val="000000"/>
        </w:rPr>
        <w:tab/>
        <w:t>Cranes, hoists, lifts, scaffolding, plant or gear shall not be lubricated, tended or cleaned while in motion or while any member, component, part or attachment of them is in motion or while any member, component, part or attachment is in any way connected or liable to be connected with any energised associate, or any weight, load or force capable of causing it to move.</w:t>
      </w:r>
    </w:p>
    <w:p w:rsidR="00B40966" w:rsidRDefault="00B40966">
      <w:pPr>
        <w:pStyle w:val="Amain"/>
      </w:pPr>
      <w:r>
        <w:tab/>
        <w:t>(38)</w:t>
      </w:r>
      <w:r>
        <w:tab/>
        <w:t>In addition to shutting off the power, effective and dependable mechanical means shall be taken to render the members, components, parts or attachments immovable and to thereby ensure the safety of persons inspecting, examining, testing, lubricating, tending, cleaning or adjusting the cranes, hoists, lifts, scaffolding, plant, or gear.</w:t>
      </w:r>
    </w:p>
    <w:p w:rsidR="00B40966" w:rsidRDefault="00B40966">
      <w:pPr>
        <w:pStyle w:val="Amain"/>
      </w:pPr>
      <w:r>
        <w:tab/>
        <w:t>(39)</w:t>
      </w:r>
      <w:r>
        <w:tab/>
        <w:t>The application of brakes other than those of the screw-down type shall not be deemed to be a dependable mechanical means for subsection (38).</w:t>
      </w:r>
    </w:p>
    <w:p w:rsidR="00B40966" w:rsidRDefault="00B40966">
      <w:pPr>
        <w:pStyle w:val="Amain"/>
      </w:pPr>
      <w:r>
        <w:tab/>
        <w:t>(40)</w:t>
      </w:r>
      <w:r>
        <w:tab/>
        <w:t>If it is not practicable to thus render the members, components, parts or attachments immobile and immovable in order that inspection, examination, test or adjustment may be safely carried out, a duly qualified driver shall remain at and in sole charge of the controls during the whole of the time of the inspection, examination, test or adjustment and shall move the members, components, parts or attachments only at and in accordance with each plain and specific direction of the person making the inspection, examination, test or adjustment, but lubricating, tending, and cleaning shall not be carried out in this way.</w:t>
      </w:r>
    </w:p>
    <w:p w:rsidR="00B40966" w:rsidRDefault="00B40966">
      <w:pPr>
        <w:pStyle w:val="Amain"/>
      </w:pPr>
      <w:r>
        <w:tab/>
        <w:t>(41)</w:t>
      </w:r>
      <w:r>
        <w:tab/>
        <w:t>This section shall not prevent cranes, engines or gear from being lubricated, tended or cleaned by means equally safe to that of rendering the members, components, parts and attachments immobile and immovable as mentioned in subsection (40).</w:t>
      </w:r>
    </w:p>
    <w:p w:rsidR="00B40966" w:rsidRDefault="00B40966">
      <w:pPr>
        <w:pStyle w:val="Amain"/>
        <w:rPr>
          <w:color w:val="000000"/>
        </w:rPr>
      </w:pPr>
      <w:r>
        <w:rPr>
          <w:color w:val="000000"/>
        </w:rPr>
        <w:tab/>
        <w:t>(42)</w:t>
      </w:r>
      <w:r>
        <w:rPr>
          <w:color w:val="000000"/>
        </w:rPr>
        <w:tab/>
        <w:t>Static counterbalance weights of cranes, hoists or scaffolding shall be effectively and strongly secured in position.</w:t>
      </w:r>
    </w:p>
    <w:p w:rsidR="00B40966" w:rsidRDefault="00B40966">
      <w:pPr>
        <w:pStyle w:val="Amain"/>
      </w:pPr>
      <w:r>
        <w:rPr>
          <w:color w:val="000000"/>
        </w:rPr>
        <w:tab/>
        <w:t>(43)</w:t>
      </w:r>
      <w:r>
        <w:rPr>
          <w:color w:val="000000"/>
        </w:rPr>
        <w:tab/>
        <w:t>They shall be so devised and fixed that even if raised from their seatings in an emergency they will not become either partly or completely unshipped.</w:t>
      </w:r>
    </w:p>
    <w:p w:rsidR="00B40966" w:rsidRDefault="00B40966">
      <w:pPr>
        <w:pStyle w:val="Amain"/>
      </w:pPr>
      <w:r>
        <w:rPr>
          <w:color w:val="000000"/>
        </w:rPr>
        <w:tab/>
        <w:t>(44)</w:t>
      </w:r>
      <w:r>
        <w:rPr>
          <w:color w:val="000000"/>
        </w:rPr>
        <w:tab/>
        <w:t>All suspended weights shall have such additional constraint, or fencing, that in the event of failure of their prime suspension they will not fall to the danger of persons in the vicinity.</w:t>
      </w:r>
    </w:p>
    <w:p w:rsidR="00B40966" w:rsidRDefault="00B40966">
      <w:pPr>
        <w:pStyle w:val="Amain"/>
      </w:pPr>
      <w:r>
        <w:rPr>
          <w:color w:val="000000"/>
        </w:rPr>
        <w:tab/>
        <w:t>(45)</w:t>
      </w:r>
      <w:r>
        <w:rPr>
          <w:color w:val="000000"/>
        </w:rPr>
        <w:tab/>
        <w:t>Tapered washers or tapered packers shall be used under the heads and nuts or bolts, pins and tie rods that protect from surfaces not normal to their longitudinal axes to ensure an even distribution of loading on the heads and nuts.</w:t>
      </w:r>
    </w:p>
    <w:p w:rsidR="00B40966" w:rsidRDefault="00B40966">
      <w:pPr>
        <w:pStyle w:val="Amain"/>
        <w:keepNext/>
      </w:pPr>
      <w:r>
        <w:rPr>
          <w:color w:val="000000"/>
        </w:rPr>
        <w:tab/>
        <w:t>(46)</w:t>
      </w:r>
      <w:r>
        <w:rPr>
          <w:color w:val="000000"/>
        </w:rPr>
        <w:tab/>
        <w:t>Pawls shall not be used as load sustaining devices except—</w:t>
      </w:r>
    </w:p>
    <w:p w:rsidR="00B40966" w:rsidRDefault="00B40966">
      <w:pPr>
        <w:pStyle w:val="Apara"/>
      </w:pPr>
      <w:r>
        <w:tab/>
        <w:t>(a)</w:t>
      </w:r>
      <w:r>
        <w:tab/>
        <w:t>if so plainly visible to a person standing or sitting at the controls that the person can readily observe the depth to which each pawl has entered the teeth with which it engages; or</w:t>
      </w:r>
    </w:p>
    <w:p w:rsidR="00B40966" w:rsidRDefault="00B40966">
      <w:pPr>
        <w:pStyle w:val="Apara"/>
      </w:pPr>
      <w:r>
        <w:tab/>
        <w:t>(b)</w:t>
      </w:r>
      <w:r>
        <w:tab/>
        <w:t>if an approved indicator is provided to enable a person at the controls to ascertain the depth of engagement of the pawl as mentioned in paragraph (a).</w:t>
      </w:r>
    </w:p>
    <w:p w:rsidR="00B40966" w:rsidRDefault="00B40966">
      <w:pPr>
        <w:pStyle w:val="Amain"/>
      </w:pPr>
      <w:r>
        <w:tab/>
        <w:t>(47)</w:t>
      </w:r>
      <w:r>
        <w:tab/>
        <w:t>However, pawls with approved accelerating springs or approved linkages may be used in Weston type brakes.</w:t>
      </w:r>
    </w:p>
    <w:p w:rsidR="00B40966" w:rsidRDefault="00B40966">
      <w:pPr>
        <w:pStyle w:val="Amain"/>
      </w:pPr>
      <w:r>
        <w:tab/>
        <w:t>(48)</w:t>
      </w:r>
      <w:r>
        <w:tab/>
        <w:t>Pawls in enclosing casings or boxings shall be of the non</w:t>
      </w:r>
      <w:r>
        <w:noBreakHyphen/>
        <w:t>sychronous multiple type.</w:t>
      </w:r>
    </w:p>
    <w:p w:rsidR="00B40966" w:rsidRDefault="00B40966">
      <w:pPr>
        <w:pStyle w:val="Amain"/>
      </w:pPr>
      <w:r>
        <w:tab/>
        <w:t>(49)</w:t>
      </w:r>
      <w:r>
        <w:tab/>
        <w:t>If any power-driven mechanism has a speed-changing or adjusting device by means of which load sustaining parts may be disconnected from the motive agency, a brake or other approved means shall be provided to control the disconnected parts.</w:t>
      </w:r>
    </w:p>
    <w:p w:rsidR="00B40966" w:rsidRDefault="00B40966">
      <w:pPr>
        <w:pStyle w:val="Amain"/>
      </w:pPr>
      <w:r>
        <w:tab/>
        <w:t>(50)</w:t>
      </w:r>
      <w:r>
        <w:tab/>
        <w:t>The brake or alternative means shall, if the chief inspector so requires, be interlocked with the speed changing or adjusting device to prevent their simultaneous disengagement.</w:t>
      </w:r>
    </w:p>
    <w:p w:rsidR="00B40966" w:rsidRDefault="00B40966">
      <w:pPr>
        <w:pStyle w:val="Amain"/>
        <w:rPr>
          <w:color w:val="000000"/>
        </w:rPr>
      </w:pPr>
      <w:r>
        <w:rPr>
          <w:color w:val="000000"/>
        </w:rPr>
        <w:tab/>
        <w:t>(51)</w:t>
      </w:r>
      <w:r>
        <w:rPr>
          <w:color w:val="000000"/>
        </w:rPr>
        <w:tab/>
        <w:t>Brakes of mechanisms that can be reversed either under power or manually shall be fully effective in all directions.</w:t>
      </w:r>
    </w:p>
    <w:p w:rsidR="00B40966" w:rsidRDefault="00B40966">
      <w:pPr>
        <w:pStyle w:val="Amain"/>
      </w:pPr>
      <w:r>
        <w:rPr>
          <w:color w:val="000000"/>
        </w:rPr>
        <w:tab/>
        <w:t>(52)</w:t>
      </w:r>
      <w:r>
        <w:rPr>
          <w:color w:val="000000"/>
        </w:rPr>
        <w:tab/>
        <w:t>Automatic brakes other than those of the shoe type or of the Weston (screw or helix) type shall not be used on the mechanisms.</w:t>
      </w:r>
    </w:p>
    <w:p w:rsidR="00B40966" w:rsidRDefault="00B40966">
      <w:pPr>
        <w:pStyle w:val="Amain"/>
      </w:pPr>
      <w:r>
        <w:rPr>
          <w:color w:val="000000"/>
        </w:rPr>
        <w:tab/>
        <w:t>(53)</w:t>
      </w:r>
      <w:r>
        <w:rPr>
          <w:color w:val="000000"/>
        </w:rPr>
        <w:tab/>
        <w:t>All dynamically reversible mechanisms that can be energised by the action of gravity, momentum or wind shall have brakes or other approved devices by which all movements can be both controlled and prevented.</w:t>
      </w:r>
    </w:p>
    <w:p w:rsidR="00B40966" w:rsidRDefault="00B40966">
      <w:pPr>
        <w:pStyle w:val="Amain"/>
      </w:pPr>
      <w:r>
        <w:rPr>
          <w:color w:val="000000"/>
        </w:rPr>
        <w:tab/>
        <w:t>(54)</w:t>
      </w:r>
      <w:r>
        <w:rPr>
          <w:color w:val="000000"/>
        </w:rPr>
        <w:tab/>
        <w:t>Electrically opened brakes shall be deemed not to fulfil the requirements of subsection (53).</w:t>
      </w:r>
    </w:p>
    <w:p w:rsidR="00B40966" w:rsidRDefault="00B40966">
      <w:pPr>
        <w:pStyle w:val="Amain"/>
      </w:pPr>
      <w:r>
        <w:rPr>
          <w:color w:val="000000"/>
        </w:rPr>
        <w:tab/>
        <w:t>(55)</w:t>
      </w:r>
      <w:r>
        <w:rPr>
          <w:color w:val="000000"/>
        </w:rPr>
        <w:tab/>
        <w:t xml:space="preserve">A brake restraining a metal track wheel that runs on a metal track rail shall not for purposes of design be considered to develop a braking force between wheel and rail in excess of </w:t>
      </w:r>
      <w:r>
        <w:rPr>
          <w:color w:val="000000"/>
          <w:position w:val="6"/>
          <w:sz w:val="18"/>
        </w:rPr>
        <w:t>1</w:t>
      </w:r>
      <w:r>
        <w:rPr>
          <w:color w:val="000000"/>
        </w:rPr>
        <w:t>/</w:t>
      </w:r>
      <w:r>
        <w:rPr>
          <w:color w:val="000000"/>
          <w:sz w:val="18"/>
        </w:rPr>
        <w:t>10</w:t>
      </w:r>
      <w:r>
        <w:rPr>
          <w:color w:val="000000"/>
        </w:rPr>
        <w:t xml:space="preserve"> of the pressure between the wheel and rail.</w:t>
      </w:r>
    </w:p>
    <w:p w:rsidR="00B40966" w:rsidRDefault="00B40966">
      <w:pPr>
        <w:pStyle w:val="Amain"/>
        <w:rPr>
          <w:color w:val="000000"/>
        </w:rPr>
      </w:pPr>
      <w:r>
        <w:rPr>
          <w:color w:val="000000"/>
        </w:rPr>
        <w:tab/>
        <w:t>(56)</w:t>
      </w:r>
      <w:r>
        <w:rPr>
          <w:color w:val="000000"/>
        </w:rPr>
        <w:tab/>
        <w:t>Non-automatic brakes shall have approved means by which they may be locked in the fully engaged position.</w:t>
      </w:r>
    </w:p>
    <w:p w:rsidR="00B40966" w:rsidRDefault="00B40966">
      <w:pPr>
        <w:pStyle w:val="Amain"/>
      </w:pPr>
      <w:r>
        <w:tab/>
        <w:t>(57)</w:t>
      </w:r>
      <w:r>
        <w:tab/>
        <w:t>However, the locking devices may be omitted for brakes controlling the hoisting motions of overhead traveller cranes that lift or lower loads through heights not exceeding 30 feet.</w:t>
      </w:r>
    </w:p>
    <w:p w:rsidR="00B40966" w:rsidRDefault="00B40966">
      <w:pPr>
        <w:pStyle w:val="Amain"/>
        <w:rPr>
          <w:color w:val="000000"/>
        </w:rPr>
      </w:pPr>
      <w:r>
        <w:rPr>
          <w:color w:val="000000"/>
        </w:rPr>
        <w:tab/>
        <w:t>(58)</w:t>
      </w:r>
      <w:r>
        <w:rPr>
          <w:color w:val="000000"/>
        </w:rPr>
        <w:tab/>
        <w:t>In addition to any electrically-opened brakes, approved semiautomatic brakes shall be provided on power-driven mechanisms handling workers and materials to control the lowering motions.</w:t>
      </w:r>
    </w:p>
    <w:p w:rsidR="00B40966" w:rsidRDefault="00B40966">
      <w:pPr>
        <w:pStyle w:val="Amain"/>
      </w:pPr>
      <w:r>
        <w:rPr>
          <w:color w:val="000000"/>
        </w:rPr>
        <w:tab/>
        <w:t>(59)</w:t>
      </w:r>
      <w:r>
        <w:rPr>
          <w:color w:val="000000"/>
        </w:rPr>
        <w:tab/>
        <w:t>The brakes shall function automatically on the manual release of a restraining device.</w:t>
      </w:r>
    </w:p>
    <w:p w:rsidR="00B40966" w:rsidRDefault="00B40966">
      <w:pPr>
        <w:pStyle w:val="Amain"/>
      </w:pPr>
      <w:r>
        <w:rPr>
          <w:color w:val="000000"/>
        </w:rPr>
        <w:tab/>
        <w:t>(60)</w:t>
      </w:r>
      <w:r>
        <w:rPr>
          <w:color w:val="000000"/>
        </w:rPr>
        <w:tab/>
        <w:t>All brakes shall be lined with approved brake lining materials and the linings shall be so strongly and effectively fastened in place that they will not become loose or displaced even when so worn that replacement has become advisable.</w:t>
      </w:r>
    </w:p>
    <w:p w:rsidR="00B40966" w:rsidRDefault="00B40966">
      <w:pPr>
        <w:pStyle w:val="Amain"/>
      </w:pPr>
      <w:r>
        <w:rPr>
          <w:color w:val="000000"/>
        </w:rPr>
        <w:tab/>
        <w:t>(61)</w:t>
      </w:r>
      <w:r>
        <w:rPr>
          <w:color w:val="000000"/>
        </w:rPr>
        <w:tab/>
        <w:t xml:space="preserve">Brake bands that are less in width than </w:t>
      </w:r>
      <w:r>
        <w:rPr>
          <w:color w:val="000000"/>
          <w:position w:val="6"/>
          <w:sz w:val="18"/>
        </w:rPr>
        <w:t>1</w:t>
      </w:r>
      <w:r>
        <w:rPr>
          <w:color w:val="000000"/>
        </w:rPr>
        <w:t>/</w:t>
      </w:r>
      <w:r>
        <w:rPr>
          <w:color w:val="000000"/>
          <w:sz w:val="18"/>
        </w:rPr>
        <w:t>5</w:t>
      </w:r>
      <w:r>
        <w:rPr>
          <w:color w:val="000000"/>
        </w:rPr>
        <w:t xml:space="preserve"> of the diameter of their drums shall have restraining clips or double-flanged drums or other approved devices that ensure against their lateral displacement.</w:t>
      </w:r>
    </w:p>
    <w:p w:rsidR="00B40966" w:rsidRDefault="00B40966">
      <w:pPr>
        <w:pStyle w:val="Amain"/>
        <w:rPr>
          <w:color w:val="000000"/>
        </w:rPr>
      </w:pPr>
      <w:r>
        <w:rPr>
          <w:color w:val="000000"/>
        </w:rPr>
        <w:tab/>
        <w:t>(62)</w:t>
      </w:r>
      <w:r>
        <w:rPr>
          <w:color w:val="000000"/>
        </w:rPr>
        <w:tab/>
        <w:t>All ends of brake bands shall be concentric and hinged to ensure that the ends of the bands will not be subject to bending actions.</w:t>
      </w:r>
    </w:p>
    <w:p w:rsidR="00B40966" w:rsidRDefault="00B40966">
      <w:pPr>
        <w:pStyle w:val="Amain"/>
      </w:pPr>
      <w:r>
        <w:rPr>
          <w:color w:val="000000"/>
        </w:rPr>
        <w:tab/>
        <w:t>(63)</w:t>
      </w:r>
      <w:r>
        <w:rPr>
          <w:color w:val="000000"/>
        </w:rPr>
        <w:tab/>
        <w:t>The use of rigid or partly-rigid intermediate joints in brake bands shall as far as practicable be avoided but if unavoidable the joints shall be of types that will not subject the bands to bending actions.</w:t>
      </w:r>
    </w:p>
    <w:p w:rsidR="00B40966" w:rsidRDefault="00B40966">
      <w:pPr>
        <w:pStyle w:val="Amain"/>
        <w:rPr>
          <w:color w:val="000000"/>
        </w:rPr>
      </w:pPr>
      <w:r>
        <w:rPr>
          <w:color w:val="000000"/>
        </w:rPr>
        <w:tab/>
        <w:t>(64)</w:t>
      </w:r>
      <w:r>
        <w:rPr>
          <w:color w:val="000000"/>
        </w:rPr>
        <w:tab/>
        <w:t>All manual and semiautomatic brakes shall be so devised, constructed and located that in an emergency they can be instantly applied.</w:t>
      </w:r>
    </w:p>
    <w:p w:rsidR="00B40966" w:rsidRDefault="00B40966">
      <w:pPr>
        <w:pStyle w:val="Amain"/>
      </w:pPr>
      <w:r>
        <w:rPr>
          <w:color w:val="000000"/>
        </w:rPr>
        <w:tab/>
        <w:t>(65)</w:t>
      </w:r>
      <w:r>
        <w:rPr>
          <w:color w:val="000000"/>
        </w:rPr>
        <w:tab/>
        <w:t>If manual rotation of a screw thread or nut is necessary, brakes shall be so devised, constructed and located that alternative means of instantaneous application are available.</w:t>
      </w:r>
    </w:p>
    <w:p w:rsidR="00B40966" w:rsidRDefault="00B40966">
      <w:pPr>
        <w:pStyle w:val="Amain"/>
      </w:pPr>
      <w:r>
        <w:rPr>
          <w:color w:val="000000"/>
        </w:rPr>
        <w:tab/>
        <w:t>(66)</w:t>
      </w:r>
      <w:r>
        <w:rPr>
          <w:color w:val="000000"/>
        </w:rPr>
        <w:tab/>
        <w:t>Effective means shall be provided for limiting the total movement of brake bands or shoes to the least practicable amount.</w:t>
      </w:r>
    </w:p>
    <w:p w:rsidR="00B40966" w:rsidRDefault="00B40966">
      <w:pPr>
        <w:pStyle w:val="Amain"/>
      </w:pPr>
      <w:r>
        <w:rPr>
          <w:color w:val="000000"/>
        </w:rPr>
        <w:tab/>
        <w:t>(67)</w:t>
      </w:r>
      <w:r>
        <w:rPr>
          <w:color w:val="000000"/>
        </w:rPr>
        <w:tab/>
        <w:t>The total movement of a brake band in opening and closing shall be limited to an amount that will ensure against its excessive flexure or displacement or mounting.</w:t>
      </w:r>
    </w:p>
    <w:p w:rsidR="00B40966" w:rsidRDefault="00B40966">
      <w:pPr>
        <w:pStyle w:val="Amain"/>
      </w:pPr>
      <w:r>
        <w:rPr>
          <w:color w:val="000000"/>
        </w:rPr>
        <w:tab/>
        <w:t>(68)</w:t>
      </w:r>
      <w:r>
        <w:rPr>
          <w:color w:val="000000"/>
        </w:rPr>
        <w:tab/>
        <w:t>Brakes shall open and close evenly to ensure correct action and regular wear of linings, their action shall be entirely smooth and free from chatter and they shall not stick or bind.</w:t>
      </w:r>
    </w:p>
    <w:p w:rsidR="00B40966" w:rsidRDefault="00B40966">
      <w:pPr>
        <w:pStyle w:val="Amain"/>
      </w:pPr>
      <w:r>
        <w:rPr>
          <w:color w:val="000000"/>
        </w:rPr>
        <w:tab/>
        <w:t>(69)</w:t>
      </w:r>
      <w:r>
        <w:rPr>
          <w:color w:val="000000"/>
        </w:rPr>
        <w:tab/>
        <w:t>The total angular movement or ‘throw’ of the hand lever of any brake or clutch or the like shall not exceed 50°, and that of any pedal shall not exceed 30°.</w:t>
      </w:r>
    </w:p>
    <w:p w:rsidR="00B40966" w:rsidRDefault="00B40966">
      <w:pPr>
        <w:pStyle w:val="Amain"/>
      </w:pPr>
      <w:r>
        <w:rPr>
          <w:color w:val="000000"/>
        </w:rPr>
        <w:tab/>
        <w:t>(70)</w:t>
      </w:r>
      <w:r>
        <w:rPr>
          <w:color w:val="000000"/>
        </w:rPr>
        <w:tab/>
        <w:t>Brakes shall be capable of exerting braking torques 50% greater than those transmitted to them, assuming conditions of static loading and an absence of friction except at the braking surfaces.</w:t>
      </w:r>
    </w:p>
    <w:p w:rsidR="00B40966" w:rsidRDefault="00B40966">
      <w:pPr>
        <w:pStyle w:val="Amain"/>
      </w:pPr>
      <w:r>
        <w:tab/>
        <w:t>(71)</w:t>
      </w:r>
      <w:r>
        <w:tab/>
        <w:t>The braking torques shall be exerted by the brakes, if manually actuated, on application of a force not greater than 35 pounds to the hand lever, or, alternatively, 70 pounds to the foot pedal.</w:t>
      </w:r>
    </w:p>
    <w:p w:rsidR="00B40966" w:rsidRDefault="00B40966">
      <w:pPr>
        <w:pStyle w:val="Amain"/>
      </w:pPr>
      <w:r>
        <w:rPr>
          <w:color w:val="000000"/>
        </w:rPr>
        <w:tab/>
        <w:t>(72)</w:t>
      </w:r>
      <w:r>
        <w:rPr>
          <w:color w:val="000000"/>
        </w:rPr>
        <w:tab/>
        <w:t>Every Weston (screw or helix) type brake shall be so designed that the holding torque developed by it at all times exceeds by at least 1% the load torque applied.</w:t>
      </w:r>
    </w:p>
    <w:p w:rsidR="00B40966" w:rsidRDefault="00B40966">
      <w:pPr>
        <w:pStyle w:val="Amain"/>
      </w:pPr>
      <w:r>
        <w:rPr>
          <w:color w:val="000000"/>
        </w:rPr>
        <w:tab/>
        <w:t>(73)</w:t>
      </w:r>
      <w:r>
        <w:rPr>
          <w:color w:val="000000"/>
        </w:rPr>
        <w:tab/>
        <w:t>Unless specifically designed for operation with lubricated linings, brakes shall, if necessary or desirable, be effectively protected against entry of water or other lubricants.</w:t>
      </w:r>
    </w:p>
    <w:p w:rsidR="00B40966" w:rsidRDefault="00B40966">
      <w:pPr>
        <w:pStyle w:val="Amain"/>
      </w:pPr>
      <w:r>
        <w:rPr>
          <w:color w:val="000000"/>
        </w:rPr>
        <w:tab/>
        <w:t>(74)</w:t>
      </w:r>
      <w:r>
        <w:rPr>
          <w:color w:val="000000"/>
        </w:rPr>
        <w:tab/>
        <w:t>Subject to subsection (95), the hoisting motions of cranes or hoists of the following types shall be controlled by automatic (trailing) bank brakes, or by approved Weston (screw or helix) type brakes:</w:t>
      </w:r>
    </w:p>
    <w:p w:rsidR="00B40966" w:rsidRDefault="00B40966">
      <w:pPr>
        <w:pStyle w:val="Apara"/>
      </w:pPr>
      <w:r>
        <w:tab/>
        <w:t>(a)</w:t>
      </w:r>
      <w:r>
        <w:tab/>
        <w:t>mobile, caterpillar, and locomotive type cranes;</w:t>
      </w:r>
    </w:p>
    <w:p w:rsidR="00B40966" w:rsidRDefault="00B40966">
      <w:pPr>
        <w:pStyle w:val="Apara"/>
      </w:pPr>
      <w:r>
        <w:tab/>
        <w:t>(b)</w:t>
      </w:r>
      <w:r>
        <w:tab/>
        <w:t>hand-operated winches;</w:t>
      </w:r>
    </w:p>
    <w:p w:rsidR="00B40966" w:rsidRDefault="00B40966">
      <w:pPr>
        <w:pStyle w:val="Apara"/>
      </w:pPr>
      <w:r>
        <w:tab/>
        <w:t>(c)</w:t>
      </w:r>
      <w:r>
        <w:tab/>
        <w:t>hand-operated derrick cranes;</w:t>
      </w:r>
    </w:p>
    <w:p w:rsidR="00B40966" w:rsidRDefault="00B40966">
      <w:pPr>
        <w:pStyle w:val="Apara"/>
      </w:pPr>
      <w:r>
        <w:tab/>
        <w:t>(d)</w:t>
      </w:r>
      <w:r>
        <w:tab/>
        <w:t>hand-operated overhead traveller cranes.</w:t>
      </w:r>
    </w:p>
    <w:p w:rsidR="00B40966" w:rsidRDefault="00B40966">
      <w:pPr>
        <w:pStyle w:val="Amain"/>
      </w:pPr>
      <w:r>
        <w:rPr>
          <w:color w:val="000000"/>
        </w:rPr>
        <w:tab/>
        <w:t>(75)</w:t>
      </w:r>
      <w:r>
        <w:rPr>
          <w:color w:val="000000"/>
        </w:rPr>
        <w:tab/>
        <w:t>The following motions of cranes or hoists of the following types shall be controlled by Weston (screw or helix) type brakes:</w:t>
      </w:r>
    </w:p>
    <w:p w:rsidR="00B40966" w:rsidRDefault="00B40966">
      <w:pPr>
        <w:pStyle w:val="Apara"/>
      </w:pPr>
      <w:r>
        <w:tab/>
        <w:t>(a)</w:t>
      </w:r>
      <w:r>
        <w:tab/>
        <w:t>the hoisting motions of hand-operated stacking machines, gibbets, gallows, and chain blocks;</w:t>
      </w:r>
    </w:p>
    <w:p w:rsidR="00B40966" w:rsidRDefault="00B40966">
      <w:pPr>
        <w:pStyle w:val="Apara"/>
      </w:pPr>
      <w:r>
        <w:tab/>
        <w:t>(b)</w:t>
      </w:r>
      <w:r>
        <w:tab/>
        <w:t>the boom-elevating motion of mobile or portable conveyors;</w:t>
      </w:r>
    </w:p>
    <w:p w:rsidR="00B40966" w:rsidRDefault="00B40966">
      <w:pPr>
        <w:pStyle w:val="Apara"/>
      </w:pPr>
      <w:r>
        <w:tab/>
        <w:t>(c)</w:t>
      </w:r>
      <w:r>
        <w:tab/>
        <w:t>the luffing and hoisting motions of power-driven travelling derrick cranes;</w:t>
      </w:r>
    </w:p>
    <w:p w:rsidR="00B40966" w:rsidRDefault="00B40966">
      <w:pPr>
        <w:pStyle w:val="Apara"/>
      </w:pPr>
      <w:r>
        <w:tab/>
        <w:t>(d)</w:t>
      </w:r>
      <w:r>
        <w:tab/>
        <w:t>the hoisting motions of cranes and hoists (other than power</w:t>
      </w:r>
      <w:r>
        <w:noBreakHyphen/>
        <w:t>driven hoisting blocks), that raise and lower loads through distances not greater than 10 feet.</w:t>
      </w:r>
    </w:p>
    <w:p w:rsidR="00B40966" w:rsidRDefault="00B40966">
      <w:pPr>
        <w:pStyle w:val="Amain"/>
      </w:pPr>
      <w:r>
        <w:rPr>
          <w:color w:val="000000"/>
        </w:rPr>
        <w:tab/>
        <w:t>(76)</w:t>
      </w:r>
      <w:r>
        <w:rPr>
          <w:color w:val="000000"/>
        </w:rPr>
        <w:tab/>
        <w:t>Convenient and readily accessible means shall, unless the design renders them unnecessary, be provided by which brakes may be readjusted from time to time to compensate for wear and to ensure correct functioning.</w:t>
      </w:r>
    </w:p>
    <w:p w:rsidR="00B40966" w:rsidRDefault="00B40966">
      <w:pPr>
        <w:pStyle w:val="Amain"/>
      </w:pPr>
      <w:r>
        <w:rPr>
          <w:color w:val="000000"/>
        </w:rPr>
        <w:tab/>
        <w:t>(77)</w:t>
      </w:r>
      <w:r>
        <w:rPr>
          <w:color w:val="000000"/>
        </w:rPr>
        <w:tab/>
        <w:t>Any brake that is closed by springs shall have at least 2 such springs.</w:t>
      </w:r>
    </w:p>
    <w:p w:rsidR="00B40966" w:rsidRDefault="00B40966">
      <w:pPr>
        <w:pStyle w:val="Amain"/>
      </w:pPr>
      <w:r>
        <w:tab/>
        <w:t>(78)</w:t>
      </w:r>
      <w:r>
        <w:tab/>
        <w:t xml:space="preserve">They shall be so devised and arranged that in the event of failure of either, the brake will continue to function and to develop at least </w:t>
      </w:r>
      <w:r>
        <w:rPr>
          <w:position w:val="6"/>
          <w:sz w:val="18"/>
        </w:rPr>
        <w:t>1</w:t>
      </w:r>
      <w:r>
        <w:t>/</w:t>
      </w:r>
      <w:r>
        <w:rPr>
          <w:sz w:val="18"/>
        </w:rPr>
        <w:t>2 </w:t>
      </w:r>
      <w:r>
        <w:t>of the holding torque prescribed by subsections (70) and (71).</w:t>
      </w:r>
    </w:p>
    <w:p w:rsidR="00B40966" w:rsidRDefault="00B40966">
      <w:pPr>
        <w:pStyle w:val="Amain"/>
      </w:pPr>
      <w:r>
        <w:rPr>
          <w:color w:val="000000"/>
        </w:rPr>
        <w:tab/>
        <w:t>(79)</w:t>
      </w:r>
      <w:r>
        <w:rPr>
          <w:color w:val="000000"/>
        </w:rPr>
        <w:tab/>
        <w:t>Shoe brakes shall be so devised and constructed that the loads on opposing shoes automatically equalise and balance one another.</w:t>
      </w:r>
    </w:p>
    <w:p w:rsidR="00B40966" w:rsidRDefault="00B40966">
      <w:pPr>
        <w:pStyle w:val="Amain"/>
      </w:pPr>
      <w:r>
        <w:tab/>
        <w:t>(80)</w:t>
      </w:r>
      <w:r>
        <w:tab/>
        <w:t>Brake show linkages shall be of the floating type so that appreciable eccentricity of diametral oscillation of brake drums will not cause variation in shoe loads.</w:t>
      </w:r>
    </w:p>
    <w:p w:rsidR="00B40966" w:rsidRDefault="00B40966">
      <w:pPr>
        <w:pStyle w:val="Amain"/>
      </w:pPr>
      <w:r>
        <w:rPr>
          <w:color w:val="000000"/>
        </w:rPr>
        <w:tab/>
        <w:t>(81)</w:t>
      </w:r>
      <w:r>
        <w:rPr>
          <w:color w:val="000000"/>
        </w:rPr>
        <w:tab/>
        <w:t>The temperature of the rubbing surface of any brake shall not exceed—</w:t>
      </w:r>
    </w:p>
    <w:p w:rsidR="00B40966" w:rsidRDefault="00B40966">
      <w:pPr>
        <w:pStyle w:val="Apara"/>
      </w:pPr>
      <w:r>
        <w:tab/>
        <w:t>(a)</w:t>
      </w:r>
      <w:r>
        <w:tab/>
        <w:t>212° Fahrenheit for brakes lined with wood or fabric; or</w:t>
      </w:r>
    </w:p>
    <w:p w:rsidR="00B40966" w:rsidRDefault="00B40966">
      <w:pPr>
        <w:pStyle w:val="Apara"/>
      </w:pPr>
      <w:r>
        <w:tab/>
        <w:t>(b)</w:t>
      </w:r>
      <w:r>
        <w:tab/>
        <w:t>400° Fahrenheit for brakes lined with bonded asbestos or approved non-combustible sintered materials.</w:t>
      </w:r>
    </w:p>
    <w:p w:rsidR="00B40966" w:rsidRDefault="00B40966">
      <w:pPr>
        <w:pStyle w:val="Amain"/>
      </w:pPr>
      <w:r>
        <w:rPr>
          <w:color w:val="000000"/>
        </w:rPr>
        <w:tab/>
        <w:t>(82)</w:t>
      </w:r>
      <w:r>
        <w:rPr>
          <w:color w:val="000000"/>
        </w:rPr>
        <w:tab/>
        <w:t>Ropes wrapping round shafts or drums shall not be provided or used as brakes.</w:t>
      </w:r>
    </w:p>
    <w:p w:rsidR="00B40966" w:rsidRDefault="00B40966">
      <w:pPr>
        <w:pStyle w:val="Amain"/>
      </w:pPr>
      <w:r>
        <w:rPr>
          <w:color w:val="000000"/>
        </w:rPr>
        <w:tab/>
        <w:t>(83)</w:t>
      </w:r>
      <w:r>
        <w:rPr>
          <w:color w:val="000000"/>
        </w:rPr>
        <w:tab/>
        <w:t>All foot pedals, and all foot rests or steps that accommodate only 1 foot of the user shall have heavily upturned edges or other approved devices to prevent slipping.</w:t>
      </w:r>
    </w:p>
    <w:p w:rsidR="00B40966" w:rsidRDefault="00B40966">
      <w:pPr>
        <w:pStyle w:val="Amain"/>
      </w:pPr>
      <w:r>
        <w:rPr>
          <w:color w:val="000000"/>
        </w:rPr>
        <w:tab/>
        <w:t>(84)</w:t>
      </w:r>
      <w:r>
        <w:rPr>
          <w:color w:val="000000"/>
        </w:rPr>
        <w:tab/>
        <w:t>All levers, pedals and control linkages shall be so devised that persons using them cannot be injured by their recoil, backlash, or other movement under power.</w:t>
      </w:r>
    </w:p>
    <w:p w:rsidR="00B40966" w:rsidRDefault="00B40966">
      <w:pPr>
        <w:pStyle w:val="Amain"/>
        <w:rPr>
          <w:color w:val="000000"/>
        </w:rPr>
      </w:pPr>
      <w:r>
        <w:rPr>
          <w:color w:val="000000"/>
        </w:rPr>
        <w:tab/>
        <w:t>(85)</w:t>
      </w:r>
      <w:r>
        <w:rPr>
          <w:color w:val="000000"/>
        </w:rPr>
        <w:tab/>
        <w:t>If it is practicable to use trailing type (unidirectional) handbrakes or other approved brakes, pawls shall not be used in mechanisms holding, supporting or sustaining loads.</w:t>
      </w:r>
    </w:p>
    <w:p w:rsidR="00B40966" w:rsidRDefault="00B40966">
      <w:pPr>
        <w:pStyle w:val="Amain"/>
      </w:pPr>
      <w:r>
        <w:rPr>
          <w:color w:val="000000"/>
        </w:rPr>
        <w:tab/>
        <w:t>(86)</w:t>
      </w:r>
      <w:r>
        <w:rPr>
          <w:color w:val="000000"/>
        </w:rPr>
        <w:tab/>
        <w:t>Mechanisms for hoisting or holding Proscenium Safety Fire Curtains shall not have pawls.</w:t>
      </w:r>
    </w:p>
    <w:p w:rsidR="00B40966" w:rsidRDefault="00B40966">
      <w:pPr>
        <w:pStyle w:val="Amain"/>
      </w:pPr>
      <w:r>
        <w:rPr>
          <w:color w:val="000000"/>
        </w:rPr>
        <w:tab/>
        <w:t>(87)</w:t>
      </w:r>
      <w:r>
        <w:rPr>
          <w:color w:val="000000"/>
        </w:rPr>
        <w:tab/>
        <w:t>Centrifugal brakes or other approved automatic speed regulating devices shall be provided to control the speed of descent of Proscenium Safety Fire Curtains and of other loads that are required to descend unattended.</w:t>
      </w:r>
    </w:p>
    <w:p w:rsidR="00B40966" w:rsidRDefault="00B40966">
      <w:pPr>
        <w:pStyle w:val="Amain"/>
        <w:rPr>
          <w:color w:val="000000"/>
        </w:rPr>
      </w:pPr>
      <w:r>
        <w:rPr>
          <w:color w:val="000000"/>
        </w:rPr>
        <w:tab/>
        <w:t>(88)</w:t>
      </w:r>
      <w:r>
        <w:rPr>
          <w:color w:val="000000"/>
        </w:rPr>
        <w:tab/>
        <w:t>Toothed or dog clutches shall not have less than 4 teeth or 4 dogs.</w:t>
      </w:r>
    </w:p>
    <w:p w:rsidR="00B40966" w:rsidRDefault="00B40966">
      <w:pPr>
        <w:pStyle w:val="Amain"/>
      </w:pPr>
      <w:r>
        <w:rPr>
          <w:color w:val="000000"/>
        </w:rPr>
        <w:tab/>
        <w:t>(89)</w:t>
      </w:r>
      <w:r>
        <w:rPr>
          <w:color w:val="000000"/>
        </w:rPr>
        <w:tab/>
        <w:t>The teeth or dogs and their mating recesses shall be undercut sufficiently to prevent inadvertent disengagement of clutches.</w:t>
      </w:r>
    </w:p>
    <w:p w:rsidR="00B40966" w:rsidRDefault="00B40966">
      <w:pPr>
        <w:pStyle w:val="Amain"/>
        <w:rPr>
          <w:color w:val="000000"/>
        </w:rPr>
      </w:pPr>
      <w:r>
        <w:rPr>
          <w:color w:val="000000"/>
        </w:rPr>
        <w:tab/>
        <w:t>(90)</w:t>
      </w:r>
      <w:r>
        <w:rPr>
          <w:color w:val="000000"/>
        </w:rPr>
        <w:tab/>
        <w:t>Cone and other friction clutches shall be so designed that they will not seize or become locked in engagement.</w:t>
      </w:r>
    </w:p>
    <w:p w:rsidR="00B40966" w:rsidRDefault="00B40966">
      <w:pPr>
        <w:pStyle w:val="Amain"/>
      </w:pPr>
      <w:r>
        <w:rPr>
          <w:color w:val="000000"/>
        </w:rPr>
        <w:tab/>
        <w:t>(91)</w:t>
      </w:r>
      <w:r>
        <w:rPr>
          <w:color w:val="000000"/>
        </w:rPr>
        <w:tab/>
        <w:t>The chief inspector may require any cone clutch to be lined with an approved clutch lining material.</w:t>
      </w:r>
    </w:p>
    <w:p w:rsidR="00B40966" w:rsidRDefault="00B40966">
      <w:pPr>
        <w:pStyle w:val="Amain"/>
      </w:pPr>
      <w:r>
        <w:rPr>
          <w:color w:val="000000"/>
        </w:rPr>
        <w:tab/>
        <w:t>(92)</w:t>
      </w:r>
      <w:r>
        <w:rPr>
          <w:color w:val="000000"/>
        </w:rPr>
        <w:tab/>
        <w:t>All manually operated clutches shall be actuated by means of levers, pedals, or other approved controls.</w:t>
      </w:r>
    </w:p>
    <w:p w:rsidR="00B40966" w:rsidRDefault="00B40966">
      <w:pPr>
        <w:pStyle w:val="Amain"/>
      </w:pPr>
      <w:r>
        <w:rPr>
          <w:color w:val="000000"/>
        </w:rPr>
        <w:tab/>
        <w:t>(93)</w:t>
      </w:r>
      <w:r>
        <w:rPr>
          <w:color w:val="000000"/>
        </w:rPr>
        <w:tab/>
        <w:t>All clutches shall be so designed and constructed that they can not drift or become otherwise inadvertently engaged or disengaged.</w:t>
      </w:r>
    </w:p>
    <w:p w:rsidR="00B40966" w:rsidRDefault="00B40966">
      <w:pPr>
        <w:pStyle w:val="Amain"/>
      </w:pPr>
      <w:r>
        <w:rPr>
          <w:color w:val="000000"/>
        </w:rPr>
        <w:tab/>
        <w:t>(94)</w:t>
      </w:r>
      <w:r>
        <w:rPr>
          <w:color w:val="000000"/>
        </w:rPr>
        <w:tab/>
        <w:t>Worm gearings having machined teeth and other worm gearings in which the angle of lead of the worm exceeds 3° shall be deemed incapable of stopping or holding loads, and mechanisms employing the gearings shall have brakes as prescribed by subsection (53).</w:t>
      </w:r>
    </w:p>
    <w:p w:rsidR="00B40966" w:rsidRDefault="00B40966">
      <w:pPr>
        <w:pStyle w:val="Amain"/>
      </w:pPr>
      <w:r>
        <w:rPr>
          <w:color w:val="000000"/>
        </w:rPr>
        <w:tab/>
        <w:t>(95)</w:t>
      </w:r>
      <w:r>
        <w:rPr>
          <w:color w:val="000000"/>
        </w:rPr>
        <w:tab/>
        <w:t>If worm gearing or a solenoid brake is employed in connection with any jib or derrick crane for raising or lowering loads, and if the crane depends on gravitational forces for stability, an approved clutch shall be provided in such position that in an emergency the load may, if desired, be released, or alternatively lowered rapidly under the control of an approved brake that shall also be provided for the purpose.</w:t>
      </w:r>
    </w:p>
    <w:p w:rsidR="00B40966" w:rsidRDefault="00B40966">
      <w:pPr>
        <w:pStyle w:val="Amain"/>
        <w:keepLines/>
      </w:pPr>
      <w:r>
        <w:rPr>
          <w:color w:val="000000"/>
        </w:rPr>
        <w:tab/>
        <w:t>(96)</w:t>
      </w:r>
      <w:r>
        <w:rPr>
          <w:color w:val="000000"/>
        </w:rPr>
        <w:tab/>
        <w:t>All hoists and lifts used for raising or lowering workers shall have approved safety gear that shall be so devised and constructed that if the vehicle in which the workers ride becomes separated or detached from its hoisting agency, it will immediately and automatically on seperation or detachment become securely locked to its guides, runners, or supporting structure and remain so locked even if it is reconnected to its hoisting agency and its weight again transferred to it.</w:t>
      </w:r>
    </w:p>
    <w:p w:rsidR="00B40966" w:rsidRDefault="00B40966">
      <w:pPr>
        <w:pStyle w:val="Amain"/>
        <w:keepNext/>
      </w:pPr>
      <w:r>
        <w:tab/>
        <w:t>(97)</w:t>
      </w:r>
      <w:r>
        <w:tab/>
        <w:t>However—</w:t>
      </w:r>
    </w:p>
    <w:p w:rsidR="00B40966" w:rsidRDefault="00B40966">
      <w:pPr>
        <w:pStyle w:val="Apara"/>
      </w:pPr>
      <w:r>
        <w:tab/>
        <w:t>(a)</w:t>
      </w:r>
      <w:r>
        <w:tab/>
        <w:t>if the safety gear is entirely self-resetting, it may automatically release its grip on the guides, runners or supporting structure after the weight of the vehicle has again been transferred to the hoisting agency; or</w:t>
      </w:r>
    </w:p>
    <w:p w:rsidR="00B40966" w:rsidRDefault="00B40966">
      <w:pPr>
        <w:pStyle w:val="Apara"/>
      </w:pPr>
      <w:r>
        <w:tab/>
        <w:t>(b)</w:t>
      </w:r>
      <w:r>
        <w:tab/>
        <w:t>the safety gear shall not function while the vehicle is ascending; or</w:t>
      </w:r>
    </w:p>
    <w:p w:rsidR="00B40966" w:rsidRDefault="00B40966">
      <w:pPr>
        <w:pStyle w:val="Apara"/>
      </w:pPr>
      <w:r>
        <w:tab/>
        <w:t>(c)</w:t>
      </w:r>
      <w:r>
        <w:tab/>
        <w:t>if the distance travelled by the vehicle exceeds 30 feet—the chief inspector may require the safety gear to function if and as the vehicle attains a speed 40% greater than its rated speed; or</w:t>
      </w:r>
    </w:p>
    <w:p w:rsidR="00B40966" w:rsidRDefault="00B40966">
      <w:pPr>
        <w:pStyle w:val="Apara"/>
      </w:pPr>
      <w:r>
        <w:tab/>
        <w:t>(d)</w:t>
      </w:r>
      <w:r>
        <w:tab/>
        <w:t>if the rated speed is less than 100 feet per minute—the safety gear shall function if and as it reaches 140 feet per minute.</w:t>
      </w:r>
    </w:p>
    <w:p w:rsidR="00B40966" w:rsidRDefault="00B40966">
      <w:pPr>
        <w:pStyle w:val="Amain"/>
        <w:rPr>
          <w:color w:val="000000"/>
        </w:rPr>
      </w:pPr>
      <w:r>
        <w:rPr>
          <w:color w:val="000000"/>
        </w:rPr>
        <w:tab/>
        <w:t>(98)</w:t>
      </w:r>
      <w:r>
        <w:rPr>
          <w:color w:val="000000"/>
        </w:rPr>
        <w:tab/>
        <w:t>The platforms of all hoists for raising or lowering workers shall have sides extending not less in height than 6 feet above the platform flooring, and the sides shall constitute continuous surfaces free from apertures.</w:t>
      </w:r>
    </w:p>
    <w:p w:rsidR="00B40966" w:rsidRDefault="00B40966">
      <w:pPr>
        <w:pStyle w:val="Amain"/>
        <w:rPr>
          <w:color w:val="000000"/>
        </w:rPr>
      </w:pPr>
      <w:r>
        <w:rPr>
          <w:color w:val="000000"/>
        </w:rPr>
        <w:tab/>
        <w:t>(99)</w:t>
      </w:r>
      <w:r>
        <w:rPr>
          <w:color w:val="000000"/>
        </w:rPr>
        <w:tab/>
        <w:t>Any side or end not used for loading or unloading or for access shall also be fenced.</w:t>
      </w:r>
    </w:p>
    <w:p w:rsidR="00B40966" w:rsidRDefault="00B40966">
      <w:pPr>
        <w:pStyle w:val="Amain"/>
      </w:pPr>
      <w:r>
        <w:rPr>
          <w:color w:val="000000"/>
        </w:rPr>
        <w:tab/>
        <w:t>(100)</w:t>
      </w:r>
      <w:r>
        <w:rPr>
          <w:color w:val="000000"/>
        </w:rPr>
        <w:tab/>
        <w:t>Any side or end that is used for loading, unloading or access shall be enclosed or fenced by approved gates or doors extending to the same height, or if approved, by rails set at a height of 3 feet above the platform flooring, and at a distance of 8 inches back from the platform edge served.</w:t>
      </w:r>
    </w:p>
    <w:p w:rsidR="00B40966" w:rsidRDefault="00B40966">
      <w:pPr>
        <w:pStyle w:val="Amain"/>
      </w:pPr>
      <w:r>
        <w:tab/>
        <w:t>(101)</w:t>
      </w:r>
      <w:r>
        <w:tab/>
        <w:t>The hoist platform shall have a robust roof or head cover to prevent persons being struck by falling objects.</w:t>
      </w:r>
    </w:p>
    <w:p w:rsidR="00B40966" w:rsidRDefault="00B40966">
      <w:pPr>
        <w:pStyle w:val="Amain"/>
      </w:pPr>
      <w:r>
        <w:tab/>
        <w:t>(102)</w:t>
      </w:r>
      <w:r>
        <w:tab/>
        <w:t>Hand rails or other grips shall be provided overhead, or on the continuous surfaces mentioned in subsection (98) for the use of persons travelling in the hoist.</w:t>
      </w:r>
    </w:p>
    <w:p w:rsidR="00B40966" w:rsidRDefault="00B40966">
      <w:pPr>
        <w:pStyle w:val="Amain"/>
      </w:pPr>
      <w:r>
        <w:rPr>
          <w:color w:val="000000"/>
        </w:rPr>
        <w:tab/>
        <w:t>(103)</w:t>
      </w:r>
      <w:r>
        <w:rPr>
          <w:color w:val="000000"/>
        </w:rPr>
        <w:tab/>
        <w:t>If loads are raised or lowered in open topped, open sided or open ended vessels, kibbles, boxes or trays, or in bags, above workers in shafts, well holes, or other confined spaces, monkeys or other approved means shall be employed to prevent them colliding with the sides of the shaft or well hole, or anything in it.</w:t>
      </w:r>
    </w:p>
    <w:p w:rsidR="00B40966" w:rsidRDefault="00B40966">
      <w:pPr>
        <w:pStyle w:val="Amain"/>
      </w:pPr>
      <w:r>
        <w:tab/>
        <w:t>(104)</w:t>
      </w:r>
      <w:r>
        <w:tab/>
        <w:t>However, the monkeys or means shall not be deemed necessary if the hoisting rope or chain may be freely displaced in any direction through an angle of 5° from the vertical without the suspended load, vessel, kibble, box, or tray coming into contact with the sides of the shaft or well hole or anything in it.</w:t>
      </w:r>
    </w:p>
    <w:p w:rsidR="00B40966" w:rsidRDefault="00B40966">
      <w:pPr>
        <w:pStyle w:val="Amain"/>
      </w:pPr>
      <w:r>
        <w:rPr>
          <w:color w:val="000000"/>
        </w:rPr>
        <w:tab/>
        <w:t>(105)</w:t>
      </w:r>
      <w:r>
        <w:rPr>
          <w:color w:val="000000"/>
        </w:rPr>
        <w:tab/>
        <w:t>If loads guided by a monkey are raised or lowered above workers in confined or partly confined areas, the monkeys shall have approved safety gear so devised and constructed that if the weight of the monkey is removed from the hoisting agency at any position within the limits of its travel it will immediately and automatically on removal become securely locked to its guides.</w:t>
      </w:r>
    </w:p>
    <w:p w:rsidR="00B40966" w:rsidRDefault="00B40966">
      <w:pPr>
        <w:pStyle w:val="Amain"/>
      </w:pPr>
      <w:r>
        <w:tab/>
        <w:t>(106)</w:t>
      </w:r>
      <w:r>
        <w:tab/>
        <w:t>The kibble, truck or vessel the monkey is employed to guide shall be so fastened to the monkey that it will only be automatically released after the monkey has attained its lowermost limit of travel.</w:t>
      </w:r>
    </w:p>
    <w:p w:rsidR="00B40966" w:rsidRDefault="00B40966">
      <w:pPr>
        <w:pStyle w:val="Amain"/>
      </w:pPr>
      <w:r>
        <w:rPr>
          <w:color w:val="000000"/>
        </w:rPr>
        <w:tab/>
        <w:t>(107)</w:t>
      </w:r>
      <w:r>
        <w:rPr>
          <w:color w:val="000000"/>
        </w:rPr>
        <w:tab/>
        <w:t>If loads are raised, lowered, handled or transported on hooks, or other media, under circumstances in which it is necessary or desirable to prevent them becoming unshipped or displaced from it, approved safety hooks, or other approved means shall be adopted to prevent the unshipping or displacement, or to prevent injury (or both) to any person in the vicinity.</w:t>
      </w:r>
    </w:p>
    <w:p w:rsidR="00B40966" w:rsidRDefault="00B40966">
      <w:pPr>
        <w:pStyle w:val="Amain"/>
        <w:keepNext/>
      </w:pPr>
      <w:r>
        <w:rPr>
          <w:color w:val="000000"/>
        </w:rPr>
        <w:tab/>
        <w:t>(108)</w:t>
      </w:r>
      <w:r>
        <w:rPr>
          <w:color w:val="000000"/>
        </w:rPr>
        <w:tab/>
      </w:r>
      <w:r>
        <w:t>This subsection applies to the following lifting devices:</w:t>
      </w:r>
    </w:p>
    <w:p w:rsidR="00B40966" w:rsidRDefault="00B40966">
      <w:pPr>
        <w:pStyle w:val="Apara"/>
      </w:pPr>
      <w:r>
        <w:tab/>
        <w:t>(a)</w:t>
      </w:r>
      <w:r>
        <w:tab/>
        <w:t>grabs, dogs, clamps and magnets;</w:t>
      </w:r>
    </w:p>
    <w:p w:rsidR="00B40966" w:rsidRDefault="00B40966">
      <w:pPr>
        <w:pStyle w:val="Apara"/>
      </w:pPr>
      <w:r>
        <w:tab/>
        <w:t>(b)</w:t>
      </w:r>
      <w:r>
        <w:tab/>
        <w:t>all lifting devices that either—</w:t>
      </w:r>
    </w:p>
    <w:p w:rsidR="00B40966" w:rsidRDefault="00B40966">
      <w:pPr>
        <w:pStyle w:val="Asubpara"/>
      </w:pPr>
      <w:r>
        <w:tab/>
        <w:t>(i)</w:t>
      </w:r>
      <w:r>
        <w:tab/>
        <w:t>function by the agency of friction, fluid pressure, vacuumatic action, magnetism, local indentation of surfaces, or minor irregularities of surfaces, or any combination of them; or</w:t>
      </w:r>
    </w:p>
    <w:p w:rsidR="00B40966" w:rsidRDefault="00B40966">
      <w:pPr>
        <w:pStyle w:val="Asubpara"/>
      </w:pPr>
      <w:r>
        <w:tab/>
        <w:t>(ii)</w:t>
      </w:r>
      <w:r>
        <w:tab/>
        <w:t>are of such a nature that they are liable to become detached from the load or otherwise displaced from it in the event of the slackening of their slings or the sudden movement of any supporting member.</w:t>
      </w:r>
    </w:p>
    <w:p w:rsidR="00B40966" w:rsidRDefault="00B40966">
      <w:pPr>
        <w:pStyle w:val="Amain"/>
      </w:pPr>
      <w:r>
        <w:tab/>
        <w:t>(109)</w:t>
      </w:r>
      <w:r>
        <w:tab/>
        <w:t>No lifting device to which subsection (108) applies shall be used to raise, lower or transport loads—</w:t>
      </w:r>
    </w:p>
    <w:p w:rsidR="00B40966" w:rsidRDefault="00B40966">
      <w:pPr>
        <w:pStyle w:val="Apara"/>
      </w:pPr>
      <w:r>
        <w:tab/>
        <w:t>(a)</w:t>
      </w:r>
      <w:r>
        <w:tab/>
        <w:t>in any circumstances in which any person might be injured should the load or part of it become detached or fall; or</w:t>
      </w:r>
    </w:p>
    <w:p w:rsidR="00B40966" w:rsidRDefault="00B40966">
      <w:pPr>
        <w:pStyle w:val="Apara"/>
      </w:pPr>
      <w:r>
        <w:tab/>
        <w:t>(b)</w:t>
      </w:r>
      <w:r>
        <w:tab/>
        <w:t>in any circumstances in which the device might dislodge or overturn any material, object or stock to the danger of any person; or</w:t>
      </w:r>
    </w:p>
    <w:p w:rsidR="00B40966" w:rsidRDefault="00B40966">
      <w:pPr>
        <w:pStyle w:val="Apara"/>
      </w:pPr>
      <w:r>
        <w:tab/>
        <w:t>(c)</w:t>
      </w:r>
      <w:r>
        <w:tab/>
        <w:t>in any way prejudicial to the safety of any person.</w:t>
      </w:r>
    </w:p>
    <w:p w:rsidR="00B40966" w:rsidRDefault="00B40966">
      <w:pPr>
        <w:pStyle w:val="Amain"/>
        <w:rPr>
          <w:color w:val="000000"/>
        </w:rPr>
      </w:pPr>
      <w:r>
        <w:rPr>
          <w:color w:val="000000"/>
        </w:rPr>
        <w:tab/>
        <w:t>(110)</w:t>
      </w:r>
      <w:r>
        <w:rPr>
          <w:color w:val="000000"/>
        </w:rPr>
        <w:tab/>
        <w:t>If in conformity with section 128 rail clamps are provided for locking any crane or hoist to its track rails, the clamps shall be so devised and constructed that they function immediately and automatically on the operation of an instantaneous type tripping device set closely adjacent to the main controls of the crane or hoist.</w:t>
      </w:r>
    </w:p>
    <w:p w:rsidR="00B40966" w:rsidRDefault="00B40966">
      <w:pPr>
        <w:pStyle w:val="Amain"/>
      </w:pPr>
      <w:r>
        <w:rPr>
          <w:color w:val="000000"/>
        </w:rPr>
        <w:tab/>
        <w:t>(111)</w:t>
      </w:r>
      <w:r>
        <w:rPr>
          <w:color w:val="000000"/>
        </w:rPr>
        <w:tab/>
        <w:t xml:space="preserve">The energy required to close and lock the clamps shall be derived from a descending weight or from springs set in pairs and so arranged that in the event of failure of either, the clamps will continue to function and to develop at least </w:t>
      </w:r>
      <w:r>
        <w:rPr>
          <w:color w:val="000000"/>
          <w:position w:val="6"/>
          <w:sz w:val="18"/>
        </w:rPr>
        <w:t>1</w:t>
      </w:r>
      <w:r>
        <w:rPr>
          <w:color w:val="000000"/>
        </w:rPr>
        <w:t>/</w:t>
      </w:r>
      <w:r>
        <w:rPr>
          <w:color w:val="000000"/>
          <w:sz w:val="18"/>
        </w:rPr>
        <w:t>2</w:t>
      </w:r>
      <w:r>
        <w:rPr>
          <w:color w:val="000000"/>
        </w:rPr>
        <w:t xml:space="preserve"> of their previous clamping grip on the track rail.</w:t>
      </w:r>
    </w:p>
    <w:p w:rsidR="00B40966" w:rsidRDefault="00B40966">
      <w:pPr>
        <w:pStyle w:val="Amain"/>
      </w:pPr>
      <w:r>
        <w:tab/>
        <w:t>(112)</w:t>
      </w:r>
      <w:r>
        <w:tab/>
        <w:t>If a crane or hoist has 2 or more rail clamps, they shall function simultaneously, and the clamping grip of each on its rail shall be directly proportional to the amount of wind or other loading the clamp is required to resist.</w:t>
      </w:r>
    </w:p>
    <w:p w:rsidR="00B40966" w:rsidRDefault="00B40966">
      <w:pPr>
        <w:pStyle w:val="Amain"/>
      </w:pPr>
      <w:r>
        <w:rPr>
          <w:color w:val="000000"/>
        </w:rPr>
        <w:tab/>
        <w:t>(113)</w:t>
      </w:r>
      <w:r>
        <w:rPr>
          <w:color w:val="000000"/>
        </w:rPr>
        <w:tab/>
        <w:t>If the weight of any crane or hoist exceeds 100 tons, the rail clamps shall have an approved safety device that will effectively prevent them from being opened or relaxed while the velocity of the wind exceeds 30 miles per hour in the vicinity of the crane or hoist, and in any direction in which it may travel.</w:t>
      </w:r>
    </w:p>
    <w:p w:rsidR="00B40966" w:rsidRDefault="00B40966">
      <w:pPr>
        <w:pStyle w:val="Amain"/>
      </w:pPr>
      <w:r>
        <w:rPr>
          <w:color w:val="000000"/>
        </w:rPr>
        <w:tab/>
        <w:t>(114)</w:t>
      </w:r>
      <w:r>
        <w:rPr>
          <w:color w:val="000000"/>
        </w:rPr>
        <w:tab/>
        <w:t>The rail clamps shall be located in positions in which their sudden application is least detrimental to the stability of the crane or hoist.</w:t>
      </w:r>
    </w:p>
    <w:p w:rsidR="00B40966" w:rsidRDefault="00B40966">
      <w:pPr>
        <w:pStyle w:val="Amain"/>
      </w:pPr>
      <w:r>
        <w:rPr>
          <w:color w:val="000000"/>
        </w:rPr>
        <w:tab/>
        <w:t>(115)</w:t>
      </w:r>
      <w:r>
        <w:rPr>
          <w:color w:val="000000"/>
        </w:rPr>
        <w:tab/>
        <w:t>Permanent end stops shall be provided to ensure that travelling cranes or hoists or scaffoldings or any travelling parts of them do not overrun or otherwise exceed their limits of safe travel.</w:t>
      </w:r>
    </w:p>
    <w:p w:rsidR="00B40966" w:rsidRDefault="00B40966">
      <w:pPr>
        <w:pStyle w:val="Amain"/>
      </w:pPr>
      <w:r>
        <w:tab/>
        <w:t>(116)</w:t>
      </w:r>
      <w:r>
        <w:tab/>
        <w:t>If the speed of travel of the crane or hoist or relevant part of it exceeds 350 feet per minute, or if the product of its weight in tons and its speed of travel in feet per minute is greater than 3 500, the end stops shall have approved spring or fluid buffers.</w:t>
      </w:r>
    </w:p>
    <w:p w:rsidR="00B40966" w:rsidRDefault="00B40966">
      <w:pPr>
        <w:pStyle w:val="Amain"/>
      </w:pPr>
      <w:r>
        <w:tab/>
        <w:t>(117)</w:t>
      </w:r>
      <w:r>
        <w:tab/>
        <w:t>If the weight of the crane or hoist or relevant part of it exceeds 50 tons, the end stops shall be so devised that should collision occur with them at the maximum speed that may be attained in any circumstances, the crane, or hoist or relevant part of it will not overturn, and will be brought steadily to rest.</w:t>
      </w:r>
    </w:p>
    <w:p w:rsidR="00B40966" w:rsidRDefault="00B40966">
      <w:pPr>
        <w:pStyle w:val="Amain"/>
      </w:pPr>
      <w:r>
        <w:rPr>
          <w:color w:val="000000"/>
        </w:rPr>
        <w:tab/>
        <w:t>(118)</w:t>
      </w:r>
      <w:r>
        <w:rPr>
          <w:color w:val="000000"/>
        </w:rPr>
        <w:tab/>
        <w:t>If a crane, hoist or scaffolding or any travelling part of it travels on 2 or more tracks or rails, end stops shall be provided at and in relation to each track or rail.</w:t>
      </w:r>
    </w:p>
    <w:p w:rsidR="00B40966" w:rsidRDefault="00B40966">
      <w:pPr>
        <w:pStyle w:val="Amain"/>
      </w:pPr>
      <w:r>
        <w:rPr>
          <w:color w:val="000000"/>
        </w:rPr>
        <w:tab/>
        <w:t>(119)</w:t>
      </w:r>
      <w:r>
        <w:rPr>
          <w:color w:val="000000"/>
        </w:rPr>
        <w:tab/>
        <w:t>No travelling crane or hoist or travelling part of it shall be operated or driven or travelling scaffolding used unless all the end stops are in place, or unless approved effective temporary end stops are in place instead of them.</w:t>
      </w:r>
    </w:p>
    <w:p w:rsidR="00B40966" w:rsidRDefault="00B40966">
      <w:pPr>
        <w:pStyle w:val="Amain"/>
        <w:rPr>
          <w:color w:val="000000"/>
        </w:rPr>
      </w:pPr>
      <w:r>
        <w:rPr>
          <w:color w:val="000000"/>
        </w:rPr>
        <w:tab/>
        <w:t>(120)</w:t>
      </w:r>
      <w:r>
        <w:rPr>
          <w:color w:val="000000"/>
        </w:rPr>
        <w:tab/>
        <w:t>Except if running in the bosoms of rolled steel joists, channels, tubes, tees, or angles, all track wheels of cranes or hoists or travelling parts of them shall have flanges at each side of each rail or track on which they run.</w:t>
      </w:r>
    </w:p>
    <w:p w:rsidR="00B40966" w:rsidRDefault="00B40966">
      <w:pPr>
        <w:pStyle w:val="Amain"/>
        <w:rPr>
          <w:color w:val="000000"/>
        </w:rPr>
      </w:pPr>
      <w:r>
        <w:rPr>
          <w:color w:val="000000"/>
        </w:rPr>
        <w:tab/>
        <w:t>(121)</w:t>
      </w:r>
      <w:r>
        <w:rPr>
          <w:color w:val="000000"/>
        </w:rPr>
        <w:tab/>
        <w:t>Alternatively, approved means shall be employed for locating and retaining the wheels on their rails or tracks.</w:t>
      </w:r>
    </w:p>
    <w:p w:rsidR="00B40966" w:rsidRDefault="00B40966">
      <w:pPr>
        <w:pStyle w:val="Amain"/>
      </w:pPr>
      <w:r>
        <w:rPr>
          <w:color w:val="000000"/>
        </w:rPr>
        <w:tab/>
        <w:t>(122)</w:t>
      </w:r>
      <w:r>
        <w:rPr>
          <w:color w:val="000000"/>
        </w:rPr>
        <w:tab/>
        <w:t>However, a wheel running on twin rails or tracks may have 1 or more central flanges, and the wheels of locomotive cranes or railway type trucks or bogies need not have double flanges.</w:t>
      </w:r>
    </w:p>
    <w:p w:rsidR="00B40966" w:rsidRDefault="00B40966">
      <w:pPr>
        <w:pStyle w:val="Amain"/>
      </w:pPr>
      <w:r>
        <w:rPr>
          <w:color w:val="000000"/>
        </w:rPr>
        <w:tab/>
        <w:t>(123)</w:t>
      </w:r>
      <w:r>
        <w:rPr>
          <w:color w:val="000000"/>
        </w:rPr>
        <w:tab/>
        <w:t>If a crane or hoist or scaffolding travels on uneven or slightly uneven tracks or surfaces on track or road wheels that are not fully sprung or alternatively shod in an approved way with pneumatic tyres, it shall be designed as though any 1 wheel, or group of wheels if they are arranged in groups, does not carry load.</w:t>
      </w:r>
    </w:p>
    <w:p w:rsidR="00B40966" w:rsidRDefault="00B40966">
      <w:pPr>
        <w:pStyle w:val="Amain"/>
      </w:pPr>
      <w:r>
        <w:rPr>
          <w:color w:val="000000"/>
        </w:rPr>
        <w:tab/>
        <w:t>(124)</w:t>
      </w:r>
      <w:r>
        <w:rPr>
          <w:color w:val="000000"/>
        </w:rPr>
        <w:tab/>
        <w:t>The counterbalance and dead loading of a crane or hoist shall be so arranged and disposed that distortion of the frame structure is minimised.</w:t>
      </w:r>
    </w:p>
    <w:p w:rsidR="00B40966" w:rsidRDefault="00B40966">
      <w:pPr>
        <w:pStyle w:val="Amain"/>
      </w:pPr>
      <w:r>
        <w:rPr>
          <w:color w:val="000000"/>
        </w:rPr>
        <w:tab/>
        <w:t>(125)</w:t>
      </w:r>
      <w:r>
        <w:rPr>
          <w:color w:val="000000"/>
        </w:rPr>
        <w:tab/>
        <w:t>Jacks used for supporting, levelling, or stabilising cranes or hoists or scaffolding or plant shall have dynamically irreversible screw threads or other approved devices by which can be applied and finely adjusted.</w:t>
      </w:r>
    </w:p>
    <w:p w:rsidR="00B40966" w:rsidRDefault="00B40966">
      <w:pPr>
        <w:pStyle w:val="Amain"/>
      </w:pPr>
      <w:r>
        <w:tab/>
        <w:t>(126)</w:t>
      </w:r>
      <w:r>
        <w:tab/>
        <w:t>The jacks shall be so braced or otherwise secured in position that they cannot overturn or become in any way displaced.</w:t>
      </w:r>
    </w:p>
    <w:p w:rsidR="00B40966" w:rsidRDefault="00B40966">
      <w:pPr>
        <w:pStyle w:val="Amain"/>
        <w:rPr>
          <w:color w:val="000000"/>
        </w:rPr>
      </w:pPr>
      <w:r>
        <w:rPr>
          <w:color w:val="000000"/>
        </w:rPr>
        <w:tab/>
        <w:t>(127)</w:t>
      </w:r>
      <w:r>
        <w:rPr>
          <w:color w:val="000000"/>
        </w:rPr>
        <w:tab/>
        <w:t>If the load plate or instruction plate of any crane or hoist or plant prescribes or indicates that jacks shall be used, the jacks shall accordingly be used.</w:t>
      </w:r>
    </w:p>
    <w:p w:rsidR="00B40966" w:rsidRDefault="00B40966">
      <w:pPr>
        <w:pStyle w:val="Amain"/>
      </w:pPr>
      <w:r>
        <w:rPr>
          <w:color w:val="000000"/>
        </w:rPr>
        <w:tab/>
        <w:t>(128)</w:t>
      </w:r>
      <w:r>
        <w:rPr>
          <w:color w:val="000000"/>
        </w:rPr>
        <w:tab/>
        <w:t>If the plates prescribe or indicate further conditions about the way of use of the jacks, the conditions shall be fully complied with.</w:t>
      </w:r>
    </w:p>
    <w:p w:rsidR="00B40966" w:rsidRDefault="00B40966">
      <w:pPr>
        <w:pStyle w:val="Amain"/>
        <w:keepLines/>
      </w:pPr>
      <w:r>
        <w:rPr>
          <w:color w:val="000000"/>
        </w:rPr>
        <w:tab/>
        <w:t>(129)</w:t>
      </w:r>
      <w:r>
        <w:rPr>
          <w:color w:val="000000"/>
        </w:rPr>
        <w:tab/>
        <w:t>The jibhead sheaves and the jibheads of mobile, caterpillar or walking cranes shall be so designed that if the vertical fall of hoisting rope is diverted or displaced laterally 15° or more from the vertical it will be automatically unshipped from the jibhead sheave immediately hoisting starts.</w:t>
      </w:r>
    </w:p>
    <w:p w:rsidR="00B40966" w:rsidRDefault="00B40966">
      <w:pPr>
        <w:pStyle w:val="Amain"/>
      </w:pPr>
      <w:r>
        <w:rPr>
          <w:color w:val="000000"/>
        </w:rPr>
        <w:tab/>
        <w:t>(130)</w:t>
      </w:r>
      <w:r>
        <w:rPr>
          <w:color w:val="000000"/>
        </w:rPr>
        <w:tab/>
        <w:t>If the hoisting motion of a crane or hoist of the following type has a brake (other than an approved Weston screw or helix type automatic brake) the hand crank handles shall have a neutral position into which they shall be placed and kept completely disconnected from the hoisting mechanism while any load is being lowered under the control of the brake:</w:t>
      </w:r>
    </w:p>
    <w:p w:rsidR="00B40966" w:rsidRDefault="00B40966">
      <w:pPr>
        <w:pStyle w:val="Apara"/>
      </w:pPr>
      <w:r>
        <w:tab/>
        <w:t>(a)</w:t>
      </w:r>
      <w:r>
        <w:tab/>
        <w:t>hand-operated winches; or</w:t>
      </w:r>
    </w:p>
    <w:p w:rsidR="00B40966" w:rsidRDefault="00B40966">
      <w:pPr>
        <w:pStyle w:val="Apara"/>
      </w:pPr>
      <w:r>
        <w:tab/>
        <w:t>(b)</w:t>
      </w:r>
      <w:r>
        <w:tab/>
        <w:t>crabs having hand cranks; or</w:t>
      </w:r>
    </w:p>
    <w:p w:rsidR="00B40966" w:rsidRDefault="00B40966">
      <w:pPr>
        <w:pStyle w:val="Apara"/>
      </w:pPr>
      <w:r>
        <w:tab/>
        <w:t>(c)</w:t>
      </w:r>
      <w:r>
        <w:tab/>
        <w:t>hand-operated derrick cranes.</w:t>
      </w:r>
    </w:p>
    <w:p w:rsidR="00B40966" w:rsidRDefault="00B40966">
      <w:pPr>
        <w:pStyle w:val="Amain"/>
      </w:pPr>
      <w:r>
        <w:rPr>
          <w:color w:val="000000"/>
        </w:rPr>
        <w:tab/>
        <w:t>(131)</w:t>
      </w:r>
      <w:r>
        <w:rPr>
          <w:color w:val="000000"/>
        </w:rPr>
        <w:tab/>
        <w:t>Subject to section 135 (3) and (4), the specified motions of the undermentioned cranes, hoists and scaffolding, shall, if under power, have approved limiting devices by which overwinding, overluffing, overslewing and overtravelling shall be obviated.</w:t>
      </w:r>
    </w:p>
    <w:p w:rsidR="00B40966" w:rsidRDefault="00B40966">
      <w:pPr>
        <w:pStyle w:val="Amain"/>
      </w:pPr>
      <w:r>
        <w:tab/>
        <w:t>(132)</w:t>
      </w:r>
      <w:r>
        <w:tab/>
        <w:t>The devices shall effectively prevent the crane, hoist or scaffolding or relevant part of it, or the load, from colliding with or being drawn or forced into contact with any relatively fixed part or object.</w:t>
      </w:r>
    </w:p>
    <w:p w:rsidR="00B40966" w:rsidRDefault="00B40966">
      <w:pPr>
        <w:pStyle w:val="Amain"/>
      </w:pPr>
      <w:r>
        <w:tab/>
        <w:t>(133)</w:t>
      </w:r>
      <w:r>
        <w:tab/>
        <w:t>If the platform, cage, box, yoke, lifting hook or analogous media of the cranes or hoists mentioned in subsection (134) (a), (c) and (d) cannot be lowered to the level of the lowest floor or surface served by them without unwinding the hoisting rope, chain, rack, thread or other agency to an unsafe or undesirable degree, limiting devices mentioned in subsections (131) and (132) shall also be provided to obviate the unwinding.</w:t>
      </w:r>
    </w:p>
    <w:p w:rsidR="00B40966" w:rsidRDefault="00B40966">
      <w:pPr>
        <w:pStyle w:val="Amain"/>
        <w:keepLines/>
      </w:pPr>
      <w:r>
        <w:tab/>
        <w:t>(134)</w:t>
      </w:r>
      <w:r>
        <w:tab/>
        <w:t>However, if the chief inspector is satisfied that such collision or contact or unwinding will not damage the crane, hoist or scaffolding, or part of it, or be in any way dangerous, the chief inspector may waive the following requirements of subsections (131) to (133):</w:t>
      </w:r>
    </w:p>
    <w:p w:rsidR="00B40966" w:rsidRDefault="00B40966">
      <w:pPr>
        <w:pStyle w:val="Apara"/>
      </w:pPr>
      <w:r>
        <w:tab/>
        <w:t>(a)</w:t>
      </w:r>
      <w:r>
        <w:tab/>
        <w:t>the hoisting motions of overhead traveller cranes;</w:t>
      </w:r>
    </w:p>
    <w:p w:rsidR="00B40966" w:rsidRDefault="00B40966">
      <w:pPr>
        <w:pStyle w:val="Apara"/>
      </w:pPr>
      <w:r>
        <w:tab/>
        <w:t>(b)</w:t>
      </w:r>
      <w:r>
        <w:tab/>
        <w:t>the hoisting and luffing motions of all mobile or caterpillar jib or derrick cranes;</w:t>
      </w:r>
    </w:p>
    <w:p w:rsidR="00B40966" w:rsidRDefault="00B40966">
      <w:pPr>
        <w:pStyle w:val="Apara"/>
      </w:pPr>
      <w:r>
        <w:tab/>
        <w:t>(c)</w:t>
      </w:r>
      <w:r>
        <w:tab/>
        <w:t>the hoisting motions of hoists other than those used in building work, excavation work, or demolition work, for handling materials;</w:t>
      </w:r>
    </w:p>
    <w:p w:rsidR="00B40966" w:rsidRDefault="00B40966">
      <w:pPr>
        <w:pStyle w:val="Apara"/>
      </w:pPr>
      <w:r>
        <w:tab/>
        <w:t>(d)</w:t>
      </w:r>
      <w:r>
        <w:tab/>
        <w:t>the hoisting motions of stacking machines;</w:t>
      </w:r>
    </w:p>
    <w:p w:rsidR="00B40966" w:rsidRDefault="00B40966">
      <w:pPr>
        <w:pStyle w:val="Apara"/>
      </w:pPr>
      <w:r>
        <w:tab/>
        <w:t>(e)</w:t>
      </w:r>
      <w:r>
        <w:tab/>
        <w:t>the hoisting motions of fork-lift trucks including those equipped with trays, scoops, arms or jibs, or other media by which loads are handled;</w:t>
      </w:r>
    </w:p>
    <w:p w:rsidR="00B40966" w:rsidRDefault="00B40966">
      <w:pPr>
        <w:pStyle w:val="Apara"/>
      </w:pPr>
      <w:r>
        <w:tab/>
        <w:t>(f)</w:t>
      </w:r>
      <w:r>
        <w:tab/>
        <w:t>the slewing motions of mobile cranes—</w:t>
      </w:r>
    </w:p>
    <w:p w:rsidR="00B40966" w:rsidRDefault="00B40966">
      <w:pPr>
        <w:pStyle w:val="Asubpara"/>
      </w:pPr>
      <w:r>
        <w:tab/>
        <w:t>(i)</w:t>
      </w:r>
      <w:r>
        <w:tab/>
        <w:t>if continuous unidirectional slewing is not provided; or</w:t>
      </w:r>
    </w:p>
    <w:p w:rsidR="00B40966" w:rsidRDefault="00B40966">
      <w:pPr>
        <w:pStyle w:val="Asubpara"/>
      </w:pPr>
      <w:r>
        <w:tab/>
        <w:t>(ii)</w:t>
      </w:r>
      <w:r>
        <w:tab/>
        <w:t>if the crane has not been designed for use with the jib or derrick in all positions.</w:t>
      </w:r>
    </w:p>
    <w:p w:rsidR="00B40966" w:rsidRDefault="00B40966">
      <w:pPr>
        <w:pStyle w:val="Amain"/>
      </w:pPr>
      <w:r>
        <w:tab/>
        <w:t>(135)</w:t>
      </w:r>
      <w:r>
        <w:tab/>
        <w:t>Limit devices shall be self-resetting and shall be so devised that on their functioning, the mechanism, or motion they control will be brought to rest and remain safely at rest.</w:t>
      </w:r>
    </w:p>
    <w:p w:rsidR="00B40966" w:rsidRDefault="00B40966">
      <w:pPr>
        <w:pStyle w:val="Amain"/>
      </w:pPr>
      <w:r>
        <w:rPr>
          <w:color w:val="000000"/>
        </w:rPr>
        <w:tab/>
        <w:t>(136)</w:t>
      </w:r>
      <w:r>
        <w:rPr>
          <w:color w:val="000000"/>
        </w:rPr>
        <w:tab/>
        <w:t>Power hoists for raising or lowering workers or for raising or lowering loads above workers in confined or partly confined areas shall have approved limiting devices as mentioned in subsection (131) to obviate both overwinding and overlowering, and all dangers attendant on them.</w:t>
      </w:r>
    </w:p>
    <w:p w:rsidR="00B40966" w:rsidRDefault="00B40966">
      <w:pPr>
        <w:pStyle w:val="Amain"/>
        <w:keepLines/>
      </w:pPr>
      <w:r>
        <w:rPr>
          <w:color w:val="000000"/>
        </w:rPr>
        <w:tab/>
        <w:t>(137)</w:t>
      </w:r>
      <w:r>
        <w:rPr>
          <w:color w:val="000000"/>
        </w:rPr>
        <w:tab/>
        <w:t>If any member of a crane or hoist or scaffolding is moved under power by a screw thread or rack, an approved limiting device shall be provided to prevent the thread or rack from being completely unwound from its nut or pinion.</w:t>
      </w:r>
    </w:p>
    <w:p w:rsidR="00B40966" w:rsidRDefault="00B40966">
      <w:pPr>
        <w:pStyle w:val="Amain"/>
      </w:pPr>
      <w:r>
        <w:rPr>
          <w:color w:val="000000"/>
        </w:rPr>
        <w:tab/>
        <w:t>(138)</w:t>
      </w:r>
      <w:r>
        <w:rPr>
          <w:color w:val="000000"/>
        </w:rPr>
        <w:tab/>
        <w:t>If any crane, hoist, lift or scaffolding or part of it travels in any direction under power, and if the tractive or propulsive force is applied by any means other than the fractional adhesion of track wheels to track rails, a clearance of approved magnitude and extent shall be provided and maintained at and beyond each limit of travel as a safeguard against overrunning and consequent overloading, and to ensure the effective operation of the limiting devices prescribed by subsections (131) to (137).</w:t>
      </w:r>
    </w:p>
    <w:p w:rsidR="00B40966" w:rsidRDefault="00B40966">
      <w:pPr>
        <w:pStyle w:val="Amain"/>
      </w:pPr>
      <w:r>
        <w:tab/>
        <w:t>(139)</w:t>
      </w:r>
      <w:r>
        <w:tab/>
        <w:t>Instead of the overrunning clearances, effective alternative devices may, if specifically approved by the chief inspector, be employed for the purposes aforesaid.</w:t>
      </w:r>
    </w:p>
    <w:p w:rsidR="00B40966" w:rsidRDefault="00B40966">
      <w:pPr>
        <w:pStyle w:val="Amain"/>
      </w:pPr>
      <w:r>
        <w:rPr>
          <w:color w:val="000000"/>
        </w:rPr>
        <w:tab/>
        <w:t>(140)</w:t>
      </w:r>
      <w:r>
        <w:rPr>
          <w:color w:val="000000"/>
        </w:rPr>
        <w:tab/>
        <w:t>Except as prescribed by subsection (129), approved means, other than fixed guards, shall be provided to prevent ropes or chains from slackening on, or becoming displaced from or on their drums, sheaves, or other winding media.</w:t>
      </w:r>
    </w:p>
    <w:p w:rsidR="00B40966" w:rsidRDefault="00B40966">
      <w:pPr>
        <w:pStyle w:val="Amain"/>
      </w:pPr>
      <w:r>
        <w:tab/>
        <w:t>(141)</w:t>
      </w:r>
      <w:r>
        <w:tab/>
        <w:t>If a crane, hoist, lift, scaffolding, or plant is driven by power and is of the following type, such means shall be so devised, and constructed that slackening of the rope or chain will automatically, and immediately, cause the drum, sheave or other winding medium to stop with the brake fully applied:</w:t>
      </w:r>
    </w:p>
    <w:p w:rsidR="00B40966" w:rsidRDefault="00B40966">
      <w:pPr>
        <w:pStyle w:val="Apara"/>
      </w:pPr>
      <w:r>
        <w:tab/>
        <w:t>(a)</w:t>
      </w:r>
      <w:r>
        <w:tab/>
        <w:t>automatic or semiautomatic hoists having moving platforms, cages, boxes, hoppers, cradles, skips, kibbles, buckets, vessels, tines, monkeys, or yokes;</w:t>
      </w:r>
    </w:p>
    <w:p w:rsidR="00B40966" w:rsidRDefault="00B40966">
      <w:pPr>
        <w:pStyle w:val="Apara"/>
      </w:pPr>
      <w:r>
        <w:tab/>
        <w:t>(b)</w:t>
      </w:r>
      <w:r>
        <w:tab/>
        <w:t>lifts;</w:t>
      </w:r>
    </w:p>
    <w:p w:rsidR="00B40966" w:rsidRDefault="00B40966">
      <w:pPr>
        <w:pStyle w:val="Apara"/>
      </w:pPr>
      <w:r>
        <w:tab/>
        <w:t>(c)</w:t>
      </w:r>
      <w:r>
        <w:tab/>
        <w:t>stacking machines.</w:t>
      </w:r>
    </w:p>
    <w:p w:rsidR="00B40966" w:rsidRDefault="00B40966">
      <w:pPr>
        <w:pStyle w:val="Amain"/>
        <w:keepLines/>
      </w:pPr>
      <w:r>
        <w:tab/>
        <w:t>(142)</w:t>
      </w:r>
      <w:r>
        <w:tab/>
        <w:t>However, if the chief inspector is satisfied that the crane, hoist, lift or scaffolding, or plant is so devised, constructed and enclosed that absence of the safeguards required by subsection (141) would not result in danger to any person, the chief inspector may waive the requirements.</w:t>
      </w:r>
    </w:p>
    <w:p w:rsidR="00B40966" w:rsidRDefault="00B40966">
      <w:pPr>
        <w:pStyle w:val="Amain"/>
      </w:pPr>
      <w:r>
        <w:rPr>
          <w:color w:val="000000"/>
        </w:rPr>
        <w:tab/>
        <w:t>(143)</w:t>
      </w:r>
      <w:r>
        <w:rPr>
          <w:color w:val="000000"/>
        </w:rPr>
        <w:tab/>
        <w:t>Hoists used in building work, excavation work, and compressed air work for raising or lowering workers, shall have detaching safety bells, or other approved devices by which in the event of the lifting cage, car, or vessel overrunning and closely approaching collision with the overhead structure the hoisting rope or chain will be automatically and instantly disconnected from the cage, car or vessel, and by which the cage, car, or vessel will remain safely suspended independently of the safety gear prescribed by subsections (96) and (97).</w:t>
      </w:r>
    </w:p>
    <w:p w:rsidR="00B40966" w:rsidRDefault="00B40966">
      <w:pPr>
        <w:pStyle w:val="Amain"/>
      </w:pPr>
      <w:r>
        <w:rPr>
          <w:color w:val="000000"/>
        </w:rPr>
        <w:tab/>
        <w:t>(144)</w:t>
      </w:r>
      <w:r>
        <w:rPr>
          <w:color w:val="000000"/>
        </w:rPr>
        <w:tab/>
        <w:t>Hoisting ropes or chains disconnected as prescribed by subsection (143) shall be so guided and arranged that they can be wound freely back by and to their tractive mechanisms without danger and without fouling headbeams, sheaves, projections, or neighbouring buildings, structures, or plant.</w:t>
      </w:r>
    </w:p>
    <w:p w:rsidR="00B40966" w:rsidRDefault="00B40966">
      <w:pPr>
        <w:pStyle w:val="Amain"/>
      </w:pPr>
      <w:r>
        <w:rPr>
          <w:color w:val="000000"/>
        </w:rPr>
        <w:tab/>
        <w:t>(145)</w:t>
      </w:r>
      <w:r>
        <w:rPr>
          <w:color w:val="000000"/>
        </w:rPr>
        <w:tab/>
        <w:t>No uncommon device, extra, or innovation capable of affecting ordinary, normal, or customary functioning shall be added to or incorporated in any member, component, part or attachment of any machinery, mechanisms, or gearing unless approval of the chief inspector has first been obtained in regard to it.</w:t>
      </w:r>
    </w:p>
    <w:p w:rsidR="00B40966" w:rsidRDefault="00B40966">
      <w:pPr>
        <w:pStyle w:val="Amain"/>
      </w:pPr>
      <w:r>
        <w:rPr>
          <w:color w:val="000000"/>
        </w:rPr>
        <w:tab/>
        <w:t>(146)</w:t>
      </w:r>
      <w:r>
        <w:rPr>
          <w:color w:val="000000"/>
        </w:rPr>
        <w:tab/>
        <w:t>The slewing motions of caterpillar cranes and hoists shall be locked while the travelling motion is in use.</w:t>
      </w:r>
    </w:p>
    <w:p w:rsidR="00B40966" w:rsidRDefault="00B40966">
      <w:pPr>
        <w:pStyle w:val="Amain"/>
      </w:pPr>
      <w:r>
        <w:rPr>
          <w:color w:val="000000"/>
        </w:rPr>
        <w:tab/>
        <w:t>(147)</w:t>
      </w:r>
      <w:r>
        <w:rPr>
          <w:color w:val="000000"/>
        </w:rPr>
        <w:tab/>
        <w:t>Interconnecting mechanisms of cranes, lifts, hoists, scaffolding or plant, shall be so devised and constructed that no motion can become inadvertently engaged or disengaged during operation of any other motion.</w:t>
      </w:r>
    </w:p>
    <w:p w:rsidR="00B40966" w:rsidRDefault="00B40966">
      <w:pPr>
        <w:pStyle w:val="Amain"/>
        <w:keepLines/>
        <w:rPr>
          <w:color w:val="000000"/>
        </w:rPr>
      </w:pPr>
      <w:r>
        <w:rPr>
          <w:color w:val="000000"/>
        </w:rPr>
        <w:tab/>
        <w:t>(148)</w:t>
      </w:r>
      <w:r>
        <w:rPr>
          <w:color w:val="000000"/>
        </w:rPr>
        <w:tab/>
        <w:t>Members, components, parts or attachments of the frame structure of cranes, lifts, hoists or scaffoldings shall not be connected or interconnected by clamps or clamping devices, except if the specific approval of the chief inspector has first been obtained.</w:t>
      </w:r>
    </w:p>
    <w:p w:rsidR="00B40966" w:rsidRDefault="00B40966">
      <w:pPr>
        <w:pStyle w:val="Amain"/>
      </w:pPr>
      <w:r>
        <w:rPr>
          <w:color w:val="000000"/>
        </w:rPr>
        <w:tab/>
        <w:t>(149)</w:t>
      </w:r>
      <w:r>
        <w:rPr>
          <w:color w:val="000000"/>
        </w:rPr>
        <w:tab/>
        <w:t>The chief inspector’s approval of any clamp or clamping device shall not be deemed to include approval of its general use, but only its use for the purposes and applications that are particularised in the approval.</w:t>
      </w:r>
    </w:p>
    <w:p w:rsidR="00B40966" w:rsidRDefault="00B40966">
      <w:pPr>
        <w:pStyle w:val="Amain"/>
        <w:rPr>
          <w:color w:val="000000"/>
        </w:rPr>
      </w:pPr>
      <w:r>
        <w:rPr>
          <w:color w:val="000000"/>
        </w:rPr>
        <w:tab/>
        <w:t>(150)</w:t>
      </w:r>
      <w:r>
        <w:rPr>
          <w:color w:val="000000"/>
        </w:rPr>
        <w:tab/>
        <w:t>If the luffing mechanism of a derrick or jib crane is driven by interconnection with the hoisting mechanism, the crane and mechanism shall be so designed that the working load is luffed in a line that is as nearly horizontal as is practicable.</w:t>
      </w:r>
    </w:p>
    <w:p w:rsidR="00B40966" w:rsidRDefault="00B40966">
      <w:pPr>
        <w:pStyle w:val="Amain"/>
      </w:pPr>
      <w:r>
        <w:rPr>
          <w:color w:val="000000"/>
        </w:rPr>
        <w:tab/>
        <w:t>(151)</w:t>
      </w:r>
      <w:r>
        <w:rPr>
          <w:color w:val="000000"/>
        </w:rPr>
        <w:tab/>
        <w:t>In addition the crane and its mechanisms shall be so designed that there will not be any danger of the clutch being driven out of engagement while luffing.</w:t>
      </w:r>
    </w:p>
    <w:p w:rsidR="00B40966" w:rsidRDefault="00B40966">
      <w:pPr>
        <w:pStyle w:val="Amain"/>
      </w:pPr>
      <w:r>
        <w:rPr>
          <w:color w:val="000000"/>
        </w:rPr>
        <w:tab/>
        <w:t>(152)</w:t>
      </w:r>
      <w:r>
        <w:rPr>
          <w:color w:val="000000"/>
        </w:rPr>
        <w:tab/>
        <w:t>Fork-lift trucks, or stacking machines, or appliances analogous to them, shall not be equipped or used with jibs capable of lifting or handling loads at greater horizontal radii from the masts of the trucks or machines than those measured horizontally from the masts to the midlength points of the tines, platforms, trays, or scoops with which the trucks or machines would ordinarily be equipped in conformity with this regulation, unless alternatively, the approval of the chief inspector has first been obtained.</w:t>
      </w:r>
    </w:p>
    <w:p w:rsidR="00B40966" w:rsidRDefault="00B40966">
      <w:pPr>
        <w:pStyle w:val="Amain"/>
        <w:rPr>
          <w:color w:val="000000"/>
        </w:rPr>
      </w:pPr>
      <w:r>
        <w:rPr>
          <w:color w:val="000000"/>
        </w:rPr>
        <w:tab/>
        <w:t>(153)</w:t>
      </w:r>
      <w:r>
        <w:rPr>
          <w:color w:val="000000"/>
        </w:rPr>
        <w:tab/>
        <w:t>Approved effective permanent facilities shall be provided by which persons may safely lubricate, tend, and inspect the machinery and other working parts or cranes, lifts, hoists, scaffoldings and plant.</w:t>
      </w:r>
    </w:p>
    <w:p w:rsidR="00B40966" w:rsidRDefault="00B40966">
      <w:pPr>
        <w:pStyle w:val="Amain"/>
      </w:pPr>
      <w:r>
        <w:rPr>
          <w:color w:val="000000"/>
        </w:rPr>
        <w:tab/>
        <w:t>(154)</w:t>
      </w:r>
      <w:r>
        <w:rPr>
          <w:color w:val="000000"/>
        </w:rPr>
        <w:tab/>
        <w:t>The facilities shall include approved permanent safe means of access.</w:t>
      </w:r>
    </w:p>
    <w:p w:rsidR="00B40966" w:rsidRDefault="00B40966">
      <w:pPr>
        <w:pStyle w:val="Amain"/>
      </w:pPr>
      <w:r>
        <w:rPr>
          <w:color w:val="000000"/>
        </w:rPr>
        <w:tab/>
        <w:t>(155)</w:t>
      </w:r>
      <w:r>
        <w:rPr>
          <w:color w:val="000000"/>
        </w:rPr>
        <w:tab/>
        <w:t>Approved permanent safe means of access shall be provided to the cabins, driving stations, and machinery houses of all cranes, hoists, scaffoldings and plant.</w:t>
      </w:r>
    </w:p>
    <w:p w:rsidR="00B40966" w:rsidRDefault="00B40966">
      <w:pPr>
        <w:pStyle w:val="Amain"/>
      </w:pPr>
      <w:r>
        <w:rPr>
          <w:color w:val="000000"/>
        </w:rPr>
        <w:tab/>
        <w:t>(156)</w:t>
      </w:r>
      <w:r>
        <w:rPr>
          <w:color w:val="000000"/>
        </w:rPr>
        <w:tab/>
        <w:t>In order that persons may not be obliged to traverse dangerous zones unnecessarily, access facilities of cranes, hoists, scaffoldings or plant travelling on elevated tracks shall if practicable give access directly to driving cabins, or driving stations.</w:t>
      </w:r>
    </w:p>
    <w:p w:rsidR="00B40966" w:rsidRDefault="00B40966">
      <w:pPr>
        <w:pStyle w:val="Amain"/>
        <w:keepLines/>
        <w:rPr>
          <w:color w:val="000000"/>
        </w:rPr>
      </w:pPr>
      <w:r>
        <w:rPr>
          <w:color w:val="000000"/>
        </w:rPr>
        <w:tab/>
        <w:t>(157)</w:t>
      </w:r>
      <w:r>
        <w:rPr>
          <w:color w:val="000000"/>
        </w:rPr>
        <w:tab/>
        <w:t>A clear unobstructed headroom clearance of not less than 6 feet shall be provided and maintained above the upper surfaces of main access platforms of every crane, hoist, scaffolding or plant that travels under power.</w:t>
      </w:r>
    </w:p>
    <w:p w:rsidR="00B40966" w:rsidRDefault="00B40966">
      <w:pPr>
        <w:pStyle w:val="Amain"/>
      </w:pPr>
      <w:r>
        <w:rPr>
          <w:color w:val="000000"/>
        </w:rPr>
        <w:tab/>
        <w:t>(158)</w:t>
      </w:r>
      <w:r>
        <w:rPr>
          <w:color w:val="000000"/>
        </w:rPr>
        <w:tab/>
        <w:t>If secondary platforms function as walkways between other platforms the same headroom clearance shall be provided and maintained above them as above main platforms, or alternatively, the secondary platforms shall be roofed in an approved way.</w:t>
      </w:r>
    </w:p>
    <w:p w:rsidR="00B40966" w:rsidRDefault="00B40966">
      <w:pPr>
        <w:pStyle w:val="Amain"/>
      </w:pPr>
      <w:r>
        <w:rPr>
          <w:color w:val="000000"/>
        </w:rPr>
        <w:tab/>
        <w:t>(159)</w:t>
      </w:r>
      <w:r>
        <w:rPr>
          <w:color w:val="000000"/>
        </w:rPr>
        <w:tab/>
        <w:t>Grabs, travelling carriages, or telphers, shall not project over, or otherwise overhang, any access platform, ladder or walkway.</w:t>
      </w:r>
    </w:p>
    <w:p w:rsidR="00B40966" w:rsidRDefault="00B40966">
      <w:pPr>
        <w:pStyle w:val="Amain"/>
      </w:pPr>
      <w:r>
        <w:rPr>
          <w:color w:val="000000"/>
        </w:rPr>
        <w:tab/>
        <w:t>(160)</w:t>
      </w:r>
      <w:r>
        <w:rPr>
          <w:color w:val="000000"/>
        </w:rPr>
        <w:tab/>
        <w:t>Access facilities to cranes, lifts, hoists, scaffoldings, building works, excavation works, compressed air works and plant shall be free and shall be kept free of obstruction or partial obstruction, except if partial obstruction is specifically approved by the chief inspector.</w:t>
      </w:r>
    </w:p>
    <w:p w:rsidR="00B40966" w:rsidRDefault="00B40966">
      <w:pPr>
        <w:pStyle w:val="Amain"/>
      </w:pPr>
      <w:r>
        <w:rPr>
          <w:color w:val="000000"/>
        </w:rPr>
        <w:tab/>
        <w:t>(161)</w:t>
      </w:r>
      <w:r>
        <w:rPr>
          <w:color w:val="000000"/>
        </w:rPr>
        <w:tab/>
        <w:t>Access facilities shall be so devised, constructed, placed, and fenced that persons using them are safe from injury by machinery, cranes, lifts, hoists, scaffoldings, plant or loads being handled, or by building or excavation work or compressed air work, or by electricity, explosives, hot or dangerous liquids or substances, gases, vapours or fumes, or by falls or by being crushed.</w:t>
      </w:r>
    </w:p>
    <w:p w:rsidR="00B40966" w:rsidRDefault="00B40966">
      <w:pPr>
        <w:pStyle w:val="Amain"/>
      </w:pPr>
      <w:r>
        <w:rPr>
          <w:color w:val="000000"/>
        </w:rPr>
        <w:tab/>
        <w:t>(162)</w:t>
      </w:r>
      <w:r>
        <w:rPr>
          <w:color w:val="000000"/>
        </w:rPr>
        <w:tab/>
        <w:t>The owner or person in charge of any crane that travels under power shall prevent all persons entering on the elevated runway structure of the crane, and no person shall enter on the elevated structure unless, and until, approved effective measures have been taken to ensure the person’s safety.</w:t>
      </w:r>
    </w:p>
    <w:p w:rsidR="00B40966" w:rsidRDefault="00B40966">
      <w:pPr>
        <w:pStyle w:val="Amain"/>
        <w:keepLines/>
        <w:rPr>
          <w:color w:val="000000"/>
        </w:rPr>
      </w:pPr>
      <w:r>
        <w:rPr>
          <w:color w:val="000000"/>
        </w:rPr>
        <w:tab/>
        <w:t>(163)</w:t>
      </w:r>
      <w:r>
        <w:rPr>
          <w:color w:val="000000"/>
        </w:rPr>
        <w:tab/>
        <w:t>If an accident has occurred in connection with any crane, lift, hoist, scaffolding, or plant, or in connection with building or excavation work, or compressed air work, or any roof, an inspector may take possession of any part, piece, or item that the inspector considers has been concerned, for close or radiographic examination, analysis or test.</w:t>
      </w:r>
    </w:p>
    <w:p w:rsidR="00B40966" w:rsidRDefault="00B40966">
      <w:pPr>
        <w:pStyle w:val="Amain"/>
      </w:pPr>
      <w:r>
        <w:rPr>
          <w:color w:val="000000"/>
        </w:rPr>
        <w:tab/>
        <w:t>(164)</w:t>
      </w:r>
      <w:r>
        <w:rPr>
          <w:color w:val="000000"/>
        </w:rPr>
        <w:tab/>
        <w:t>Alternatively, the inspector may take possession of and preserve the part, piece, or item as an exhibit for production at any coronial inquiry.</w:t>
      </w:r>
    </w:p>
    <w:p w:rsidR="00B40966" w:rsidRDefault="00B40966">
      <w:pPr>
        <w:pStyle w:val="Amain"/>
        <w:rPr>
          <w:color w:val="000000"/>
        </w:rPr>
      </w:pPr>
      <w:r>
        <w:rPr>
          <w:color w:val="000000"/>
        </w:rPr>
        <w:tab/>
        <w:t>(165)</w:t>
      </w:r>
      <w:r>
        <w:rPr>
          <w:color w:val="000000"/>
        </w:rPr>
        <w:tab/>
        <w:t>Notwithstanding the provisions of section 4 the peripheral contours of the track wheels of cranes, hoists, scaffolding or plant travelling on railroad type tracks shall conform with diagram 127.</w:t>
      </w:r>
    </w:p>
    <w:p w:rsidR="00B40966" w:rsidRDefault="00B40966">
      <w:pPr>
        <w:pStyle w:val="TableHd"/>
      </w:pPr>
      <w:r>
        <w:t>Diagram 127</w:t>
      </w:r>
    </w:p>
    <w:p w:rsidR="00B40966" w:rsidRDefault="00DA6E8C">
      <w:pPr>
        <w:pStyle w:val="Amain"/>
        <w:rPr>
          <w:color w:val="000000"/>
        </w:rPr>
      </w:pPr>
      <w:r>
        <w:rPr>
          <w:noProof/>
          <w:color w:val="000000"/>
          <w:sz w:val="20"/>
          <w:lang w:eastAsia="en-AU"/>
        </w:rPr>
        <w:drawing>
          <wp:inline distT="0" distB="0" distL="0" distR="0">
            <wp:extent cx="4171950" cy="344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171950" cy="3448050"/>
                    </a:xfrm>
                    <a:prstGeom prst="rect">
                      <a:avLst/>
                    </a:prstGeom>
                    <a:noFill/>
                    <a:ln>
                      <a:noFill/>
                    </a:ln>
                  </pic:spPr>
                </pic:pic>
              </a:graphicData>
            </a:graphic>
          </wp:inline>
        </w:drawing>
      </w:r>
    </w:p>
    <w:p w:rsidR="00B40966" w:rsidRDefault="00B40966">
      <w:pPr>
        <w:pStyle w:val="Amain"/>
      </w:pPr>
      <w:r>
        <w:rPr>
          <w:color w:val="000000"/>
        </w:rPr>
        <w:tab/>
        <w:t>(166)</w:t>
      </w:r>
      <w:r>
        <w:rPr>
          <w:color w:val="000000"/>
        </w:rPr>
        <w:tab/>
        <w:t>The owner or person in charge of any crane or hoist, other than a hoist conforming with subsections (96) and (97), shall prevent all persons riding on the load, or on the lifting hook, or platform, or tines or box, or vessel, or other lifting medium, and no person shall so ride, except that the following persons may do so subject to the following limitations (if any):</w:t>
      </w:r>
    </w:p>
    <w:p w:rsidR="00B40966" w:rsidRDefault="00B40966">
      <w:pPr>
        <w:pStyle w:val="Apara"/>
      </w:pPr>
      <w:r>
        <w:tab/>
        <w:t>(a)</w:t>
      </w:r>
      <w:r>
        <w:tab/>
        <w:t>a dogger whose name is exhibited in an approved notice at the main driving station of the crane concerned;</w:t>
      </w:r>
    </w:p>
    <w:p w:rsidR="00B40966" w:rsidRDefault="00B40966">
      <w:pPr>
        <w:pStyle w:val="Apara"/>
      </w:pPr>
      <w:r>
        <w:tab/>
        <w:t>(b)</w:t>
      </w:r>
      <w:r>
        <w:tab/>
        <w:t>persons authorised in writing by the chief inspector, for the purposes as may be prescribed in the authority.</w:t>
      </w:r>
    </w:p>
    <w:p w:rsidR="00B40966" w:rsidRDefault="00B40966">
      <w:pPr>
        <w:pStyle w:val="Amain"/>
        <w:rPr>
          <w:color w:val="000000"/>
        </w:rPr>
      </w:pPr>
      <w:r>
        <w:rPr>
          <w:color w:val="000000"/>
        </w:rPr>
        <w:tab/>
        <w:t>(167)</w:t>
      </w:r>
      <w:r>
        <w:rPr>
          <w:color w:val="000000"/>
        </w:rPr>
        <w:tab/>
        <w:t>No crane, lift, hoist or scaffolding shall be constructed in whole or in part of, or include or incorporate, any second-hand material or part.</w:t>
      </w:r>
    </w:p>
    <w:p w:rsidR="00B40966" w:rsidRDefault="00B40966">
      <w:pPr>
        <w:pStyle w:val="Amain"/>
        <w:rPr>
          <w:color w:val="000000"/>
        </w:rPr>
      </w:pPr>
      <w:r>
        <w:rPr>
          <w:color w:val="000000"/>
        </w:rPr>
        <w:tab/>
        <w:t>(168)</w:t>
      </w:r>
      <w:r>
        <w:rPr>
          <w:color w:val="000000"/>
        </w:rPr>
        <w:tab/>
        <w:t>However, subsection (167) does not preclude the dismantling and re</w:t>
      </w:r>
      <w:r>
        <w:rPr>
          <w:color w:val="000000"/>
        </w:rPr>
        <w:noBreakHyphen/>
        <w:t>erection of the crane, lift, hoist, or scaffolding in accordance with the Act and this regulation.</w:t>
      </w:r>
    </w:p>
    <w:p w:rsidR="00B40966" w:rsidRDefault="00B40966">
      <w:pPr>
        <w:pStyle w:val="Amain"/>
      </w:pPr>
      <w:r>
        <w:rPr>
          <w:color w:val="000000"/>
        </w:rPr>
        <w:tab/>
        <w:t>(169)</w:t>
      </w:r>
      <w:r>
        <w:rPr>
          <w:color w:val="000000"/>
        </w:rPr>
        <w:tab/>
        <w:t>Also,second-hand materials may be used—</w:t>
      </w:r>
    </w:p>
    <w:p w:rsidR="00B40966" w:rsidRDefault="00B40966">
      <w:pPr>
        <w:pStyle w:val="Apara"/>
      </w:pPr>
      <w:r>
        <w:tab/>
        <w:t>(a)</w:t>
      </w:r>
      <w:r>
        <w:tab/>
        <w:t>if not subject to stress; or</w:t>
      </w:r>
    </w:p>
    <w:p w:rsidR="00B40966" w:rsidRDefault="00B40966">
      <w:pPr>
        <w:pStyle w:val="Apara"/>
      </w:pPr>
      <w:r>
        <w:tab/>
        <w:t>(b)</w:t>
      </w:r>
      <w:r>
        <w:tab/>
        <w:t>if the material is amorphous; or</w:t>
      </w:r>
    </w:p>
    <w:p w:rsidR="00B40966" w:rsidRDefault="00B40966">
      <w:pPr>
        <w:pStyle w:val="Apara"/>
      </w:pPr>
      <w:r>
        <w:tab/>
        <w:t>(c)</w:t>
      </w:r>
      <w:r>
        <w:tab/>
        <w:t>if specifically approved by the chief inspector.</w:t>
      </w:r>
    </w:p>
    <w:p w:rsidR="00B40966" w:rsidRDefault="00B40966">
      <w:pPr>
        <w:pStyle w:val="Amain"/>
        <w:rPr>
          <w:color w:val="000000"/>
        </w:rPr>
      </w:pPr>
      <w:r>
        <w:rPr>
          <w:color w:val="000000"/>
        </w:rPr>
        <w:tab/>
        <w:t>(170)</w:t>
      </w:r>
      <w:r>
        <w:rPr>
          <w:color w:val="000000"/>
        </w:rPr>
        <w:tab/>
        <w:t>All enclosed gearings used in connection with cranes, lifts, hoists, and scaffoldings, shall have readily accessible inspection apertures with covers that may be readily removed without dismantling or placing the gearing out of commission.</w:t>
      </w:r>
    </w:p>
    <w:p w:rsidR="00B40966" w:rsidRDefault="00B40966">
      <w:pPr>
        <w:pStyle w:val="Amain"/>
      </w:pPr>
      <w:r>
        <w:rPr>
          <w:color w:val="000000"/>
        </w:rPr>
        <w:tab/>
        <w:t>(171)</w:t>
      </w:r>
      <w:r>
        <w:rPr>
          <w:color w:val="000000"/>
        </w:rPr>
        <w:tab/>
        <w:t>The apertures shall be as large as is practicable and shall be so placed that the gearings may be effectively and conveniently inspected.</w:t>
      </w:r>
    </w:p>
    <w:p w:rsidR="00B40966" w:rsidRDefault="00B40966">
      <w:pPr>
        <w:pStyle w:val="Amain"/>
        <w:keepLines/>
      </w:pPr>
      <w:r>
        <w:rPr>
          <w:color w:val="000000"/>
        </w:rPr>
        <w:tab/>
        <w:t>(172)</w:t>
      </w:r>
      <w:r>
        <w:rPr>
          <w:color w:val="000000"/>
        </w:rPr>
        <w:tab/>
        <w:t>Unless otherwise approved all joints within members of the frame or supporting structures of cranes, lifts, hoists, plant, or scaffolding shall be plated with splice plates on all surfaces, but this shall not be necessary if the joint is welded in an approved way.</w:t>
      </w:r>
    </w:p>
    <w:p w:rsidR="00B40966" w:rsidRDefault="00B40966">
      <w:pPr>
        <w:pStyle w:val="Amain"/>
        <w:rPr>
          <w:color w:val="000000"/>
        </w:rPr>
      </w:pPr>
      <w:r>
        <w:rPr>
          <w:color w:val="000000"/>
        </w:rPr>
        <w:tab/>
        <w:t>(173)</w:t>
      </w:r>
      <w:r>
        <w:rPr>
          <w:color w:val="000000"/>
        </w:rPr>
        <w:tab/>
        <w:t>If more specific provision is not made in this regulation, and unless the chief inspector otherwise directs, all cranes, hoists, plant and scaffolding and the members, components, parts and attachments of them and to them shall conform with the following Rules of Standards Australia, Crane and Hoist Code No C.B.2, 1938, and the rules shall be interpreted and applied in accordance with the code:</w:t>
      </w:r>
    </w:p>
    <w:p w:rsidR="00B40966" w:rsidRDefault="00B40966"/>
    <w:tbl>
      <w:tblPr>
        <w:tblW w:w="7593" w:type="dxa"/>
        <w:tblInd w:w="479" w:type="dxa"/>
        <w:tblLayout w:type="fixed"/>
        <w:tblCellMar>
          <w:left w:w="80" w:type="dxa"/>
          <w:right w:w="80" w:type="dxa"/>
        </w:tblCellMar>
        <w:tblLook w:val="0000" w:firstRow="0" w:lastRow="0" w:firstColumn="0" w:lastColumn="0" w:noHBand="0" w:noVBand="0"/>
      </w:tblPr>
      <w:tblGrid>
        <w:gridCol w:w="660"/>
        <w:gridCol w:w="3273"/>
        <w:gridCol w:w="660"/>
        <w:gridCol w:w="3000"/>
      </w:tblGrid>
      <w:tr w:rsidR="00B40966">
        <w:trPr>
          <w:cantSplit/>
          <w:tblHeader/>
        </w:trPr>
        <w:tc>
          <w:tcPr>
            <w:tcW w:w="660" w:type="dxa"/>
            <w:tcBorders>
              <w:top w:val="single" w:sz="6" w:space="0" w:color="auto"/>
              <w:bottom w:val="single" w:sz="6" w:space="0" w:color="auto"/>
            </w:tcBorders>
          </w:tcPr>
          <w:p w:rsidR="00B40966" w:rsidRDefault="00B40966">
            <w:pPr>
              <w:pStyle w:val="TableColHd"/>
            </w:pPr>
            <w:r>
              <w:t>rule</w:t>
            </w:r>
            <w:r>
              <w:br/>
              <w:t>No</w:t>
            </w:r>
          </w:p>
        </w:tc>
        <w:tc>
          <w:tcPr>
            <w:tcW w:w="3273" w:type="dxa"/>
            <w:tcBorders>
              <w:top w:val="single" w:sz="6" w:space="0" w:color="auto"/>
              <w:bottom w:val="single" w:sz="6" w:space="0" w:color="auto"/>
            </w:tcBorders>
          </w:tcPr>
          <w:p w:rsidR="00B40966" w:rsidRDefault="00B40966">
            <w:pPr>
              <w:pStyle w:val="TableColHd"/>
            </w:pPr>
            <w:r>
              <w:t>subject</w:t>
            </w:r>
          </w:p>
        </w:tc>
        <w:tc>
          <w:tcPr>
            <w:tcW w:w="660" w:type="dxa"/>
            <w:tcBorders>
              <w:top w:val="single" w:sz="6" w:space="0" w:color="auto"/>
              <w:bottom w:val="single" w:sz="6" w:space="0" w:color="auto"/>
            </w:tcBorders>
          </w:tcPr>
          <w:p w:rsidR="00B40966" w:rsidRDefault="00B40966">
            <w:pPr>
              <w:pStyle w:val="TableColHd"/>
            </w:pPr>
            <w:r>
              <w:t>rule</w:t>
            </w:r>
            <w:r>
              <w:br/>
              <w:t>No</w:t>
            </w:r>
          </w:p>
        </w:tc>
        <w:tc>
          <w:tcPr>
            <w:tcW w:w="3000" w:type="dxa"/>
            <w:tcBorders>
              <w:top w:val="single" w:sz="6" w:space="0" w:color="auto"/>
              <w:bottom w:val="single" w:sz="6" w:space="0" w:color="auto"/>
            </w:tcBorders>
          </w:tcPr>
          <w:p w:rsidR="00B40966" w:rsidRDefault="00B40966">
            <w:pPr>
              <w:pStyle w:val="TableColHd"/>
            </w:pPr>
            <w:r>
              <w:t>subject</w:t>
            </w:r>
          </w:p>
        </w:tc>
      </w:tr>
      <w:tr w:rsidR="00B40966">
        <w:trPr>
          <w:cantSplit/>
        </w:trPr>
        <w:tc>
          <w:tcPr>
            <w:tcW w:w="660" w:type="dxa"/>
            <w:tcBorders>
              <w:top w:val="single" w:sz="6" w:space="0" w:color="auto"/>
            </w:tcBorders>
          </w:tcPr>
          <w:p w:rsidR="00B40966" w:rsidRDefault="00B40966">
            <w:pPr>
              <w:pStyle w:val="TableText"/>
            </w:pPr>
            <w:r>
              <w:t>317</w:t>
            </w:r>
          </w:p>
        </w:tc>
        <w:tc>
          <w:tcPr>
            <w:tcW w:w="3273" w:type="dxa"/>
            <w:tcBorders>
              <w:top w:val="single" w:sz="6" w:space="0" w:color="auto"/>
            </w:tcBorders>
          </w:tcPr>
          <w:p w:rsidR="00B40966" w:rsidRDefault="00B40966">
            <w:pPr>
              <w:pStyle w:val="TableText"/>
            </w:pPr>
            <w:r>
              <w:t>Concrete-cement, etc</w:t>
            </w:r>
          </w:p>
        </w:tc>
        <w:tc>
          <w:tcPr>
            <w:tcW w:w="660" w:type="dxa"/>
            <w:tcBorders>
              <w:top w:val="single" w:sz="6" w:space="0" w:color="auto"/>
            </w:tcBorders>
          </w:tcPr>
          <w:p w:rsidR="00B40966" w:rsidRDefault="00B40966">
            <w:pPr>
              <w:pStyle w:val="TableText"/>
            </w:pPr>
            <w:r>
              <w:t>481</w:t>
            </w:r>
          </w:p>
        </w:tc>
        <w:tc>
          <w:tcPr>
            <w:tcW w:w="3000" w:type="dxa"/>
            <w:tcBorders>
              <w:top w:val="single" w:sz="6" w:space="0" w:color="auto"/>
            </w:tcBorders>
          </w:tcPr>
          <w:p w:rsidR="00B40966" w:rsidRDefault="00B40966">
            <w:pPr>
              <w:pStyle w:val="TableText"/>
            </w:pPr>
            <w:r>
              <w:t>Track rail webs</w:t>
            </w:r>
          </w:p>
        </w:tc>
      </w:tr>
      <w:tr w:rsidR="00B40966">
        <w:trPr>
          <w:cantSplit/>
        </w:trPr>
        <w:tc>
          <w:tcPr>
            <w:tcW w:w="660" w:type="dxa"/>
          </w:tcPr>
          <w:p w:rsidR="00B40966" w:rsidRDefault="00B40966">
            <w:pPr>
              <w:pStyle w:val="TableText"/>
            </w:pPr>
            <w:r>
              <w:t>319</w:t>
            </w:r>
          </w:p>
        </w:tc>
        <w:tc>
          <w:tcPr>
            <w:tcW w:w="3273" w:type="dxa"/>
          </w:tcPr>
          <w:p w:rsidR="00B40966" w:rsidRDefault="00B40966">
            <w:pPr>
              <w:pStyle w:val="TableText"/>
            </w:pPr>
            <w:r>
              <w:t>Welding</w:t>
            </w:r>
          </w:p>
        </w:tc>
        <w:tc>
          <w:tcPr>
            <w:tcW w:w="660" w:type="dxa"/>
          </w:tcPr>
          <w:p w:rsidR="00B40966" w:rsidRDefault="00B40966">
            <w:pPr>
              <w:pStyle w:val="TableText"/>
            </w:pPr>
            <w:r>
              <w:t>482</w:t>
            </w:r>
          </w:p>
        </w:tc>
        <w:tc>
          <w:tcPr>
            <w:tcW w:w="3000" w:type="dxa"/>
          </w:tcPr>
          <w:p w:rsidR="00B40966" w:rsidRDefault="00B40966">
            <w:pPr>
              <w:pStyle w:val="TableText"/>
            </w:pPr>
            <w:r>
              <w:t>Track rail clearances</w:t>
            </w:r>
          </w:p>
        </w:tc>
      </w:tr>
      <w:tr w:rsidR="00B40966">
        <w:trPr>
          <w:cantSplit/>
        </w:trPr>
        <w:tc>
          <w:tcPr>
            <w:tcW w:w="660" w:type="dxa"/>
          </w:tcPr>
          <w:p w:rsidR="00B40966" w:rsidRDefault="00B40966">
            <w:pPr>
              <w:pStyle w:val="TableText"/>
            </w:pPr>
            <w:r>
              <w:t>407</w:t>
            </w:r>
          </w:p>
        </w:tc>
        <w:tc>
          <w:tcPr>
            <w:tcW w:w="3273" w:type="dxa"/>
          </w:tcPr>
          <w:p w:rsidR="00B40966" w:rsidRDefault="00B40966">
            <w:pPr>
              <w:pStyle w:val="TableText"/>
            </w:pPr>
            <w:r>
              <w:t>Loads—temperature effect</w:t>
            </w:r>
          </w:p>
        </w:tc>
        <w:tc>
          <w:tcPr>
            <w:tcW w:w="660" w:type="dxa"/>
          </w:tcPr>
          <w:p w:rsidR="00B40966" w:rsidRDefault="00B40966">
            <w:pPr>
              <w:pStyle w:val="TableText"/>
            </w:pPr>
            <w:r>
              <w:t>483</w:t>
            </w:r>
          </w:p>
        </w:tc>
        <w:tc>
          <w:tcPr>
            <w:tcW w:w="3000" w:type="dxa"/>
          </w:tcPr>
          <w:p w:rsidR="00B40966" w:rsidRDefault="00B40966">
            <w:pPr>
              <w:pStyle w:val="TableText"/>
            </w:pPr>
            <w:r>
              <w:t>Track rail fastening</w:t>
            </w:r>
          </w:p>
        </w:tc>
      </w:tr>
      <w:tr w:rsidR="00B40966">
        <w:trPr>
          <w:cantSplit/>
        </w:trPr>
        <w:tc>
          <w:tcPr>
            <w:tcW w:w="660" w:type="dxa"/>
          </w:tcPr>
          <w:p w:rsidR="00B40966" w:rsidRDefault="00B40966">
            <w:pPr>
              <w:pStyle w:val="TableText"/>
            </w:pPr>
            <w:r>
              <w:t>408</w:t>
            </w:r>
          </w:p>
        </w:tc>
        <w:tc>
          <w:tcPr>
            <w:tcW w:w="3273" w:type="dxa"/>
          </w:tcPr>
          <w:p w:rsidR="00B40966" w:rsidRDefault="00B40966">
            <w:pPr>
              <w:pStyle w:val="TableText"/>
            </w:pPr>
            <w:r>
              <w:t>Loads—erection stresses</w:t>
            </w:r>
          </w:p>
        </w:tc>
        <w:tc>
          <w:tcPr>
            <w:tcW w:w="660" w:type="dxa"/>
          </w:tcPr>
          <w:p w:rsidR="00B40966" w:rsidRDefault="00B40966">
            <w:pPr>
              <w:pStyle w:val="TableText"/>
            </w:pPr>
            <w:r>
              <w:t>484</w:t>
            </w:r>
          </w:p>
        </w:tc>
        <w:tc>
          <w:tcPr>
            <w:tcW w:w="3000" w:type="dxa"/>
          </w:tcPr>
          <w:p w:rsidR="00B40966" w:rsidRDefault="00B40966">
            <w:pPr>
              <w:pStyle w:val="TableText"/>
            </w:pPr>
            <w:r>
              <w:t>Track rail stops</w:t>
            </w:r>
          </w:p>
        </w:tc>
      </w:tr>
      <w:tr w:rsidR="00B40966">
        <w:trPr>
          <w:cantSplit/>
        </w:trPr>
        <w:tc>
          <w:tcPr>
            <w:tcW w:w="660" w:type="dxa"/>
          </w:tcPr>
          <w:p w:rsidR="00B40966" w:rsidRDefault="00B40966">
            <w:pPr>
              <w:pStyle w:val="TableText"/>
            </w:pPr>
            <w:r>
              <w:t>429</w:t>
            </w:r>
          </w:p>
        </w:tc>
        <w:tc>
          <w:tcPr>
            <w:tcW w:w="3273" w:type="dxa"/>
          </w:tcPr>
          <w:p w:rsidR="00B40966" w:rsidRDefault="00B40966">
            <w:pPr>
              <w:pStyle w:val="TableText"/>
            </w:pPr>
            <w:r>
              <w:t>Latticing and plating of struts</w:t>
            </w:r>
          </w:p>
        </w:tc>
        <w:tc>
          <w:tcPr>
            <w:tcW w:w="660" w:type="dxa"/>
          </w:tcPr>
          <w:p w:rsidR="00B40966" w:rsidRDefault="00B40966">
            <w:pPr>
              <w:pStyle w:val="TableText"/>
            </w:pPr>
            <w:r>
              <w:t>486</w:t>
            </w:r>
          </w:p>
        </w:tc>
        <w:tc>
          <w:tcPr>
            <w:tcW w:w="3000" w:type="dxa"/>
          </w:tcPr>
          <w:p w:rsidR="00B40966" w:rsidRDefault="00B40966">
            <w:pPr>
              <w:pStyle w:val="TableText"/>
            </w:pPr>
            <w:r>
              <w:t>Runway crane clearances</w:t>
            </w:r>
          </w:p>
        </w:tc>
      </w:tr>
      <w:tr w:rsidR="00B40966">
        <w:trPr>
          <w:cantSplit/>
        </w:trPr>
        <w:tc>
          <w:tcPr>
            <w:tcW w:w="660" w:type="dxa"/>
          </w:tcPr>
          <w:p w:rsidR="00B40966" w:rsidRDefault="00B40966">
            <w:pPr>
              <w:pStyle w:val="TableText"/>
            </w:pPr>
            <w:r>
              <w:t>430*</w:t>
            </w:r>
          </w:p>
        </w:tc>
        <w:tc>
          <w:tcPr>
            <w:tcW w:w="3273" w:type="dxa"/>
          </w:tcPr>
          <w:p w:rsidR="00B40966" w:rsidRDefault="00B40966">
            <w:pPr>
              <w:pStyle w:val="TableText"/>
            </w:pPr>
            <w:r>
              <w:t>Struts—minimum lattice bar dimen-sions</w:t>
            </w:r>
          </w:p>
        </w:tc>
        <w:tc>
          <w:tcPr>
            <w:tcW w:w="660" w:type="dxa"/>
          </w:tcPr>
          <w:p w:rsidR="00B40966" w:rsidRDefault="00B40966">
            <w:pPr>
              <w:pStyle w:val="TableText"/>
            </w:pPr>
            <w:r>
              <w:t>488</w:t>
            </w:r>
          </w:p>
        </w:tc>
        <w:tc>
          <w:tcPr>
            <w:tcW w:w="3000" w:type="dxa"/>
          </w:tcPr>
          <w:p w:rsidR="00B40966" w:rsidRDefault="00B40966">
            <w:pPr>
              <w:pStyle w:val="TableText"/>
            </w:pPr>
            <w:r>
              <w:t>Outside crane equipage</w:t>
            </w:r>
          </w:p>
        </w:tc>
      </w:tr>
      <w:tr w:rsidR="00B40966">
        <w:trPr>
          <w:cantSplit/>
        </w:trPr>
        <w:tc>
          <w:tcPr>
            <w:tcW w:w="660" w:type="dxa"/>
          </w:tcPr>
          <w:p w:rsidR="00B40966" w:rsidRDefault="00B40966">
            <w:pPr>
              <w:pStyle w:val="TableText"/>
            </w:pPr>
            <w:r>
              <w:t>431</w:t>
            </w:r>
          </w:p>
        </w:tc>
        <w:tc>
          <w:tcPr>
            <w:tcW w:w="3273" w:type="dxa"/>
          </w:tcPr>
          <w:p w:rsidR="00B40966" w:rsidRDefault="00B40966">
            <w:pPr>
              <w:pStyle w:val="TableText"/>
            </w:pPr>
            <w:r>
              <w:t>Struts—angle of lattice bars</w:t>
            </w:r>
          </w:p>
        </w:tc>
        <w:tc>
          <w:tcPr>
            <w:tcW w:w="660" w:type="dxa"/>
          </w:tcPr>
          <w:p w:rsidR="00B40966" w:rsidRDefault="00B40966">
            <w:pPr>
              <w:pStyle w:val="TableText"/>
            </w:pPr>
            <w:r>
              <w:t>501</w:t>
            </w:r>
          </w:p>
        </w:tc>
        <w:tc>
          <w:tcPr>
            <w:tcW w:w="3000" w:type="dxa"/>
          </w:tcPr>
          <w:p w:rsidR="00B40966" w:rsidRDefault="00B40966">
            <w:pPr>
              <w:pStyle w:val="TableText"/>
            </w:pPr>
            <w:r>
              <w:t>Grooving for drums and pulleys</w:t>
            </w:r>
          </w:p>
        </w:tc>
      </w:tr>
      <w:tr w:rsidR="00B40966">
        <w:trPr>
          <w:cantSplit/>
        </w:trPr>
        <w:tc>
          <w:tcPr>
            <w:tcW w:w="660" w:type="dxa"/>
          </w:tcPr>
          <w:p w:rsidR="00B40966" w:rsidRDefault="00B40966">
            <w:pPr>
              <w:pStyle w:val="TableText"/>
            </w:pPr>
            <w:r>
              <w:t>432</w:t>
            </w:r>
          </w:p>
        </w:tc>
        <w:tc>
          <w:tcPr>
            <w:tcW w:w="3273" w:type="dxa"/>
          </w:tcPr>
          <w:p w:rsidR="00B40966" w:rsidRDefault="00B40966">
            <w:pPr>
              <w:pStyle w:val="TableText"/>
            </w:pPr>
            <w:r>
              <w:t>Struts—batten plates</w:t>
            </w:r>
          </w:p>
        </w:tc>
        <w:tc>
          <w:tcPr>
            <w:tcW w:w="660" w:type="dxa"/>
          </w:tcPr>
          <w:p w:rsidR="00B40966" w:rsidRDefault="00B40966">
            <w:pPr>
              <w:pStyle w:val="TableText"/>
            </w:pPr>
            <w:r>
              <w:t>502</w:t>
            </w:r>
          </w:p>
        </w:tc>
        <w:tc>
          <w:tcPr>
            <w:tcW w:w="3000" w:type="dxa"/>
          </w:tcPr>
          <w:p w:rsidR="00B40966" w:rsidRDefault="00B40966">
            <w:pPr>
              <w:pStyle w:val="TableText"/>
            </w:pPr>
            <w:r>
              <w:t>Ungrooved rope drums</w:t>
            </w:r>
          </w:p>
        </w:tc>
      </w:tr>
      <w:tr w:rsidR="00B40966">
        <w:trPr>
          <w:cantSplit/>
        </w:trPr>
        <w:tc>
          <w:tcPr>
            <w:tcW w:w="660" w:type="dxa"/>
          </w:tcPr>
          <w:p w:rsidR="00B40966" w:rsidRDefault="00B40966">
            <w:pPr>
              <w:pStyle w:val="TableText"/>
            </w:pPr>
            <w:r>
              <w:t>434</w:t>
            </w:r>
          </w:p>
        </w:tc>
        <w:tc>
          <w:tcPr>
            <w:tcW w:w="3273" w:type="dxa"/>
          </w:tcPr>
          <w:p w:rsidR="00B40966" w:rsidRDefault="00B40966">
            <w:pPr>
              <w:pStyle w:val="TableText"/>
            </w:pPr>
            <w:r>
              <w:t>Struts—spacing of bars and plates</w:t>
            </w:r>
          </w:p>
        </w:tc>
        <w:tc>
          <w:tcPr>
            <w:tcW w:w="660" w:type="dxa"/>
          </w:tcPr>
          <w:p w:rsidR="00B40966" w:rsidRDefault="00B40966">
            <w:pPr>
              <w:pStyle w:val="TableText"/>
            </w:pPr>
            <w:r>
              <w:t>507</w:t>
            </w:r>
          </w:p>
        </w:tc>
        <w:tc>
          <w:tcPr>
            <w:tcW w:w="3000" w:type="dxa"/>
          </w:tcPr>
          <w:p w:rsidR="00B40966" w:rsidRDefault="00B40966">
            <w:pPr>
              <w:pStyle w:val="TableText"/>
            </w:pPr>
            <w:r>
              <w:t>Shaft keys, types of</w:t>
            </w:r>
          </w:p>
        </w:tc>
      </w:tr>
      <w:tr w:rsidR="00B40966">
        <w:trPr>
          <w:cantSplit/>
        </w:trPr>
        <w:tc>
          <w:tcPr>
            <w:tcW w:w="660" w:type="dxa"/>
          </w:tcPr>
          <w:p w:rsidR="00B40966" w:rsidRDefault="00B40966">
            <w:pPr>
              <w:pStyle w:val="TableText"/>
            </w:pPr>
            <w:r>
              <w:t>435</w:t>
            </w:r>
          </w:p>
        </w:tc>
        <w:tc>
          <w:tcPr>
            <w:tcW w:w="3273" w:type="dxa"/>
          </w:tcPr>
          <w:p w:rsidR="00B40966" w:rsidRDefault="00B40966">
            <w:pPr>
              <w:pStyle w:val="TableText"/>
            </w:pPr>
            <w:r>
              <w:t>Struts—rivets in columns</w:t>
            </w:r>
          </w:p>
        </w:tc>
        <w:tc>
          <w:tcPr>
            <w:tcW w:w="660" w:type="dxa"/>
          </w:tcPr>
          <w:p w:rsidR="00B40966" w:rsidRDefault="00B40966">
            <w:pPr>
              <w:pStyle w:val="TableText"/>
            </w:pPr>
            <w:r>
              <w:t>511</w:t>
            </w:r>
          </w:p>
        </w:tc>
        <w:tc>
          <w:tcPr>
            <w:tcW w:w="3000" w:type="dxa"/>
          </w:tcPr>
          <w:p w:rsidR="00B40966" w:rsidRDefault="00B40966">
            <w:pPr>
              <w:pStyle w:val="TableText"/>
            </w:pPr>
            <w:r>
              <w:t>Sheave diameters</w:t>
            </w:r>
          </w:p>
        </w:tc>
      </w:tr>
      <w:tr w:rsidR="00B40966">
        <w:trPr>
          <w:cantSplit/>
        </w:trPr>
        <w:tc>
          <w:tcPr>
            <w:tcW w:w="660" w:type="dxa"/>
          </w:tcPr>
          <w:p w:rsidR="00B40966" w:rsidRDefault="00B40966">
            <w:pPr>
              <w:pStyle w:val="TableText"/>
            </w:pPr>
            <w:r>
              <w:t>437</w:t>
            </w:r>
          </w:p>
        </w:tc>
        <w:tc>
          <w:tcPr>
            <w:tcW w:w="3273" w:type="dxa"/>
          </w:tcPr>
          <w:p w:rsidR="00B40966" w:rsidRDefault="00B40966">
            <w:pPr>
              <w:pStyle w:val="TableText"/>
            </w:pPr>
            <w:r>
              <w:t>Effective span of members subject to bending</w:t>
            </w:r>
          </w:p>
        </w:tc>
        <w:tc>
          <w:tcPr>
            <w:tcW w:w="660" w:type="dxa"/>
          </w:tcPr>
          <w:p w:rsidR="00B40966" w:rsidRDefault="00B40966">
            <w:pPr>
              <w:pStyle w:val="TableText"/>
            </w:pPr>
            <w:r>
              <w:t>521</w:t>
            </w:r>
          </w:p>
        </w:tc>
        <w:tc>
          <w:tcPr>
            <w:tcW w:w="3000" w:type="dxa"/>
          </w:tcPr>
          <w:p w:rsidR="00B40966" w:rsidRDefault="00B40966">
            <w:pPr>
              <w:pStyle w:val="TableText"/>
            </w:pPr>
            <w:r>
              <w:t>Track wheels, avoid overhang</w:t>
            </w:r>
          </w:p>
        </w:tc>
      </w:tr>
      <w:tr w:rsidR="00B40966">
        <w:trPr>
          <w:cantSplit/>
        </w:trPr>
        <w:tc>
          <w:tcPr>
            <w:tcW w:w="660" w:type="dxa"/>
          </w:tcPr>
          <w:p w:rsidR="00B40966" w:rsidRDefault="00B40966">
            <w:pPr>
              <w:pStyle w:val="TableText"/>
            </w:pPr>
            <w:r>
              <w:t>438</w:t>
            </w:r>
          </w:p>
        </w:tc>
        <w:tc>
          <w:tcPr>
            <w:tcW w:w="3273" w:type="dxa"/>
          </w:tcPr>
          <w:p w:rsidR="00B40966" w:rsidRDefault="00B40966">
            <w:pPr>
              <w:pStyle w:val="TableText"/>
            </w:pPr>
            <w:r>
              <w:t>Effective depth of members subject to bending</w:t>
            </w:r>
          </w:p>
        </w:tc>
        <w:tc>
          <w:tcPr>
            <w:tcW w:w="660" w:type="dxa"/>
          </w:tcPr>
          <w:p w:rsidR="00B40966" w:rsidRDefault="00B40966">
            <w:pPr>
              <w:pStyle w:val="TableText"/>
            </w:pPr>
            <w:r>
              <w:t>523</w:t>
            </w:r>
          </w:p>
        </w:tc>
        <w:tc>
          <w:tcPr>
            <w:tcW w:w="3000" w:type="dxa"/>
          </w:tcPr>
          <w:p w:rsidR="00B40966" w:rsidRDefault="00B40966">
            <w:pPr>
              <w:pStyle w:val="TableText"/>
            </w:pPr>
            <w:r>
              <w:t>Track wheels, size and depths</w:t>
            </w:r>
          </w:p>
        </w:tc>
      </w:tr>
      <w:tr w:rsidR="00B40966">
        <w:trPr>
          <w:cantSplit/>
        </w:trPr>
        <w:tc>
          <w:tcPr>
            <w:tcW w:w="660" w:type="dxa"/>
          </w:tcPr>
          <w:p w:rsidR="00B40966" w:rsidRDefault="00B40966">
            <w:pPr>
              <w:pStyle w:val="TableText"/>
            </w:pPr>
            <w:r>
              <w:t>444</w:t>
            </w:r>
          </w:p>
        </w:tc>
        <w:tc>
          <w:tcPr>
            <w:tcW w:w="3273" w:type="dxa"/>
          </w:tcPr>
          <w:p w:rsidR="00B40966" w:rsidRDefault="00B40966">
            <w:pPr>
              <w:pStyle w:val="TableText"/>
            </w:pPr>
            <w:r>
              <w:t>Strength and ‘Z’ of members subject to bending</w:t>
            </w:r>
          </w:p>
        </w:tc>
        <w:tc>
          <w:tcPr>
            <w:tcW w:w="660" w:type="dxa"/>
          </w:tcPr>
          <w:p w:rsidR="00B40966" w:rsidRDefault="00B40966">
            <w:pPr>
              <w:pStyle w:val="TableText"/>
            </w:pPr>
            <w:r>
              <w:t>524</w:t>
            </w:r>
          </w:p>
        </w:tc>
        <w:tc>
          <w:tcPr>
            <w:tcW w:w="3000" w:type="dxa"/>
          </w:tcPr>
          <w:p w:rsidR="00B40966" w:rsidRDefault="00B40966">
            <w:pPr>
              <w:pStyle w:val="TableText"/>
            </w:pPr>
            <w:r>
              <w:t>Track wheels, diameters</w:t>
            </w:r>
          </w:p>
        </w:tc>
      </w:tr>
      <w:tr w:rsidR="00B40966">
        <w:trPr>
          <w:cantSplit/>
        </w:trPr>
        <w:tc>
          <w:tcPr>
            <w:tcW w:w="660" w:type="dxa"/>
          </w:tcPr>
          <w:p w:rsidR="00B40966" w:rsidRDefault="00B40966">
            <w:pPr>
              <w:pStyle w:val="TableText"/>
            </w:pPr>
            <w:r>
              <w:t>445</w:t>
            </w:r>
          </w:p>
        </w:tc>
        <w:tc>
          <w:tcPr>
            <w:tcW w:w="3273" w:type="dxa"/>
          </w:tcPr>
          <w:p w:rsidR="00B40966" w:rsidRDefault="00B40966">
            <w:pPr>
              <w:pStyle w:val="TableText"/>
            </w:pPr>
            <w:r>
              <w:t>Strength and ‘Z’ of plate girders</w:t>
            </w:r>
          </w:p>
        </w:tc>
        <w:tc>
          <w:tcPr>
            <w:tcW w:w="660" w:type="dxa"/>
          </w:tcPr>
          <w:p w:rsidR="00B40966" w:rsidRDefault="00B40966">
            <w:pPr>
              <w:pStyle w:val="TableText"/>
            </w:pPr>
            <w:r>
              <w:t>525</w:t>
            </w:r>
          </w:p>
        </w:tc>
        <w:tc>
          <w:tcPr>
            <w:tcW w:w="3000" w:type="dxa"/>
          </w:tcPr>
          <w:p w:rsidR="00B40966" w:rsidRDefault="00B40966">
            <w:pPr>
              <w:pStyle w:val="TableText"/>
            </w:pPr>
            <w:r>
              <w:t>Track wheels, tread width</w:t>
            </w:r>
          </w:p>
        </w:tc>
      </w:tr>
      <w:tr w:rsidR="00B40966">
        <w:trPr>
          <w:cantSplit/>
        </w:trPr>
        <w:tc>
          <w:tcPr>
            <w:tcW w:w="660" w:type="dxa"/>
          </w:tcPr>
          <w:p w:rsidR="00B40966" w:rsidRDefault="00B40966">
            <w:pPr>
              <w:pStyle w:val="TableText"/>
            </w:pPr>
            <w:r>
              <w:t>446</w:t>
            </w:r>
          </w:p>
        </w:tc>
        <w:tc>
          <w:tcPr>
            <w:tcW w:w="3273" w:type="dxa"/>
          </w:tcPr>
          <w:p w:rsidR="00B40966" w:rsidRDefault="00B40966">
            <w:pPr>
              <w:pStyle w:val="TableText"/>
            </w:pPr>
            <w:r>
              <w:t>Plate girder flange rivets</w:t>
            </w:r>
          </w:p>
        </w:tc>
        <w:tc>
          <w:tcPr>
            <w:tcW w:w="660" w:type="dxa"/>
          </w:tcPr>
          <w:p w:rsidR="00B40966" w:rsidRDefault="00B40966">
            <w:pPr>
              <w:pStyle w:val="TableText"/>
            </w:pPr>
            <w:r>
              <w:t>540</w:t>
            </w:r>
          </w:p>
        </w:tc>
        <w:tc>
          <w:tcPr>
            <w:tcW w:w="3000" w:type="dxa"/>
          </w:tcPr>
          <w:p w:rsidR="00B40966" w:rsidRDefault="00B40966">
            <w:pPr>
              <w:pStyle w:val="TableText"/>
            </w:pPr>
            <w:r>
              <w:t>Holding brakes on manual hoists</w:t>
            </w:r>
          </w:p>
        </w:tc>
      </w:tr>
      <w:tr w:rsidR="00B40966">
        <w:trPr>
          <w:cantSplit/>
        </w:trPr>
        <w:tc>
          <w:tcPr>
            <w:tcW w:w="660" w:type="dxa"/>
          </w:tcPr>
          <w:p w:rsidR="00B40966" w:rsidRDefault="00B40966">
            <w:pPr>
              <w:pStyle w:val="TableText"/>
            </w:pPr>
            <w:r>
              <w:t>447</w:t>
            </w:r>
          </w:p>
        </w:tc>
        <w:tc>
          <w:tcPr>
            <w:tcW w:w="3273" w:type="dxa"/>
          </w:tcPr>
          <w:p w:rsidR="00B40966" w:rsidRDefault="00B40966">
            <w:pPr>
              <w:pStyle w:val="TableText"/>
            </w:pPr>
            <w:r>
              <w:t>Distribution of wheel loads on plate girders</w:t>
            </w:r>
          </w:p>
        </w:tc>
        <w:tc>
          <w:tcPr>
            <w:tcW w:w="660" w:type="dxa"/>
          </w:tcPr>
          <w:p w:rsidR="00B40966" w:rsidRDefault="00B40966">
            <w:pPr>
              <w:pStyle w:val="TableText"/>
            </w:pPr>
            <w:r>
              <w:t>542</w:t>
            </w:r>
          </w:p>
        </w:tc>
        <w:tc>
          <w:tcPr>
            <w:tcW w:w="3000" w:type="dxa"/>
          </w:tcPr>
          <w:p w:rsidR="00B40966" w:rsidRDefault="00B40966">
            <w:pPr>
              <w:pStyle w:val="TableText"/>
            </w:pPr>
            <w:r>
              <w:t>Pressure gauges, visible to driver</w:t>
            </w:r>
          </w:p>
        </w:tc>
      </w:tr>
      <w:tr w:rsidR="00B40966">
        <w:trPr>
          <w:cantSplit/>
        </w:trPr>
        <w:tc>
          <w:tcPr>
            <w:tcW w:w="660" w:type="dxa"/>
          </w:tcPr>
          <w:p w:rsidR="00B40966" w:rsidRDefault="00B40966">
            <w:pPr>
              <w:pStyle w:val="TableText"/>
            </w:pPr>
            <w:r>
              <w:t>448</w:t>
            </w:r>
          </w:p>
        </w:tc>
        <w:tc>
          <w:tcPr>
            <w:tcW w:w="3273" w:type="dxa"/>
          </w:tcPr>
          <w:p w:rsidR="00B40966" w:rsidRDefault="00B40966">
            <w:pPr>
              <w:pStyle w:val="TableText"/>
            </w:pPr>
            <w:r>
              <w:t>Plate girder flange section</w:t>
            </w:r>
          </w:p>
        </w:tc>
        <w:tc>
          <w:tcPr>
            <w:tcW w:w="660" w:type="dxa"/>
          </w:tcPr>
          <w:p w:rsidR="00B40966" w:rsidRDefault="00B40966">
            <w:pPr>
              <w:pStyle w:val="TableText"/>
            </w:pPr>
            <w:r>
              <w:t>543</w:t>
            </w:r>
          </w:p>
        </w:tc>
        <w:tc>
          <w:tcPr>
            <w:tcW w:w="3000" w:type="dxa"/>
          </w:tcPr>
          <w:p w:rsidR="00B40966" w:rsidRDefault="00B40966">
            <w:pPr>
              <w:pStyle w:val="TableText"/>
            </w:pPr>
            <w:r>
              <w:t>Engine exhausts</w:t>
            </w:r>
          </w:p>
        </w:tc>
      </w:tr>
      <w:tr w:rsidR="00B40966">
        <w:trPr>
          <w:cantSplit/>
        </w:trPr>
        <w:tc>
          <w:tcPr>
            <w:tcW w:w="660" w:type="dxa"/>
          </w:tcPr>
          <w:p w:rsidR="00B40966" w:rsidRDefault="00B40966">
            <w:pPr>
              <w:pStyle w:val="TableText"/>
            </w:pPr>
            <w:r>
              <w:t>449</w:t>
            </w:r>
          </w:p>
        </w:tc>
        <w:tc>
          <w:tcPr>
            <w:tcW w:w="3273" w:type="dxa"/>
          </w:tcPr>
          <w:p w:rsidR="00B40966" w:rsidRDefault="00B40966">
            <w:pPr>
              <w:pStyle w:val="TableText"/>
            </w:pPr>
            <w:r>
              <w:t>Plate girder and stiffeners</w:t>
            </w:r>
          </w:p>
        </w:tc>
        <w:tc>
          <w:tcPr>
            <w:tcW w:w="660" w:type="dxa"/>
          </w:tcPr>
          <w:p w:rsidR="00B40966" w:rsidRDefault="00B40966">
            <w:pPr>
              <w:pStyle w:val="TableText"/>
            </w:pPr>
            <w:r>
              <w:t>544</w:t>
            </w:r>
          </w:p>
        </w:tc>
        <w:tc>
          <w:tcPr>
            <w:tcW w:w="3000" w:type="dxa"/>
          </w:tcPr>
          <w:p w:rsidR="00B40966" w:rsidRDefault="00B40966">
            <w:pPr>
              <w:pStyle w:val="TableText"/>
            </w:pPr>
            <w:r>
              <w:t>Cylinder drain cocks, etc</w:t>
            </w:r>
          </w:p>
        </w:tc>
      </w:tr>
      <w:tr w:rsidR="00B40966">
        <w:trPr>
          <w:cantSplit/>
        </w:trPr>
        <w:tc>
          <w:tcPr>
            <w:tcW w:w="660" w:type="dxa"/>
          </w:tcPr>
          <w:p w:rsidR="00B40966" w:rsidRDefault="00B40966">
            <w:pPr>
              <w:pStyle w:val="TableText"/>
            </w:pPr>
            <w:r>
              <w:t>451</w:t>
            </w:r>
          </w:p>
        </w:tc>
        <w:tc>
          <w:tcPr>
            <w:tcW w:w="3273" w:type="dxa"/>
          </w:tcPr>
          <w:p w:rsidR="00B40966" w:rsidRDefault="00B40966">
            <w:pPr>
              <w:pStyle w:val="TableText"/>
            </w:pPr>
            <w:r>
              <w:t>Plate girder stiffeners at loads</w:t>
            </w:r>
          </w:p>
        </w:tc>
        <w:tc>
          <w:tcPr>
            <w:tcW w:w="660" w:type="dxa"/>
          </w:tcPr>
          <w:p w:rsidR="00B40966" w:rsidRDefault="00B40966">
            <w:pPr>
              <w:pStyle w:val="TableText"/>
            </w:pPr>
            <w:r>
              <w:t>548</w:t>
            </w:r>
          </w:p>
        </w:tc>
        <w:tc>
          <w:tcPr>
            <w:tcW w:w="3000" w:type="dxa"/>
          </w:tcPr>
          <w:p w:rsidR="00B40966" w:rsidRDefault="00B40966">
            <w:pPr>
              <w:pStyle w:val="TableText"/>
            </w:pPr>
            <w:r>
              <w:t>Controls handy and easy</w:t>
            </w:r>
          </w:p>
        </w:tc>
      </w:tr>
      <w:tr w:rsidR="00B40966">
        <w:trPr>
          <w:cantSplit/>
        </w:trPr>
        <w:tc>
          <w:tcPr>
            <w:tcW w:w="660" w:type="dxa"/>
          </w:tcPr>
          <w:p w:rsidR="00B40966" w:rsidRDefault="00B40966">
            <w:pPr>
              <w:pStyle w:val="TableText"/>
            </w:pPr>
            <w:r>
              <w:t>452</w:t>
            </w:r>
          </w:p>
        </w:tc>
        <w:tc>
          <w:tcPr>
            <w:tcW w:w="3273" w:type="dxa"/>
          </w:tcPr>
          <w:p w:rsidR="00B40966" w:rsidRDefault="00B40966">
            <w:pPr>
              <w:pStyle w:val="TableText"/>
            </w:pPr>
            <w:r>
              <w:t>Plate girder stiffeners on both sides of web</w:t>
            </w:r>
          </w:p>
        </w:tc>
        <w:tc>
          <w:tcPr>
            <w:tcW w:w="660" w:type="dxa"/>
          </w:tcPr>
          <w:p w:rsidR="00B40966" w:rsidRDefault="00B40966">
            <w:pPr>
              <w:pStyle w:val="TableText"/>
            </w:pPr>
            <w:r>
              <w:t>811</w:t>
            </w:r>
          </w:p>
        </w:tc>
        <w:tc>
          <w:tcPr>
            <w:tcW w:w="3000" w:type="dxa"/>
          </w:tcPr>
          <w:p w:rsidR="00B40966" w:rsidRDefault="00B40966">
            <w:pPr>
              <w:pStyle w:val="TableText"/>
            </w:pPr>
            <w:r>
              <w:t>Drilling</w:t>
            </w:r>
          </w:p>
        </w:tc>
      </w:tr>
      <w:tr w:rsidR="00B40966">
        <w:trPr>
          <w:cantSplit/>
        </w:trPr>
        <w:tc>
          <w:tcPr>
            <w:tcW w:w="660" w:type="dxa"/>
          </w:tcPr>
          <w:p w:rsidR="00B40966" w:rsidRDefault="00B40966">
            <w:pPr>
              <w:pStyle w:val="TableText"/>
            </w:pPr>
            <w:r>
              <w:t>453</w:t>
            </w:r>
          </w:p>
        </w:tc>
        <w:tc>
          <w:tcPr>
            <w:tcW w:w="3273" w:type="dxa"/>
          </w:tcPr>
          <w:p w:rsidR="00B40966" w:rsidRDefault="00B40966">
            <w:pPr>
              <w:pStyle w:val="TableText"/>
            </w:pPr>
            <w:r>
              <w:t>Plate girder stiffener proportioning</w:t>
            </w:r>
          </w:p>
        </w:tc>
        <w:tc>
          <w:tcPr>
            <w:tcW w:w="660" w:type="dxa"/>
          </w:tcPr>
          <w:p w:rsidR="00B40966" w:rsidRDefault="00B40966">
            <w:pPr>
              <w:pStyle w:val="TableText"/>
            </w:pPr>
            <w:r>
              <w:t>812</w:t>
            </w:r>
          </w:p>
        </w:tc>
        <w:tc>
          <w:tcPr>
            <w:tcW w:w="3000" w:type="dxa"/>
          </w:tcPr>
          <w:p w:rsidR="00B40966" w:rsidRDefault="00B40966">
            <w:pPr>
              <w:pStyle w:val="TableText"/>
            </w:pPr>
            <w:r>
              <w:t>Punching</w:t>
            </w:r>
          </w:p>
        </w:tc>
      </w:tr>
      <w:tr w:rsidR="00B40966">
        <w:trPr>
          <w:cantSplit/>
        </w:trPr>
        <w:tc>
          <w:tcPr>
            <w:tcW w:w="660" w:type="dxa"/>
          </w:tcPr>
          <w:p w:rsidR="00B40966" w:rsidRDefault="00B40966">
            <w:pPr>
              <w:pStyle w:val="TableText"/>
            </w:pPr>
            <w:r>
              <w:t>456</w:t>
            </w:r>
          </w:p>
        </w:tc>
        <w:tc>
          <w:tcPr>
            <w:tcW w:w="3273" w:type="dxa"/>
          </w:tcPr>
          <w:p w:rsidR="00B40966" w:rsidRDefault="00B40966">
            <w:pPr>
              <w:pStyle w:val="TableText"/>
            </w:pPr>
            <w:r>
              <w:t>Truss web tension members</w:t>
            </w:r>
          </w:p>
        </w:tc>
        <w:tc>
          <w:tcPr>
            <w:tcW w:w="660" w:type="dxa"/>
          </w:tcPr>
          <w:p w:rsidR="00B40966" w:rsidRDefault="00B40966">
            <w:pPr>
              <w:pStyle w:val="TableText"/>
            </w:pPr>
            <w:r>
              <w:t>813</w:t>
            </w:r>
          </w:p>
        </w:tc>
        <w:tc>
          <w:tcPr>
            <w:tcW w:w="3000" w:type="dxa"/>
          </w:tcPr>
          <w:p w:rsidR="00B40966" w:rsidRDefault="00B40966">
            <w:pPr>
              <w:pStyle w:val="TableText"/>
            </w:pPr>
            <w:r>
              <w:t>Reaming</w:t>
            </w:r>
          </w:p>
        </w:tc>
      </w:tr>
      <w:tr w:rsidR="00B40966">
        <w:trPr>
          <w:cantSplit/>
        </w:trPr>
        <w:tc>
          <w:tcPr>
            <w:tcW w:w="660" w:type="dxa"/>
          </w:tcPr>
          <w:p w:rsidR="00B40966" w:rsidRDefault="00B40966">
            <w:pPr>
              <w:pStyle w:val="TableText"/>
            </w:pPr>
            <w:r>
              <w:t>458</w:t>
            </w:r>
          </w:p>
        </w:tc>
        <w:tc>
          <w:tcPr>
            <w:tcW w:w="3273" w:type="dxa"/>
          </w:tcPr>
          <w:p w:rsidR="00B40966" w:rsidRDefault="00B40966">
            <w:pPr>
              <w:pStyle w:val="TableText"/>
            </w:pPr>
            <w:r>
              <w:t>Camber of girders and trusses</w:t>
            </w:r>
          </w:p>
        </w:tc>
        <w:tc>
          <w:tcPr>
            <w:tcW w:w="660" w:type="dxa"/>
          </w:tcPr>
          <w:p w:rsidR="00B40966" w:rsidRDefault="00B40966">
            <w:pPr>
              <w:pStyle w:val="TableText"/>
            </w:pPr>
            <w:r>
              <w:t>814</w:t>
            </w:r>
          </w:p>
        </w:tc>
        <w:tc>
          <w:tcPr>
            <w:tcW w:w="3000" w:type="dxa"/>
          </w:tcPr>
          <w:p w:rsidR="00B40966" w:rsidRDefault="00B40966">
            <w:pPr>
              <w:pStyle w:val="TableText"/>
            </w:pPr>
            <w:r>
              <w:t>Countersunk rivets</w:t>
            </w:r>
          </w:p>
        </w:tc>
      </w:tr>
      <w:tr w:rsidR="00B40966">
        <w:trPr>
          <w:cantSplit/>
        </w:trPr>
        <w:tc>
          <w:tcPr>
            <w:tcW w:w="660" w:type="dxa"/>
          </w:tcPr>
          <w:p w:rsidR="00B40966" w:rsidRDefault="00B40966">
            <w:pPr>
              <w:pStyle w:val="TableText"/>
            </w:pPr>
            <w:r>
              <w:t>461</w:t>
            </w:r>
          </w:p>
        </w:tc>
        <w:tc>
          <w:tcPr>
            <w:tcW w:w="3273" w:type="dxa"/>
          </w:tcPr>
          <w:p w:rsidR="00B40966" w:rsidRDefault="00B40966">
            <w:pPr>
              <w:pStyle w:val="TableText"/>
            </w:pPr>
            <w:r>
              <w:t>Joint splice plate, symmetry of</w:t>
            </w:r>
          </w:p>
        </w:tc>
        <w:tc>
          <w:tcPr>
            <w:tcW w:w="660" w:type="dxa"/>
          </w:tcPr>
          <w:p w:rsidR="00B40966" w:rsidRDefault="00B40966">
            <w:pPr>
              <w:pStyle w:val="TableText"/>
            </w:pPr>
            <w:r>
              <w:t>815</w:t>
            </w:r>
          </w:p>
        </w:tc>
        <w:tc>
          <w:tcPr>
            <w:tcW w:w="3000" w:type="dxa"/>
          </w:tcPr>
          <w:p w:rsidR="00B40966" w:rsidRDefault="00B40966">
            <w:pPr>
              <w:pStyle w:val="TableText"/>
            </w:pPr>
            <w:r>
              <w:t>Riveting method</w:t>
            </w:r>
          </w:p>
        </w:tc>
      </w:tr>
      <w:tr w:rsidR="00B40966">
        <w:trPr>
          <w:cantSplit/>
        </w:trPr>
        <w:tc>
          <w:tcPr>
            <w:tcW w:w="660" w:type="dxa"/>
          </w:tcPr>
          <w:p w:rsidR="00B40966" w:rsidRDefault="00B40966">
            <w:pPr>
              <w:pStyle w:val="TableText"/>
            </w:pPr>
            <w:r>
              <w:t>462</w:t>
            </w:r>
          </w:p>
        </w:tc>
        <w:tc>
          <w:tcPr>
            <w:tcW w:w="3273" w:type="dxa"/>
          </w:tcPr>
          <w:p w:rsidR="00B40966" w:rsidRDefault="00B40966">
            <w:pPr>
              <w:pStyle w:val="TableText"/>
            </w:pPr>
            <w:r>
              <w:t>Joint splice plate, section of</w:t>
            </w:r>
          </w:p>
        </w:tc>
        <w:tc>
          <w:tcPr>
            <w:tcW w:w="660" w:type="dxa"/>
          </w:tcPr>
          <w:p w:rsidR="00B40966" w:rsidRDefault="00B40966">
            <w:pPr>
              <w:pStyle w:val="TableText"/>
            </w:pPr>
            <w:r>
              <w:t>817</w:t>
            </w:r>
          </w:p>
        </w:tc>
        <w:tc>
          <w:tcPr>
            <w:tcW w:w="3000" w:type="dxa"/>
          </w:tcPr>
          <w:p w:rsidR="00B40966" w:rsidRDefault="00B40966">
            <w:pPr>
              <w:pStyle w:val="TableText"/>
            </w:pPr>
            <w:r>
              <w:t>Clearances for bolts</w:t>
            </w:r>
          </w:p>
        </w:tc>
      </w:tr>
      <w:tr w:rsidR="00B40966">
        <w:trPr>
          <w:cantSplit/>
        </w:trPr>
        <w:tc>
          <w:tcPr>
            <w:tcW w:w="660" w:type="dxa"/>
          </w:tcPr>
          <w:p w:rsidR="00B40966" w:rsidRDefault="00B40966">
            <w:pPr>
              <w:pStyle w:val="TableText"/>
            </w:pPr>
            <w:r>
              <w:t>463</w:t>
            </w:r>
          </w:p>
        </w:tc>
        <w:tc>
          <w:tcPr>
            <w:tcW w:w="3273" w:type="dxa"/>
          </w:tcPr>
          <w:p w:rsidR="00B40966" w:rsidRDefault="00B40966">
            <w:pPr>
              <w:pStyle w:val="TableText"/>
            </w:pPr>
            <w:r>
              <w:t>Web joints</w:t>
            </w:r>
          </w:p>
        </w:tc>
        <w:tc>
          <w:tcPr>
            <w:tcW w:w="660" w:type="dxa"/>
          </w:tcPr>
          <w:p w:rsidR="00B40966" w:rsidRDefault="00B40966">
            <w:pPr>
              <w:pStyle w:val="TableText"/>
            </w:pPr>
            <w:r>
              <w:t>818</w:t>
            </w:r>
          </w:p>
        </w:tc>
        <w:tc>
          <w:tcPr>
            <w:tcW w:w="3000" w:type="dxa"/>
          </w:tcPr>
          <w:p w:rsidR="00B40966" w:rsidRDefault="00B40966">
            <w:pPr>
              <w:pStyle w:val="TableText"/>
            </w:pPr>
            <w:r>
              <w:t>Washers</w:t>
            </w:r>
          </w:p>
        </w:tc>
      </w:tr>
      <w:tr w:rsidR="00B40966">
        <w:trPr>
          <w:cantSplit/>
        </w:trPr>
        <w:tc>
          <w:tcPr>
            <w:tcW w:w="660" w:type="dxa"/>
          </w:tcPr>
          <w:p w:rsidR="00B40966" w:rsidRDefault="00B40966">
            <w:pPr>
              <w:pStyle w:val="TableText"/>
            </w:pPr>
            <w:r>
              <w:t>464</w:t>
            </w:r>
          </w:p>
        </w:tc>
        <w:tc>
          <w:tcPr>
            <w:tcW w:w="3273" w:type="dxa"/>
          </w:tcPr>
          <w:p w:rsidR="00B40966" w:rsidRDefault="00B40966">
            <w:pPr>
              <w:pStyle w:val="TableText"/>
            </w:pPr>
            <w:r>
              <w:t>Rivet shearing area</w:t>
            </w:r>
          </w:p>
        </w:tc>
        <w:tc>
          <w:tcPr>
            <w:tcW w:w="660" w:type="dxa"/>
          </w:tcPr>
          <w:p w:rsidR="00B40966" w:rsidRDefault="00B40966">
            <w:pPr>
              <w:pStyle w:val="TableText"/>
            </w:pPr>
            <w:r>
              <w:t>820</w:t>
            </w:r>
          </w:p>
        </w:tc>
        <w:tc>
          <w:tcPr>
            <w:tcW w:w="3000" w:type="dxa"/>
          </w:tcPr>
          <w:p w:rsidR="00B40966" w:rsidRDefault="00B40966">
            <w:pPr>
              <w:pStyle w:val="TableText"/>
            </w:pPr>
            <w:r>
              <w:t>Shop painting</w:t>
            </w:r>
          </w:p>
        </w:tc>
      </w:tr>
      <w:tr w:rsidR="00B40966">
        <w:trPr>
          <w:cantSplit/>
        </w:trPr>
        <w:tc>
          <w:tcPr>
            <w:tcW w:w="660" w:type="dxa"/>
          </w:tcPr>
          <w:p w:rsidR="00B40966" w:rsidRDefault="00B40966">
            <w:pPr>
              <w:pStyle w:val="TableText"/>
            </w:pPr>
            <w:r>
              <w:t>466</w:t>
            </w:r>
          </w:p>
        </w:tc>
        <w:tc>
          <w:tcPr>
            <w:tcW w:w="3273" w:type="dxa"/>
          </w:tcPr>
          <w:p w:rsidR="00B40966" w:rsidRDefault="00B40966">
            <w:pPr>
              <w:pStyle w:val="TableText"/>
            </w:pPr>
            <w:r>
              <w:t>Rivet minimum pitch</w:t>
            </w:r>
          </w:p>
        </w:tc>
        <w:tc>
          <w:tcPr>
            <w:tcW w:w="660" w:type="dxa"/>
          </w:tcPr>
          <w:p w:rsidR="00B40966" w:rsidRDefault="00B40966">
            <w:pPr>
              <w:pStyle w:val="TableText"/>
            </w:pPr>
            <w:r>
              <w:t>821</w:t>
            </w:r>
          </w:p>
        </w:tc>
        <w:tc>
          <w:tcPr>
            <w:tcW w:w="3000" w:type="dxa"/>
          </w:tcPr>
          <w:p w:rsidR="00B40966" w:rsidRDefault="00B40966">
            <w:pPr>
              <w:pStyle w:val="TableText"/>
            </w:pPr>
            <w:r>
              <w:t>Painting of inaccessible parts</w:t>
            </w:r>
          </w:p>
        </w:tc>
      </w:tr>
      <w:tr w:rsidR="00B40966">
        <w:trPr>
          <w:cantSplit/>
        </w:trPr>
        <w:tc>
          <w:tcPr>
            <w:tcW w:w="660" w:type="dxa"/>
          </w:tcPr>
          <w:p w:rsidR="00B40966" w:rsidRDefault="00B40966">
            <w:pPr>
              <w:pStyle w:val="TableText"/>
            </w:pPr>
            <w:r>
              <w:t>467</w:t>
            </w:r>
          </w:p>
        </w:tc>
        <w:tc>
          <w:tcPr>
            <w:tcW w:w="3273" w:type="dxa"/>
          </w:tcPr>
          <w:p w:rsidR="00B40966" w:rsidRDefault="00B40966">
            <w:pPr>
              <w:pStyle w:val="TableText"/>
            </w:pPr>
            <w:r>
              <w:t>Rivet maximum pitch</w:t>
            </w:r>
          </w:p>
        </w:tc>
        <w:tc>
          <w:tcPr>
            <w:tcW w:w="660" w:type="dxa"/>
          </w:tcPr>
          <w:p w:rsidR="00B40966" w:rsidRDefault="00B40966">
            <w:pPr>
              <w:pStyle w:val="TableText"/>
            </w:pPr>
            <w:r>
              <w:t>822</w:t>
            </w:r>
          </w:p>
        </w:tc>
        <w:tc>
          <w:tcPr>
            <w:tcW w:w="3000" w:type="dxa"/>
          </w:tcPr>
          <w:p w:rsidR="00B40966" w:rsidRDefault="00B40966">
            <w:pPr>
              <w:pStyle w:val="TableText"/>
            </w:pPr>
            <w:r>
              <w:t>Field painting</w:t>
            </w:r>
          </w:p>
        </w:tc>
      </w:tr>
      <w:tr w:rsidR="00B40966">
        <w:trPr>
          <w:cantSplit/>
        </w:trPr>
        <w:tc>
          <w:tcPr>
            <w:tcW w:w="660" w:type="dxa"/>
          </w:tcPr>
          <w:p w:rsidR="00B40966" w:rsidRDefault="00B40966">
            <w:pPr>
              <w:pStyle w:val="TableText"/>
            </w:pPr>
            <w:r>
              <w:t>468</w:t>
            </w:r>
          </w:p>
        </w:tc>
        <w:tc>
          <w:tcPr>
            <w:tcW w:w="3273" w:type="dxa"/>
          </w:tcPr>
          <w:p w:rsidR="00B40966" w:rsidRDefault="00B40966">
            <w:pPr>
              <w:pStyle w:val="TableText"/>
            </w:pPr>
            <w:r>
              <w:t>Rivet edge distance</w:t>
            </w:r>
          </w:p>
        </w:tc>
        <w:tc>
          <w:tcPr>
            <w:tcW w:w="660" w:type="dxa"/>
          </w:tcPr>
          <w:p w:rsidR="00B40966" w:rsidRDefault="00B40966">
            <w:pPr>
              <w:pStyle w:val="TableText"/>
            </w:pPr>
            <w:r>
              <w:t>823</w:t>
            </w:r>
          </w:p>
        </w:tc>
        <w:tc>
          <w:tcPr>
            <w:tcW w:w="3000" w:type="dxa"/>
          </w:tcPr>
          <w:p w:rsidR="00B40966" w:rsidRDefault="00B40966">
            <w:pPr>
              <w:pStyle w:val="TableText"/>
            </w:pPr>
            <w:r>
              <w:t>Painting, general</w:t>
            </w:r>
          </w:p>
        </w:tc>
      </w:tr>
      <w:tr w:rsidR="00B40966">
        <w:trPr>
          <w:cantSplit/>
        </w:trPr>
        <w:tc>
          <w:tcPr>
            <w:tcW w:w="660" w:type="dxa"/>
          </w:tcPr>
          <w:p w:rsidR="00B40966" w:rsidRDefault="00B40966">
            <w:pPr>
              <w:pStyle w:val="TableText"/>
            </w:pPr>
            <w:r>
              <w:t>469</w:t>
            </w:r>
          </w:p>
        </w:tc>
        <w:tc>
          <w:tcPr>
            <w:tcW w:w="3273" w:type="dxa"/>
          </w:tcPr>
          <w:p w:rsidR="00B40966" w:rsidRDefault="00B40966">
            <w:pPr>
              <w:pStyle w:val="TableText"/>
            </w:pPr>
            <w:r>
              <w:t>Rivets through packings</w:t>
            </w:r>
          </w:p>
        </w:tc>
        <w:tc>
          <w:tcPr>
            <w:tcW w:w="660" w:type="dxa"/>
          </w:tcPr>
          <w:p w:rsidR="00B40966" w:rsidRDefault="00B40966">
            <w:pPr>
              <w:pStyle w:val="TableText"/>
            </w:pPr>
            <w:r>
              <w:t>824</w:t>
            </w:r>
          </w:p>
        </w:tc>
        <w:tc>
          <w:tcPr>
            <w:tcW w:w="3000" w:type="dxa"/>
          </w:tcPr>
          <w:p w:rsidR="00B40966" w:rsidRDefault="00B40966">
            <w:pPr>
              <w:pStyle w:val="TableText"/>
            </w:pPr>
            <w:r>
              <w:t>Bright or machined surfaces</w:t>
            </w:r>
          </w:p>
        </w:tc>
      </w:tr>
      <w:tr w:rsidR="00B40966">
        <w:trPr>
          <w:cantSplit/>
        </w:trPr>
        <w:tc>
          <w:tcPr>
            <w:tcW w:w="660" w:type="dxa"/>
          </w:tcPr>
          <w:p w:rsidR="00B40966" w:rsidRDefault="00B40966">
            <w:pPr>
              <w:pStyle w:val="TableText"/>
            </w:pPr>
            <w:r>
              <w:t>470</w:t>
            </w:r>
          </w:p>
        </w:tc>
        <w:tc>
          <w:tcPr>
            <w:tcW w:w="3273" w:type="dxa"/>
          </w:tcPr>
          <w:p w:rsidR="00B40966" w:rsidRDefault="00B40966">
            <w:pPr>
              <w:pStyle w:val="TableText"/>
            </w:pPr>
            <w:r>
              <w:t>Rivets in tension</w:t>
            </w:r>
          </w:p>
        </w:tc>
        <w:tc>
          <w:tcPr>
            <w:tcW w:w="660" w:type="dxa"/>
          </w:tcPr>
          <w:p w:rsidR="00B40966" w:rsidRDefault="00B40966">
            <w:pPr>
              <w:pStyle w:val="TableText"/>
            </w:pPr>
            <w:r>
              <w:t>825</w:t>
            </w:r>
          </w:p>
        </w:tc>
        <w:tc>
          <w:tcPr>
            <w:tcW w:w="3000" w:type="dxa"/>
          </w:tcPr>
          <w:p w:rsidR="00B40966" w:rsidRDefault="00B40966">
            <w:pPr>
              <w:pStyle w:val="TableText"/>
            </w:pPr>
            <w:r>
              <w:t>Surfaces to be concrete protected</w:t>
            </w:r>
          </w:p>
        </w:tc>
      </w:tr>
      <w:tr w:rsidR="00B40966">
        <w:trPr>
          <w:cantSplit/>
        </w:trPr>
        <w:tc>
          <w:tcPr>
            <w:tcW w:w="660" w:type="dxa"/>
          </w:tcPr>
          <w:p w:rsidR="00B40966" w:rsidRDefault="00B40966">
            <w:pPr>
              <w:pStyle w:val="TableText"/>
            </w:pPr>
            <w:r>
              <w:t>471</w:t>
            </w:r>
          </w:p>
        </w:tc>
        <w:tc>
          <w:tcPr>
            <w:tcW w:w="3273" w:type="dxa"/>
          </w:tcPr>
          <w:p w:rsidR="00B40966" w:rsidRDefault="00B40966">
            <w:pPr>
              <w:pStyle w:val="TableText"/>
            </w:pPr>
            <w:r>
              <w:t>Rivet gauge lines</w:t>
            </w:r>
          </w:p>
        </w:tc>
        <w:tc>
          <w:tcPr>
            <w:tcW w:w="660" w:type="dxa"/>
          </w:tcPr>
          <w:p w:rsidR="00B40966" w:rsidRDefault="00B40966">
            <w:pPr>
              <w:pStyle w:val="TableText"/>
            </w:pPr>
            <w:r>
              <w:t>1006</w:t>
            </w:r>
          </w:p>
        </w:tc>
        <w:tc>
          <w:tcPr>
            <w:tcW w:w="3000" w:type="dxa"/>
          </w:tcPr>
          <w:p w:rsidR="00B40966" w:rsidRDefault="00B40966">
            <w:pPr>
              <w:pStyle w:val="TableText"/>
            </w:pPr>
            <w:r>
              <w:t>No passengers on cranes</w:t>
            </w:r>
          </w:p>
        </w:tc>
      </w:tr>
      <w:tr w:rsidR="00B40966">
        <w:trPr>
          <w:cantSplit/>
        </w:trPr>
        <w:tc>
          <w:tcPr>
            <w:tcW w:w="660" w:type="dxa"/>
          </w:tcPr>
          <w:p w:rsidR="00B40966" w:rsidRDefault="00B40966">
            <w:pPr>
              <w:pStyle w:val="TableText"/>
            </w:pPr>
            <w:r>
              <w:t>472</w:t>
            </w:r>
          </w:p>
        </w:tc>
        <w:tc>
          <w:tcPr>
            <w:tcW w:w="3273" w:type="dxa"/>
          </w:tcPr>
          <w:p w:rsidR="00B40966" w:rsidRDefault="00B40966">
            <w:pPr>
              <w:pStyle w:val="TableText"/>
            </w:pPr>
            <w:r>
              <w:t>Rivet effective diameter</w:t>
            </w:r>
          </w:p>
        </w:tc>
        <w:tc>
          <w:tcPr>
            <w:tcW w:w="660" w:type="dxa"/>
          </w:tcPr>
          <w:p w:rsidR="00B40966" w:rsidRDefault="00B40966">
            <w:pPr>
              <w:pStyle w:val="TableText"/>
            </w:pPr>
            <w:r>
              <w:t>1007</w:t>
            </w:r>
          </w:p>
        </w:tc>
        <w:tc>
          <w:tcPr>
            <w:tcW w:w="3000" w:type="dxa"/>
          </w:tcPr>
          <w:p w:rsidR="00B40966" w:rsidRDefault="00B40966">
            <w:pPr>
              <w:pStyle w:val="TableText"/>
            </w:pPr>
            <w:r>
              <w:t>Cabin, location, size, etc</w:t>
            </w:r>
          </w:p>
        </w:tc>
      </w:tr>
      <w:tr w:rsidR="00B40966">
        <w:trPr>
          <w:cantSplit/>
        </w:trPr>
        <w:tc>
          <w:tcPr>
            <w:tcW w:w="660" w:type="dxa"/>
          </w:tcPr>
          <w:p w:rsidR="00B40966" w:rsidRDefault="00B40966">
            <w:pPr>
              <w:pStyle w:val="TableText"/>
            </w:pPr>
            <w:r>
              <w:t>473</w:t>
            </w:r>
          </w:p>
        </w:tc>
        <w:tc>
          <w:tcPr>
            <w:tcW w:w="3273" w:type="dxa"/>
          </w:tcPr>
          <w:p w:rsidR="00B40966" w:rsidRDefault="00B40966">
            <w:pPr>
              <w:pStyle w:val="TableText"/>
            </w:pPr>
            <w:r>
              <w:t>Drainholes to prevent corrosion</w:t>
            </w:r>
          </w:p>
        </w:tc>
        <w:tc>
          <w:tcPr>
            <w:tcW w:w="660" w:type="dxa"/>
          </w:tcPr>
          <w:p w:rsidR="00B40966" w:rsidRDefault="00B40966">
            <w:pPr>
              <w:pStyle w:val="TableText"/>
            </w:pPr>
            <w:r>
              <w:t>1008</w:t>
            </w:r>
          </w:p>
        </w:tc>
        <w:tc>
          <w:tcPr>
            <w:tcW w:w="3000" w:type="dxa"/>
          </w:tcPr>
          <w:p w:rsidR="00B40966" w:rsidRDefault="00B40966">
            <w:pPr>
              <w:pStyle w:val="TableText"/>
            </w:pPr>
            <w:r>
              <w:t>Warning devices</w:t>
            </w:r>
          </w:p>
        </w:tc>
      </w:tr>
      <w:tr w:rsidR="00B40966">
        <w:trPr>
          <w:cantSplit/>
        </w:trPr>
        <w:tc>
          <w:tcPr>
            <w:tcW w:w="660" w:type="dxa"/>
          </w:tcPr>
          <w:p w:rsidR="00B40966" w:rsidRDefault="00B40966">
            <w:pPr>
              <w:pStyle w:val="TableText"/>
            </w:pPr>
            <w:r>
              <w:t>474</w:t>
            </w:r>
          </w:p>
        </w:tc>
        <w:tc>
          <w:tcPr>
            <w:tcW w:w="3273" w:type="dxa"/>
          </w:tcPr>
          <w:p w:rsidR="00B40966" w:rsidRDefault="00B40966">
            <w:pPr>
              <w:pStyle w:val="TableText"/>
            </w:pPr>
            <w:r>
              <w:t>Brickwork bearing pressures</w:t>
            </w:r>
          </w:p>
        </w:tc>
        <w:tc>
          <w:tcPr>
            <w:tcW w:w="660" w:type="dxa"/>
          </w:tcPr>
          <w:p w:rsidR="00B40966" w:rsidRDefault="00B40966">
            <w:pPr>
              <w:pStyle w:val="TableText"/>
            </w:pPr>
            <w:r>
              <w:t>1009</w:t>
            </w:r>
          </w:p>
        </w:tc>
        <w:tc>
          <w:tcPr>
            <w:tcW w:w="3000" w:type="dxa"/>
          </w:tcPr>
          <w:p w:rsidR="00B40966" w:rsidRDefault="00B40966">
            <w:pPr>
              <w:pStyle w:val="TableText"/>
            </w:pPr>
            <w:r>
              <w:t>Cabin protection in hot places</w:t>
            </w:r>
          </w:p>
        </w:tc>
      </w:tr>
      <w:tr w:rsidR="00B40966">
        <w:trPr>
          <w:cantSplit/>
        </w:trPr>
        <w:tc>
          <w:tcPr>
            <w:tcW w:w="660" w:type="dxa"/>
          </w:tcPr>
          <w:p w:rsidR="00B40966" w:rsidRDefault="00B40966">
            <w:pPr>
              <w:pStyle w:val="TableText"/>
            </w:pPr>
            <w:r>
              <w:t>475</w:t>
            </w:r>
          </w:p>
        </w:tc>
        <w:tc>
          <w:tcPr>
            <w:tcW w:w="3273" w:type="dxa"/>
          </w:tcPr>
          <w:p w:rsidR="00B40966" w:rsidRDefault="00B40966">
            <w:pPr>
              <w:pStyle w:val="TableText"/>
            </w:pPr>
            <w:r>
              <w:t>Concrete bearing pressures</w:t>
            </w:r>
          </w:p>
        </w:tc>
        <w:tc>
          <w:tcPr>
            <w:tcW w:w="660" w:type="dxa"/>
          </w:tcPr>
          <w:p w:rsidR="00B40966" w:rsidRDefault="00B40966">
            <w:pPr>
              <w:pStyle w:val="TableText"/>
            </w:pPr>
            <w:r>
              <w:t>1121</w:t>
            </w:r>
          </w:p>
        </w:tc>
        <w:tc>
          <w:tcPr>
            <w:tcW w:w="3000" w:type="dxa"/>
          </w:tcPr>
          <w:p w:rsidR="00B40966" w:rsidRDefault="00B40966">
            <w:pPr>
              <w:pStyle w:val="TableText"/>
            </w:pPr>
            <w:r>
              <w:t>Driver, duties on leaving cabin</w:t>
            </w:r>
          </w:p>
        </w:tc>
      </w:tr>
      <w:tr w:rsidR="00B40966">
        <w:trPr>
          <w:cantSplit/>
        </w:trPr>
        <w:tc>
          <w:tcPr>
            <w:tcW w:w="660" w:type="dxa"/>
          </w:tcPr>
          <w:p w:rsidR="00B40966" w:rsidRDefault="00B40966">
            <w:pPr>
              <w:pStyle w:val="TableText"/>
            </w:pPr>
            <w:r>
              <w:t>476</w:t>
            </w:r>
          </w:p>
        </w:tc>
        <w:tc>
          <w:tcPr>
            <w:tcW w:w="3273" w:type="dxa"/>
          </w:tcPr>
          <w:p w:rsidR="00B40966" w:rsidRDefault="00B40966">
            <w:pPr>
              <w:pStyle w:val="TableText"/>
            </w:pPr>
            <w:r>
              <w:t>Pier tops</w:t>
            </w:r>
          </w:p>
        </w:tc>
        <w:tc>
          <w:tcPr>
            <w:tcW w:w="660" w:type="dxa"/>
          </w:tcPr>
          <w:p w:rsidR="00B40966" w:rsidRDefault="00B40966">
            <w:pPr>
              <w:pStyle w:val="TableText"/>
            </w:pPr>
            <w:r>
              <w:t>1122</w:t>
            </w:r>
          </w:p>
        </w:tc>
        <w:tc>
          <w:tcPr>
            <w:tcW w:w="3000" w:type="dxa"/>
          </w:tcPr>
          <w:p w:rsidR="00B40966" w:rsidRDefault="00B40966">
            <w:pPr>
              <w:pStyle w:val="TableText"/>
            </w:pPr>
            <w:r>
              <w:t>Driver must lock crane against wind</w:t>
            </w:r>
          </w:p>
        </w:tc>
      </w:tr>
      <w:tr w:rsidR="00B40966">
        <w:trPr>
          <w:cantSplit/>
        </w:trPr>
        <w:tc>
          <w:tcPr>
            <w:tcW w:w="660" w:type="dxa"/>
          </w:tcPr>
          <w:p w:rsidR="00B40966" w:rsidRDefault="00B40966">
            <w:pPr>
              <w:pStyle w:val="TableText"/>
            </w:pPr>
            <w:r>
              <w:t>477</w:t>
            </w:r>
          </w:p>
        </w:tc>
        <w:tc>
          <w:tcPr>
            <w:tcW w:w="3273" w:type="dxa"/>
          </w:tcPr>
          <w:p w:rsidR="00B40966" w:rsidRDefault="00B40966">
            <w:pPr>
              <w:pStyle w:val="TableText"/>
            </w:pPr>
            <w:r>
              <w:t>Bearing pressures, eccentric</w:t>
            </w:r>
          </w:p>
        </w:tc>
        <w:tc>
          <w:tcPr>
            <w:tcW w:w="660" w:type="dxa"/>
          </w:tcPr>
          <w:p w:rsidR="00B40966" w:rsidRDefault="00B40966">
            <w:pPr>
              <w:pStyle w:val="TableText"/>
            </w:pPr>
            <w:r>
              <w:t>1301</w:t>
            </w:r>
          </w:p>
        </w:tc>
        <w:tc>
          <w:tcPr>
            <w:tcW w:w="3000" w:type="dxa"/>
          </w:tcPr>
          <w:p w:rsidR="00B40966" w:rsidRDefault="00B40966">
            <w:pPr>
              <w:pStyle w:val="TableText"/>
            </w:pPr>
            <w:r>
              <w:t>Repair authorisation</w:t>
            </w:r>
          </w:p>
        </w:tc>
      </w:tr>
      <w:tr w:rsidR="00B40966">
        <w:trPr>
          <w:cantSplit/>
        </w:trPr>
        <w:tc>
          <w:tcPr>
            <w:tcW w:w="660" w:type="dxa"/>
          </w:tcPr>
          <w:p w:rsidR="00B40966" w:rsidRDefault="00B40966">
            <w:pPr>
              <w:pStyle w:val="TableText"/>
            </w:pPr>
            <w:r>
              <w:t>478</w:t>
            </w:r>
          </w:p>
        </w:tc>
        <w:tc>
          <w:tcPr>
            <w:tcW w:w="3273" w:type="dxa"/>
          </w:tcPr>
          <w:p w:rsidR="00B40966" w:rsidRDefault="00B40966">
            <w:pPr>
              <w:pStyle w:val="TableText"/>
            </w:pPr>
            <w:r>
              <w:t>Piles</w:t>
            </w:r>
          </w:p>
        </w:tc>
        <w:tc>
          <w:tcPr>
            <w:tcW w:w="660" w:type="dxa"/>
          </w:tcPr>
          <w:p w:rsidR="00B40966" w:rsidRDefault="00B40966">
            <w:pPr>
              <w:pStyle w:val="TableText"/>
            </w:pPr>
            <w:r>
              <w:t>1302</w:t>
            </w:r>
          </w:p>
        </w:tc>
        <w:tc>
          <w:tcPr>
            <w:tcW w:w="3000" w:type="dxa"/>
          </w:tcPr>
          <w:p w:rsidR="00B40966" w:rsidRDefault="00B40966">
            <w:pPr>
              <w:pStyle w:val="TableText"/>
            </w:pPr>
            <w:r>
              <w:t>Repair man, duties before repair</w:t>
            </w:r>
          </w:p>
        </w:tc>
      </w:tr>
      <w:tr w:rsidR="00B40966">
        <w:trPr>
          <w:cantSplit/>
        </w:trPr>
        <w:tc>
          <w:tcPr>
            <w:tcW w:w="660" w:type="dxa"/>
          </w:tcPr>
          <w:p w:rsidR="00B40966" w:rsidRDefault="00B40966">
            <w:pPr>
              <w:pStyle w:val="TableText"/>
            </w:pPr>
            <w:r>
              <w:t>479</w:t>
            </w:r>
          </w:p>
        </w:tc>
        <w:tc>
          <w:tcPr>
            <w:tcW w:w="3273" w:type="dxa"/>
          </w:tcPr>
          <w:p w:rsidR="00B40966" w:rsidRDefault="00B40966">
            <w:pPr>
              <w:pStyle w:val="TableText"/>
            </w:pPr>
            <w:r>
              <w:t>Foundations (bearing pressures)</w:t>
            </w:r>
          </w:p>
        </w:tc>
        <w:tc>
          <w:tcPr>
            <w:tcW w:w="660" w:type="dxa"/>
          </w:tcPr>
          <w:p w:rsidR="00B40966" w:rsidRDefault="00B40966">
            <w:pPr>
              <w:pStyle w:val="TableText"/>
            </w:pPr>
            <w:r>
              <w:t>1303</w:t>
            </w:r>
          </w:p>
        </w:tc>
        <w:tc>
          <w:tcPr>
            <w:tcW w:w="3000" w:type="dxa"/>
          </w:tcPr>
          <w:p w:rsidR="00B40966" w:rsidRDefault="00B40966">
            <w:pPr>
              <w:pStyle w:val="TableText"/>
            </w:pPr>
            <w:r>
              <w:t>Repair man, to prevent parts falling</w:t>
            </w:r>
          </w:p>
        </w:tc>
      </w:tr>
      <w:tr w:rsidR="00B40966">
        <w:trPr>
          <w:cantSplit/>
        </w:trPr>
        <w:tc>
          <w:tcPr>
            <w:tcW w:w="660" w:type="dxa"/>
            <w:tcBorders>
              <w:bottom w:val="single" w:sz="6" w:space="0" w:color="auto"/>
            </w:tcBorders>
          </w:tcPr>
          <w:p w:rsidR="00B40966" w:rsidRDefault="00B40966">
            <w:pPr>
              <w:pStyle w:val="TableText"/>
            </w:pPr>
            <w:r>
              <w:t>480</w:t>
            </w:r>
          </w:p>
        </w:tc>
        <w:tc>
          <w:tcPr>
            <w:tcW w:w="3273" w:type="dxa"/>
            <w:tcBorders>
              <w:bottom w:val="single" w:sz="6" w:space="0" w:color="auto"/>
            </w:tcBorders>
          </w:tcPr>
          <w:p w:rsidR="00B40966" w:rsidRDefault="00B40966">
            <w:pPr>
              <w:pStyle w:val="TableText"/>
            </w:pPr>
            <w:r>
              <w:t>Track rail sizes</w:t>
            </w:r>
          </w:p>
        </w:tc>
        <w:tc>
          <w:tcPr>
            <w:tcW w:w="660" w:type="dxa"/>
            <w:tcBorders>
              <w:bottom w:val="single" w:sz="6" w:space="0" w:color="auto"/>
            </w:tcBorders>
          </w:tcPr>
          <w:p w:rsidR="00B40966" w:rsidRDefault="00B40966">
            <w:pPr>
              <w:pStyle w:val="TableText"/>
            </w:pPr>
          </w:p>
        </w:tc>
        <w:tc>
          <w:tcPr>
            <w:tcW w:w="3000" w:type="dxa"/>
            <w:tcBorders>
              <w:bottom w:val="single" w:sz="6" w:space="0" w:color="auto"/>
            </w:tcBorders>
          </w:tcPr>
          <w:p w:rsidR="00B40966" w:rsidRDefault="00B40966">
            <w:pPr>
              <w:pStyle w:val="TableText"/>
            </w:pPr>
          </w:p>
        </w:tc>
      </w:tr>
    </w:tbl>
    <w:p w:rsidR="00B40966" w:rsidRDefault="00B40966">
      <w:pPr>
        <w:pStyle w:val="Amain"/>
        <w:ind w:left="798" w:hanging="399"/>
        <w:rPr>
          <w:color w:val="000000"/>
          <w:sz w:val="20"/>
        </w:rPr>
      </w:pPr>
      <w:r>
        <w:rPr>
          <w:color w:val="000000"/>
          <w:sz w:val="20"/>
        </w:rPr>
        <w:t>*</w:t>
      </w:r>
      <w:r>
        <w:rPr>
          <w:color w:val="000000"/>
          <w:sz w:val="20"/>
        </w:rPr>
        <w:tab/>
        <w:t>It shall not be necessary to conform with rule 430, par 2.</w:t>
      </w:r>
    </w:p>
    <w:p w:rsidR="00B40966" w:rsidRDefault="00B40966"/>
    <w:p w:rsidR="00B40966" w:rsidRDefault="00B40966">
      <w:pPr>
        <w:pStyle w:val="Amain"/>
        <w:tabs>
          <w:tab w:val="clear" w:pos="900"/>
          <w:tab w:val="left" w:pos="360"/>
        </w:tabs>
      </w:pPr>
      <w:r>
        <w:rPr>
          <w:color w:val="000000"/>
        </w:rPr>
        <w:tab/>
        <w:t>(174)</w:t>
      </w:r>
      <w:r>
        <w:rPr>
          <w:color w:val="000000"/>
        </w:rPr>
        <w:tab/>
        <w:t>Earth, clay, shale, sand, grit, powders, chippings, borings, spalls, punchings, clippings, swarf, offcuts or other aggregates or liquids shall not be used as counter or other balance, bias or operating weights unless encased in accordance with a design first submitted to and approved by the chief inspector.</w:t>
      </w:r>
    </w:p>
    <w:p w:rsidR="00B40966" w:rsidRDefault="00B40966">
      <w:pPr>
        <w:pStyle w:val="Amain"/>
        <w:rPr>
          <w:color w:val="000000"/>
        </w:rPr>
      </w:pPr>
      <w:r>
        <w:rPr>
          <w:color w:val="000000"/>
        </w:rPr>
        <w:tab/>
        <w:t>(175)</w:t>
      </w:r>
      <w:r>
        <w:rPr>
          <w:color w:val="000000"/>
        </w:rPr>
        <w:tab/>
        <w:t>Every portable counter, bias, balance or operating weight shall have permanently, clearly and distinctly stamped, engraved or embossed on them, its correct weight in pounds.</w:t>
      </w:r>
    </w:p>
    <w:p w:rsidR="00B40966" w:rsidRDefault="00B40966">
      <w:pPr>
        <w:pStyle w:val="Amain"/>
        <w:rPr>
          <w:color w:val="000000"/>
        </w:rPr>
      </w:pPr>
      <w:r>
        <w:rPr>
          <w:color w:val="000000"/>
        </w:rPr>
        <w:tab/>
        <w:t>(176)</w:t>
      </w:r>
      <w:r>
        <w:rPr>
          <w:color w:val="000000"/>
        </w:rPr>
        <w:tab/>
        <w:t>If a weight consists of detachable or demountable sections, each section shall be so marked with its own individual weight, only.</w:t>
      </w:r>
    </w:p>
    <w:p w:rsidR="00B40966" w:rsidRDefault="00B40966">
      <w:pPr>
        <w:pStyle w:val="Amain"/>
        <w:rPr>
          <w:color w:val="000000"/>
        </w:rPr>
      </w:pPr>
      <w:r>
        <w:rPr>
          <w:color w:val="000000"/>
        </w:rPr>
        <w:tab/>
        <w:t>(177)</w:t>
      </w:r>
      <w:r>
        <w:rPr>
          <w:color w:val="000000"/>
        </w:rPr>
        <w:tab/>
        <w:t xml:space="preserve">The figures and letters used in marking weights shall not be less than </w:t>
      </w:r>
      <w:r>
        <w:rPr>
          <w:color w:val="000000"/>
          <w:position w:val="6"/>
          <w:sz w:val="18"/>
        </w:rPr>
        <w:t>1</w:t>
      </w:r>
      <w:r>
        <w:rPr>
          <w:color w:val="000000"/>
        </w:rPr>
        <w:t>/</w:t>
      </w:r>
      <w:r>
        <w:rPr>
          <w:color w:val="000000"/>
          <w:sz w:val="18"/>
        </w:rPr>
        <w:t>2</w:t>
      </w:r>
      <w:r>
        <w:rPr>
          <w:color w:val="000000"/>
        </w:rPr>
        <w:t xml:space="preserve"> an inch in depth.</w:t>
      </w:r>
    </w:p>
    <w:p w:rsidR="00B40966" w:rsidRDefault="00B40966">
      <w:pPr>
        <w:pStyle w:val="Amain"/>
      </w:pPr>
      <w:r>
        <w:rPr>
          <w:color w:val="000000"/>
        </w:rPr>
        <w:tab/>
        <w:t>(178)</w:t>
      </w:r>
      <w:r>
        <w:rPr>
          <w:color w:val="000000"/>
        </w:rPr>
        <w:tab/>
        <w:t>No figures other than those stating the weight as mentioned in subsections (175) to (177) shall be marked on any portable weight.</w:t>
      </w:r>
    </w:p>
    <w:p w:rsidR="00B40966" w:rsidRDefault="00B40966">
      <w:pPr>
        <w:pStyle w:val="Amain"/>
        <w:rPr>
          <w:color w:val="000000"/>
        </w:rPr>
      </w:pPr>
      <w:r>
        <w:rPr>
          <w:color w:val="000000"/>
        </w:rPr>
        <w:tab/>
        <w:t>(179)</w:t>
      </w:r>
      <w:r>
        <w:rPr>
          <w:color w:val="000000"/>
        </w:rPr>
        <w:tab/>
        <w:t>Live counter, bias, balance or operating weights that are not of metal shall be encased, framed, or otherwise protected or fenced in a way approved by the chief inspector.</w:t>
      </w:r>
    </w:p>
    <w:p w:rsidR="00B40966" w:rsidRDefault="00B40966">
      <w:pPr>
        <w:pStyle w:val="Amain"/>
      </w:pPr>
      <w:r>
        <w:rPr>
          <w:color w:val="000000"/>
        </w:rPr>
        <w:tab/>
        <w:t>(180)</w:t>
      </w:r>
      <w:r>
        <w:rPr>
          <w:color w:val="000000"/>
        </w:rPr>
        <w:tab/>
        <w:t>The chief inspector may, if the chief inspector considers appropriate, disallow the use of any such material or the chief inspector may require the use of an appropriate metal instead of it.</w:t>
      </w:r>
    </w:p>
    <w:p w:rsidR="00B40966" w:rsidRDefault="00B40966">
      <w:pPr>
        <w:pStyle w:val="Amain"/>
      </w:pPr>
      <w:r>
        <w:rPr>
          <w:color w:val="000000"/>
        </w:rPr>
        <w:tab/>
        <w:t>(181)</w:t>
      </w:r>
      <w:r>
        <w:rPr>
          <w:color w:val="000000"/>
        </w:rPr>
        <w:tab/>
        <w:t xml:space="preserve">If a portable counter, bias, balance or operating weight has a permanent handle, the handle shall be of round section mild steel of not less than </w:t>
      </w:r>
      <w:r>
        <w:rPr>
          <w:color w:val="000000"/>
          <w:position w:val="6"/>
          <w:sz w:val="18"/>
        </w:rPr>
        <w:t>5</w:t>
      </w:r>
      <w:r>
        <w:rPr>
          <w:color w:val="000000"/>
        </w:rPr>
        <w:t>/</w:t>
      </w:r>
      <w:r>
        <w:rPr>
          <w:color w:val="000000"/>
          <w:sz w:val="18"/>
        </w:rPr>
        <w:t>8</w:t>
      </w:r>
      <w:r>
        <w:rPr>
          <w:color w:val="000000"/>
        </w:rPr>
        <w:t xml:space="preserve"> of an inch in diameter and shall be so devised as to eliminate all corners, vees, or other features that might damage lashings or other ropes used in connection with it.</w:t>
      </w:r>
    </w:p>
    <w:p w:rsidR="00B40966" w:rsidRDefault="00B40966">
      <w:pPr>
        <w:pStyle w:val="Amain"/>
      </w:pPr>
      <w:r>
        <w:rPr>
          <w:color w:val="000000"/>
        </w:rPr>
        <w:tab/>
        <w:t>(182)</w:t>
      </w:r>
      <w:r>
        <w:rPr>
          <w:color w:val="000000"/>
        </w:rPr>
        <w:tab/>
        <w:t>Drawings of all portable counter, bias, balance or operating weights that are of concrete, stone or encased materials shall be submitted to the chief inspector for approval before manufacture and the weights shall not be used unless manufactured in accordance with an approved design.</w:t>
      </w:r>
    </w:p>
    <w:p w:rsidR="00B40966" w:rsidRDefault="00B40966">
      <w:pPr>
        <w:pStyle w:val="Amain"/>
        <w:rPr>
          <w:color w:val="000000"/>
        </w:rPr>
      </w:pPr>
      <w:r>
        <w:rPr>
          <w:color w:val="000000"/>
        </w:rPr>
        <w:tab/>
        <w:t>(183)</w:t>
      </w:r>
      <w:r>
        <w:rPr>
          <w:color w:val="000000"/>
        </w:rPr>
        <w:tab/>
        <w:t xml:space="preserve">The thickness of a brake band shall not exceed </w:t>
      </w:r>
      <w:r>
        <w:rPr>
          <w:color w:val="000000"/>
          <w:position w:val="6"/>
          <w:sz w:val="18"/>
        </w:rPr>
        <w:t>1</w:t>
      </w:r>
      <w:r>
        <w:rPr>
          <w:color w:val="000000"/>
        </w:rPr>
        <w:t>/</w:t>
      </w:r>
      <w:r>
        <w:rPr>
          <w:color w:val="000000"/>
          <w:sz w:val="18"/>
        </w:rPr>
        <w:t>125</w:t>
      </w:r>
      <w:r>
        <w:rPr>
          <w:color w:val="000000"/>
        </w:rPr>
        <w:t xml:space="preserve"> part of the diameter of the drum on which it wraps.</w:t>
      </w:r>
    </w:p>
    <w:p w:rsidR="00B40966" w:rsidRDefault="00B40966">
      <w:pPr>
        <w:pStyle w:val="Amain"/>
      </w:pPr>
      <w:r>
        <w:rPr>
          <w:color w:val="000000"/>
        </w:rPr>
        <w:tab/>
        <w:t>(184)</w:t>
      </w:r>
      <w:r>
        <w:rPr>
          <w:color w:val="000000"/>
        </w:rPr>
        <w:tab/>
        <w:t xml:space="preserve">However, no brake band shall exceed </w:t>
      </w:r>
      <w:r>
        <w:rPr>
          <w:color w:val="000000"/>
          <w:position w:val="6"/>
          <w:sz w:val="18"/>
        </w:rPr>
        <w:t>1</w:t>
      </w:r>
      <w:r>
        <w:rPr>
          <w:color w:val="000000"/>
        </w:rPr>
        <w:t>/</w:t>
      </w:r>
      <w:r>
        <w:rPr>
          <w:color w:val="000000"/>
          <w:sz w:val="18"/>
        </w:rPr>
        <w:t>2</w:t>
      </w:r>
      <w:r>
        <w:rPr>
          <w:color w:val="000000"/>
        </w:rPr>
        <w:t xml:space="preserve"> an inch in thickness.</w:t>
      </w:r>
    </w:p>
    <w:p w:rsidR="00B40966" w:rsidRDefault="00B40966">
      <w:pPr>
        <w:pStyle w:val="Amain"/>
      </w:pPr>
      <w:r>
        <w:rPr>
          <w:color w:val="000000"/>
        </w:rPr>
        <w:tab/>
        <w:t>(185)</w:t>
      </w:r>
      <w:r>
        <w:rPr>
          <w:color w:val="000000"/>
        </w:rPr>
        <w:tab/>
        <w:t xml:space="preserve">No transverse fillet weld shall be made on any brake band. </w:t>
      </w:r>
    </w:p>
    <w:p w:rsidR="00B40966" w:rsidRDefault="00B40966">
      <w:pPr>
        <w:pStyle w:val="Amain"/>
      </w:pPr>
      <w:r>
        <w:rPr>
          <w:color w:val="000000"/>
        </w:rPr>
        <w:tab/>
        <w:t>(186)</w:t>
      </w:r>
      <w:r>
        <w:rPr>
          <w:color w:val="000000"/>
        </w:rPr>
        <w:tab/>
        <w:t>Single rivets or single bolts shall not be used to connect end fittings to brake bands, or to make joints in brake bands.</w:t>
      </w:r>
    </w:p>
    <w:p w:rsidR="00B40966" w:rsidRDefault="00B40966">
      <w:pPr>
        <w:pStyle w:val="Amain"/>
      </w:pPr>
      <w:r>
        <w:rPr>
          <w:color w:val="000000"/>
        </w:rPr>
        <w:tab/>
        <w:t>(187)</w:t>
      </w:r>
      <w:r>
        <w:rPr>
          <w:color w:val="000000"/>
        </w:rPr>
        <w:tab/>
        <w:t>If there is more than 1 row of rivet or other holes in a brake band, the least distance measured obliquely between any hole and the nearest hole that is in another transverse row shall not be less than </w:t>
      </w:r>
      <w:r>
        <w:rPr>
          <w:color w:val="000000"/>
          <w:position w:val="6"/>
          <w:sz w:val="18"/>
        </w:rPr>
        <w:t>2</w:t>
      </w:r>
      <w:r>
        <w:rPr>
          <w:color w:val="000000"/>
        </w:rPr>
        <w:t>/</w:t>
      </w:r>
      <w:r>
        <w:rPr>
          <w:color w:val="000000"/>
          <w:sz w:val="18"/>
        </w:rPr>
        <w:t>3</w:t>
      </w:r>
      <w:r>
        <w:rPr>
          <w:color w:val="000000"/>
        </w:rPr>
        <w:t xml:space="preserve"> of the minimum distance between adjacent holes in any transverse row.</w:t>
      </w:r>
    </w:p>
    <w:p w:rsidR="00B40966" w:rsidRDefault="00B40966">
      <w:pPr>
        <w:pStyle w:val="Amain"/>
        <w:rPr>
          <w:color w:val="000000"/>
        </w:rPr>
      </w:pPr>
      <w:r>
        <w:rPr>
          <w:color w:val="000000"/>
        </w:rPr>
        <w:tab/>
        <w:t>(188)</w:t>
      </w:r>
      <w:r>
        <w:rPr>
          <w:color w:val="000000"/>
        </w:rPr>
        <w:tab/>
        <w:t>If brake shoes or brake linings are of timber, only selected timbers of approved types shall be used.</w:t>
      </w:r>
    </w:p>
    <w:p w:rsidR="00B40966" w:rsidRDefault="00B40966">
      <w:pPr>
        <w:pStyle w:val="Amain"/>
      </w:pPr>
      <w:r>
        <w:rPr>
          <w:color w:val="000000"/>
        </w:rPr>
        <w:tab/>
        <w:t>(189)</w:t>
      </w:r>
      <w:r>
        <w:rPr>
          <w:color w:val="000000"/>
        </w:rPr>
        <w:tab/>
        <w:t>They shall be fastened in place in an approved way.</w:t>
      </w:r>
    </w:p>
    <w:p w:rsidR="00B40966" w:rsidRDefault="00B40966">
      <w:pPr>
        <w:pStyle w:val="Amain"/>
        <w:rPr>
          <w:color w:val="000000"/>
        </w:rPr>
      </w:pPr>
      <w:r>
        <w:rPr>
          <w:color w:val="000000"/>
        </w:rPr>
        <w:tab/>
        <w:t>(190)</w:t>
      </w:r>
      <w:r>
        <w:rPr>
          <w:color w:val="000000"/>
        </w:rPr>
        <w:tab/>
        <w:t>The depth of flanges of break drums, measured radially above braking surfaces, shall not be less than twice the combined thickness of brake band and brake lining.</w:t>
      </w:r>
    </w:p>
    <w:p w:rsidR="00B40966" w:rsidRDefault="00B40966">
      <w:pPr>
        <w:pStyle w:val="Amain"/>
      </w:pPr>
      <w:r>
        <w:rPr>
          <w:color w:val="000000"/>
        </w:rPr>
        <w:tab/>
        <w:t>(191)</w:t>
      </w:r>
      <w:r>
        <w:rPr>
          <w:color w:val="000000"/>
        </w:rPr>
        <w:tab/>
        <w:t xml:space="preserve">If the lining consists of wooden blocks, it may for the purpose of fixing flange depths, be deemed to be </w:t>
      </w:r>
      <w:r>
        <w:rPr>
          <w:color w:val="000000"/>
          <w:position w:val="6"/>
          <w:sz w:val="18"/>
        </w:rPr>
        <w:t>1</w:t>
      </w:r>
      <w:r>
        <w:rPr>
          <w:color w:val="000000"/>
        </w:rPr>
        <w:t>/</w:t>
      </w:r>
      <w:r>
        <w:rPr>
          <w:color w:val="000000"/>
          <w:sz w:val="18"/>
        </w:rPr>
        <w:t>4</w:t>
      </w:r>
      <w:r>
        <w:rPr>
          <w:color w:val="000000"/>
        </w:rPr>
        <w:t xml:space="preserve"> of an inch in thickness.</w:t>
      </w:r>
    </w:p>
    <w:p w:rsidR="00B40966" w:rsidRDefault="00B40966">
      <w:pPr>
        <w:pStyle w:val="Amain"/>
        <w:rPr>
          <w:color w:val="000000"/>
        </w:rPr>
      </w:pPr>
      <w:r>
        <w:rPr>
          <w:color w:val="000000"/>
        </w:rPr>
        <w:tab/>
        <w:t>(192)</w:t>
      </w:r>
      <w:r>
        <w:rPr>
          <w:color w:val="000000"/>
        </w:rPr>
        <w:tab/>
        <w:t>U-clips attached to brake bands to prevent their lateral displacement from break drums, shall overlap the edges of the drums by a distance at least equal to 3 times the combined thickness of brake band and lining.</w:t>
      </w:r>
    </w:p>
    <w:p w:rsidR="00B40966" w:rsidRDefault="00B40966">
      <w:pPr>
        <w:pStyle w:val="Amain"/>
      </w:pPr>
      <w:r>
        <w:rPr>
          <w:color w:val="000000"/>
        </w:rPr>
        <w:tab/>
        <w:t>(193)</w:t>
      </w:r>
      <w:r>
        <w:rPr>
          <w:color w:val="000000"/>
        </w:rPr>
        <w:tab/>
        <w:t xml:space="preserve">If the lining consists of wooden blocks, it may, for the purpose of fixing the overlap, be deemed to be </w:t>
      </w:r>
      <w:r>
        <w:rPr>
          <w:color w:val="000000"/>
          <w:position w:val="6"/>
          <w:sz w:val="18"/>
        </w:rPr>
        <w:t>1</w:t>
      </w:r>
      <w:r>
        <w:rPr>
          <w:color w:val="000000"/>
        </w:rPr>
        <w:t>/</w:t>
      </w:r>
      <w:r>
        <w:rPr>
          <w:color w:val="000000"/>
          <w:sz w:val="18"/>
        </w:rPr>
        <w:t>4</w:t>
      </w:r>
      <w:r>
        <w:rPr>
          <w:color w:val="000000"/>
        </w:rPr>
        <w:t xml:space="preserve"> of an inch in thickness.</w:t>
      </w:r>
    </w:p>
    <w:p w:rsidR="00B40966" w:rsidRDefault="00B40966">
      <w:pPr>
        <w:pStyle w:val="Amain"/>
      </w:pPr>
      <w:r>
        <w:rPr>
          <w:color w:val="000000"/>
        </w:rPr>
        <w:tab/>
        <w:t>(194)</w:t>
      </w:r>
      <w:r>
        <w:rPr>
          <w:color w:val="000000"/>
        </w:rPr>
        <w:tab/>
        <w:t>Aluminium rivets or pegs shall not be used to secure brake linings.</w:t>
      </w:r>
    </w:p>
    <w:p w:rsidR="00B40966" w:rsidRDefault="00B40966">
      <w:pPr>
        <w:pStyle w:val="Amain"/>
      </w:pPr>
      <w:r>
        <w:rPr>
          <w:color w:val="000000"/>
        </w:rPr>
        <w:tab/>
        <w:t>(195)</w:t>
      </w:r>
      <w:r>
        <w:rPr>
          <w:color w:val="000000"/>
        </w:rPr>
        <w:tab/>
        <w:t xml:space="preserve">Brake linings of metal, except approved sintered metal, shall not be used. </w:t>
      </w:r>
    </w:p>
    <w:p w:rsidR="00B40966" w:rsidRDefault="00B40966">
      <w:pPr>
        <w:pStyle w:val="Amain"/>
      </w:pPr>
      <w:r>
        <w:rPr>
          <w:color w:val="000000"/>
        </w:rPr>
        <w:tab/>
        <w:t>(196)</w:t>
      </w:r>
      <w:r>
        <w:rPr>
          <w:color w:val="000000"/>
        </w:rPr>
        <w:tab/>
        <w:t>The linings of brake bands shall extend at least to the edges of the bands to which they attach.</w:t>
      </w:r>
    </w:p>
    <w:p w:rsidR="00B40966" w:rsidRDefault="00B40966">
      <w:pPr>
        <w:pStyle w:val="Amain"/>
      </w:pPr>
      <w:r>
        <w:rPr>
          <w:color w:val="000000"/>
        </w:rPr>
        <w:tab/>
        <w:t>(197)</w:t>
      </w:r>
      <w:r>
        <w:rPr>
          <w:color w:val="000000"/>
        </w:rPr>
        <w:tab/>
        <w:t>The edges of brake bands, and brake linings, shall be cleanly finished and smooth.</w:t>
      </w:r>
    </w:p>
    <w:p w:rsidR="00B40966" w:rsidRDefault="00B40966">
      <w:pPr>
        <w:pStyle w:val="Amain"/>
      </w:pPr>
      <w:r>
        <w:rPr>
          <w:color w:val="000000"/>
        </w:rPr>
        <w:tab/>
        <w:t>(198)</w:t>
      </w:r>
      <w:r>
        <w:rPr>
          <w:color w:val="000000"/>
        </w:rPr>
        <w:tab/>
        <w:t>Leather or combustible fabric brake bands may be used only if specifically approved.</w:t>
      </w:r>
    </w:p>
    <w:p w:rsidR="00B40966" w:rsidRDefault="00B40966">
      <w:pPr>
        <w:pStyle w:val="Amain"/>
      </w:pPr>
      <w:r>
        <w:rPr>
          <w:color w:val="000000"/>
        </w:rPr>
        <w:tab/>
        <w:t>(199)</w:t>
      </w:r>
      <w:r>
        <w:rPr>
          <w:color w:val="000000"/>
        </w:rPr>
        <w:tab/>
        <w:t>Closing weights used in solenoid brakes shall not move through a total distance greater than 3 inches unless effectively cushioned to eliminate hammering and impact effects.</w:t>
      </w:r>
    </w:p>
    <w:p w:rsidR="00B40966" w:rsidRDefault="00B40966">
      <w:pPr>
        <w:pStyle w:val="Amain"/>
      </w:pPr>
      <w:r>
        <w:rPr>
          <w:color w:val="000000"/>
        </w:rPr>
        <w:tab/>
        <w:t>(200)</w:t>
      </w:r>
      <w:r>
        <w:rPr>
          <w:color w:val="000000"/>
        </w:rPr>
        <w:tab/>
        <w:t>Stops shall be provided to ensure that the shoes of shoe type brakes do not trail on the drums when the brakes are open.</w:t>
      </w:r>
    </w:p>
    <w:p w:rsidR="00B40966" w:rsidRDefault="00B40966">
      <w:pPr>
        <w:pStyle w:val="Amain"/>
      </w:pPr>
      <w:r>
        <w:rPr>
          <w:color w:val="000000"/>
        </w:rPr>
        <w:tab/>
        <w:t>(201)</w:t>
      </w:r>
      <w:r>
        <w:rPr>
          <w:color w:val="000000"/>
        </w:rPr>
        <w:tab/>
        <w:t>The angular movement of a pawl about its hinge pin while idling over its mating teeth shall not exceed 12°.</w:t>
      </w:r>
    </w:p>
    <w:p w:rsidR="00B40966" w:rsidRDefault="00B40966">
      <w:pPr>
        <w:pStyle w:val="Amain"/>
        <w:rPr>
          <w:color w:val="000000"/>
        </w:rPr>
      </w:pPr>
      <w:r>
        <w:rPr>
          <w:color w:val="000000"/>
        </w:rPr>
        <w:tab/>
        <w:t>(202)</w:t>
      </w:r>
      <w:r>
        <w:rPr>
          <w:color w:val="000000"/>
        </w:rPr>
        <w:tab/>
        <w:t>If practicable, pawls shall have springs to accelerate their speed of engagement.</w:t>
      </w:r>
    </w:p>
    <w:p w:rsidR="00B40966" w:rsidRDefault="00B40966">
      <w:pPr>
        <w:pStyle w:val="Amain"/>
      </w:pPr>
      <w:r>
        <w:rPr>
          <w:color w:val="000000"/>
        </w:rPr>
        <w:tab/>
        <w:t>(203)</w:t>
      </w:r>
      <w:r>
        <w:rPr>
          <w:color w:val="000000"/>
        </w:rPr>
        <w:tab/>
        <w:t>The springs shall be of approved design.</w:t>
      </w:r>
    </w:p>
    <w:p w:rsidR="00B40966" w:rsidRDefault="00B40966">
      <w:pPr>
        <w:pStyle w:val="Amain"/>
        <w:rPr>
          <w:color w:val="000000"/>
        </w:rPr>
      </w:pPr>
      <w:r>
        <w:rPr>
          <w:color w:val="000000"/>
        </w:rPr>
        <w:tab/>
        <w:t>(204)</w:t>
      </w:r>
      <w:r>
        <w:rPr>
          <w:color w:val="000000"/>
        </w:rPr>
        <w:tab/>
        <w:t>Pawls shall not have devices for locking them in engaged or disengaged positions.</w:t>
      </w:r>
    </w:p>
    <w:p w:rsidR="00B40966" w:rsidRDefault="00B40966">
      <w:pPr>
        <w:pStyle w:val="Amain"/>
      </w:pPr>
      <w:r>
        <w:rPr>
          <w:color w:val="000000"/>
        </w:rPr>
        <w:tab/>
        <w:t>(205)</w:t>
      </w:r>
      <w:r>
        <w:rPr>
          <w:color w:val="000000"/>
        </w:rPr>
        <w:tab/>
        <w:t>However, subsection (204) does not prevent the use of approved interlocking devices.</w:t>
      </w:r>
    </w:p>
    <w:p w:rsidR="00B40966" w:rsidRDefault="00B40966">
      <w:pPr>
        <w:pStyle w:val="Amain"/>
      </w:pPr>
      <w:r>
        <w:rPr>
          <w:color w:val="000000"/>
        </w:rPr>
        <w:tab/>
        <w:t>(206)</w:t>
      </w:r>
      <w:r>
        <w:rPr>
          <w:color w:val="000000"/>
        </w:rPr>
        <w:tab/>
        <w:t>If a pawl has attached to it an operating grip, handle, or trigger, the attachment shall be so devised, and located that it may be safely used.</w:t>
      </w:r>
    </w:p>
    <w:p w:rsidR="00B40966" w:rsidRDefault="00B40966">
      <w:pPr>
        <w:pStyle w:val="Amain"/>
      </w:pPr>
      <w:r>
        <w:rPr>
          <w:color w:val="000000"/>
        </w:rPr>
        <w:tab/>
        <w:t>(207)</w:t>
      </w:r>
      <w:r>
        <w:rPr>
          <w:color w:val="000000"/>
        </w:rPr>
        <w:tab/>
        <w:t>Apparatus including the grips, handles and triggers as mentioned in subsection (206) for disengaging and holding pawls in the disengaged position shall be devised and arranged to be actuated by a person located at the driving or operating position of the mechanism or machinery concerned.</w:t>
      </w:r>
    </w:p>
    <w:p w:rsidR="00B40966" w:rsidRDefault="00B40966">
      <w:pPr>
        <w:pStyle w:val="Amain"/>
      </w:pPr>
      <w:r>
        <w:tab/>
        <w:t>(208)</w:t>
      </w:r>
      <w:r>
        <w:tab/>
        <w:t>The pawl disengaging and holding apparatus shall not be actuated by foot, but shall comprise a simple hand mechanism.</w:t>
      </w:r>
    </w:p>
    <w:p w:rsidR="00B40966" w:rsidRDefault="00B40966">
      <w:pPr>
        <w:pStyle w:val="Amain"/>
      </w:pPr>
      <w:r>
        <w:tab/>
        <w:t>(209)</w:t>
      </w:r>
      <w:r>
        <w:tab/>
        <w:t>It shall be so devised and arranged that it will, when suitably actuated, return the pawl to the engaged position by reliable and effective means.</w:t>
      </w:r>
    </w:p>
    <w:p w:rsidR="00B40966" w:rsidRDefault="00B40966">
      <w:pPr>
        <w:pStyle w:val="Amain"/>
      </w:pPr>
      <w:r>
        <w:tab/>
        <w:t>(210)</w:t>
      </w:r>
      <w:r>
        <w:tab/>
        <w:t>It shall be so devised and located that it shall not be necessary for a person to stoop or relax his or her grip on any crank handle while actuating the pawl mechanism.</w:t>
      </w:r>
    </w:p>
    <w:p w:rsidR="00B40966" w:rsidRDefault="00B40966">
      <w:pPr>
        <w:pStyle w:val="Amain"/>
      </w:pPr>
      <w:r>
        <w:rPr>
          <w:color w:val="000000"/>
        </w:rPr>
        <w:tab/>
        <w:t>(211)</w:t>
      </w:r>
      <w:r>
        <w:rPr>
          <w:color w:val="000000"/>
        </w:rPr>
        <w:tab/>
        <w:t>Pawls shall be so designed that their active extremities alone, make contact with the mating teeth.</w:t>
      </w:r>
    </w:p>
    <w:p w:rsidR="00B40966" w:rsidRDefault="00B40966">
      <w:pPr>
        <w:pStyle w:val="Amain"/>
      </w:pPr>
      <w:r>
        <w:rPr>
          <w:color w:val="000000"/>
        </w:rPr>
        <w:tab/>
        <w:t>(212)</w:t>
      </w:r>
      <w:r>
        <w:rPr>
          <w:color w:val="000000"/>
        </w:rPr>
        <w:tab/>
        <w:t>Pawls or the teeth with which they engage (or both) shall be so designed that the pawls tend to lock in engagement and so that the load holds the pawl in engagement.</w:t>
      </w:r>
    </w:p>
    <w:p w:rsidR="00B40966" w:rsidRDefault="00B40966">
      <w:pPr>
        <w:pStyle w:val="Amain"/>
      </w:pPr>
      <w:r>
        <w:rPr>
          <w:color w:val="000000"/>
        </w:rPr>
        <w:tab/>
        <w:t>(213)</w:t>
      </w:r>
      <w:r>
        <w:rPr>
          <w:color w:val="000000"/>
        </w:rPr>
        <w:tab/>
        <w:t>The angle contained between the 2 lines joining the tip of a pawl to the respective centres of rotation of the pawl and its mating teeth shall not be less than 105° and not more than 120°.</w:t>
      </w:r>
    </w:p>
    <w:p w:rsidR="00B40966" w:rsidRDefault="00B40966">
      <w:pPr>
        <w:pStyle w:val="Amain"/>
      </w:pPr>
      <w:r>
        <w:tab/>
        <w:t>(214)</w:t>
      </w:r>
      <w:r>
        <w:tab/>
        <w:t>If the pawl is used in tension, the angle contained between the 2 lines joining the tip of the engaged tooth of the rachet and the centres mentioned in subsection (213) shall not be less than 60° or more than 75°.</w:t>
      </w:r>
    </w:p>
    <w:p w:rsidR="00B40966" w:rsidRDefault="00B40966">
      <w:pPr>
        <w:pStyle w:val="Amain"/>
      </w:pPr>
      <w:r>
        <w:rPr>
          <w:color w:val="000000"/>
        </w:rPr>
        <w:tab/>
        <w:t>(215)</w:t>
      </w:r>
      <w:r>
        <w:rPr>
          <w:color w:val="000000"/>
        </w:rPr>
        <w:tab/>
        <w:t>Gravity operated pawls shall be so balanced that if released while disengaged, they will immediately and automatically re-engage with their mating teeth.</w:t>
      </w:r>
    </w:p>
    <w:p w:rsidR="00B40966" w:rsidRDefault="00B40966">
      <w:pPr>
        <w:pStyle w:val="Amain"/>
      </w:pPr>
      <w:r>
        <w:rPr>
          <w:color w:val="000000"/>
        </w:rPr>
        <w:tab/>
        <w:t>(216)</w:t>
      </w:r>
      <w:r>
        <w:rPr>
          <w:color w:val="000000"/>
        </w:rPr>
        <w:tab/>
        <w:t>Safety non-splintering glass or non-splintering non-inflammable plastic shall be used in all transparent wind or weather screens of driving stations, if liable to be struck by loads or by slings, hooks or other lifting media.</w:t>
      </w:r>
    </w:p>
    <w:p w:rsidR="00B40966" w:rsidRDefault="00B40966">
      <w:pPr>
        <w:pStyle w:val="Amain"/>
        <w:rPr>
          <w:color w:val="000000"/>
        </w:rPr>
      </w:pPr>
      <w:r>
        <w:rPr>
          <w:color w:val="000000"/>
        </w:rPr>
        <w:tab/>
        <w:t>(217)</w:t>
      </w:r>
      <w:r>
        <w:rPr>
          <w:color w:val="000000"/>
        </w:rPr>
        <w:tab/>
        <w:t>Petrol and other inflammable liquids shall be stored in robust metal tanks having screwed filling plugs and screw-down outlet valves.</w:t>
      </w:r>
    </w:p>
    <w:p w:rsidR="00B40966" w:rsidRDefault="00B40966">
      <w:pPr>
        <w:pStyle w:val="Amain"/>
        <w:rPr>
          <w:color w:val="000000"/>
        </w:rPr>
      </w:pPr>
      <w:r>
        <w:rPr>
          <w:color w:val="000000"/>
        </w:rPr>
        <w:tab/>
        <w:t>(218)</w:t>
      </w:r>
      <w:r>
        <w:rPr>
          <w:color w:val="000000"/>
        </w:rPr>
        <w:tab/>
        <w:t>The tanks shall be so located that they are not subject to undue heating, and all desirable provision shall be made to ensure that fumes do not become ignited and do not accumulate.</w:t>
      </w:r>
    </w:p>
    <w:p w:rsidR="00B40966" w:rsidRDefault="00B40966">
      <w:pPr>
        <w:pStyle w:val="Amain"/>
        <w:rPr>
          <w:color w:val="000000"/>
        </w:rPr>
      </w:pPr>
      <w:r>
        <w:rPr>
          <w:color w:val="000000"/>
        </w:rPr>
        <w:tab/>
        <w:t>(219)</w:t>
      </w:r>
      <w:r>
        <w:rPr>
          <w:color w:val="000000"/>
        </w:rPr>
        <w:tab/>
        <w:t>Tanks shall be well clear of all electrified wirings, switchgear, control gear and apparatus.</w:t>
      </w:r>
    </w:p>
    <w:p w:rsidR="00B40966" w:rsidRDefault="00B40966">
      <w:pPr>
        <w:pStyle w:val="Amain"/>
        <w:rPr>
          <w:color w:val="000000"/>
        </w:rPr>
      </w:pPr>
      <w:r>
        <w:rPr>
          <w:color w:val="000000"/>
        </w:rPr>
        <w:tab/>
        <w:t>(220)</w:t>
      </w:r>
      <w:r>
        <w:rPr>
          <w:color w:val="000000"/>
        </w:rPr>
        <w:tab/>
        <w:t>If practicable inflammable liquid tanks shall be located on the outer sides of driving stations.</w:t>
      </w:r>
    </w:p>
    <w:p w:rsidR="00B40966" w:rsidRDefault="00B40966">
      <w:pPr>
        <w:pStyle w:val="Amain"/>
      </w:pPr>
      <w:r>
        <w:rPr>
          <w:color w:val="000000"/>
        </w:rPr>
        <w:tab/>
        <w:t>(221)</w:t>
      </w:r>
      <w:r>
        <w:rPr>
          <w:color w:val="000000"/>
        </w:rPr>
        <w:tab/>
        <w:t>They shall not be closely adjacent to access facilities.</w:t>
      </w:r>
    </w:p>
    <w:p w:rsidR="00B40966" w:rsidRDefault="00B40966">
      <w:pPr>
        <w:pStyle w:val="Amain"/>
      </w:pPr>
      <w:r>
        <w:rPr>
          <w:color w:val="000000"/>
        </w:rPr>
        <w:tab/>
        <w:t>(222)</w:t>
      </w:r>
      <w:r>
        <w:rPr>
          <w:color w:val="000000"/>
        </w:rPr>
        <w:tab/>
        <w:t>If cranes, lifts, hoists, scaffolding or plant having internal</w:t>
      </w:r>
      <w:r>
        <w:rPr>
          <w:color w:val="000000"/>
        </w:rPr>
        <w:noBreakHyphen/>
        <w:t>combustion engines are required to operate indoors or in confined or poorly ventilated places, effective means shall be taken to remove all exhaust gases and to ensure all desirable ventilation.</w:t>
      </w:r>
    </w:p>
    <w:p w:rsidR="00B40966" w:rsidRDefault="00B40966">
      <w:pPr>
        <w:pStyle w:val="Amain"/>
      </w:pPr>
      <w:r>
        <w:rPr>
          <w:color w:val="000000"/>
        </w:rPr>
        <w:tab/>
        <w:t>(223)</w:t>
      </w:r>
      <w:r>
        <w:rPr>
          <w:color w:val="000000"/>
        </w:rPr>
        <w:tab/>
        <w:t>Exhaust steam, hot water, and the exhaust gases from internal</w:t>
      </w:r>
      <w:r>
        <w:rPr>
          <w:color w:val="000000"/>
        </w:rPr>
        <w:noBreakHyphen/>
        <w:t>combustion engines, shall be effectively conveyed and directed away from driving stations and from crane and hoist crews.</w:t>
      </w:r>
    </w:p>
    <w:p w:rsidR="00B40966" w:rsidRDefault="00B40966">
      <w:pPr>
        <w:pStyle w:val="Amain"/>
      </w:pPr>
      <w:r>
        <w:rPr>
          <w:color w:val="000000"/>
        </w:rPr>
        <w:tab/>
        <w:t>(224)</w:t>
      </w:r>
      <w:r>
        <w:rPr>
          <w:color w:val="000000"/>
        </w:rPr>
        <w:tab/>
        <w:t>If any jib or derrick crane or hoist is not designed to lift its maximum safe working load at all attainable postions of the jib or derrick without breach of the provisions of this regulation, it shall have an approved load-radius indicator, and the indicator shall be constantly maintained in good working order and condition.</w:t>
      </w:r>
    </w:p>
    <w:p w:rsidR="00B40966" w:rsidRDefault="00B40966">
      <w:pPr>
        <w:pStyle w:val="Amain"/>
      </w:pPr>
      <w:r>
        <w:rPr>
          <w:color w:val="000000"/>
        </w:rPr>
        <w:tab/>
        <w:t>(225)</w:t>
      </w:r>
      <w:r>
        <w:rPr>
          <w:color w:val="000000"/>
        </w:rPr>
        <w:tab/>
        <w:t>The load-radius indicator previously mentioned shall function automatically, and be so devised and constructed that for each position in which the jib or derrick may be placed, it exhibits and indicates clearly and conspicuously to the crane driver at the main driving station of the crane the safe working load corresponding to the position, determined in accordance with this regulation.</w:t>
      </w:r>
    </w:p>
    <w:p w:rsidR="00B40966" w:rsidRDefault="00B40966">
      <w:pPr>
        <w:pStyle w:val="Amain"/>
      </w:pPr>
      <w:r>
        <w:tab/>
        <w:t>(226)</w:t>
      </w:r>
      <w:r>
        <w:tab/>
        <w:t>The load markings on a load-radius indicator shall be of a permanent nature, and it shall be an offence to obliterate or to incorrectly mark or incorrectly graduate, the indicator, or to so alter the indicator that it reads or indicates incorrectly.</w:t>
      </w:r>
    </w:p>
    <w:p w:rsidR="00B40966" w:rsidRDefault="00B40966">
      <w:pPr>
        <w:pStyle w:val="AH4SubDiv"/>
      </w:pPr>
      <w:bookmarkStart w:id="227" w:name="_Toc87258083"/>
      <w:r>
        <w:t>Stability</w:t>
      </w:r>
      <w:bookmarkEnd w:id="227"/>
    </w:p>
    <w:p w:rsidR="00B40966" w:rsidRDefault="00B40966">
      <w:pPr>
        <w:pStyle w:val="AH5Sec"/>
      </w:pPr>
      <w:bookmarkStart w:id="228" w:name="_Toc87258084"/>
      <w:r>
        <w:rPr>
          <w:rStyle w:val="CharSectNo"/>
        </w:rPr>
        <w:t>128</w:t>
      </w:r>
      <w:bookmarkEnd w:id="228"/>
      <w:r>
        <w:tab/>
        <w:t xml:space="preserve">  </w:t>
      </w:r>
    </w:p>
    <w:p w:rsidR="00B40966" w:rsidRDefault="00B40966">
      <w:pPr>
        <w:pStyle w:val="Amain"/>
        <w:rPr>
          <w:color w:val="000000"/>
        </w:rPr>
      </w:pPr>
      <w:r>
        <w:rPr>
          <w:color w:val="000000"/>
        </w:rPr>
        <w:tab/>
        <w:t>(1)</w:t>
      </w:r>
      <w:r>
        <w:rPr>
          <w:color w:val="000000"/>
        </w:rPr>
        <w:tab/>
        <w:t>Every crane and hoist shall have and at all times retain at least the ratios of stability against overturning shown in table 128 as appropriate to its type, and to the loadings acting on it.</w:t>
      </w:r>
    </w:p>
    <w:p w:rsidR="00B40966" w:rsidRDefault="00B40966">
      <w:pPr>
        <w:pStyle w:val="Amain"/>
      </w:pPr>
      <w:r>
        <w:rPr>
          <w:color w:val="000000"/>
        </w:rPr>
        <w:tab/>
        <w:t>(2)</w:t>
      </w:r>
      <w:r>
        <w:rPr>
          <w:color w:val="000000"/>
        </w:rPr>
        <w:tab/>
        <w:t>If more than 1 such ratio is shown, the stability shall be separately assessed with regard to each set of contributing circumstances.</w:t>
      </w:r>
    </w:p>
    <w:p w:rsidR="00B40966" w:rsidRDefault="00B40966">
      <w:pPr>
        <w:pStyle w:val="02Text"/>
        <w:sectPr w:rsidR="00B40966">
          <w:headerReference w:type="even" r:id="rId78"/>
          <w:headerReference w:type="default" r:id="rId79"/>
          <w:footerReference w:type="even" r:id="rId80"/>
          <w:footerReference w:type="default" r:id="rId81"/>
          <w:footerReference w:type="first" r:id="rId82"/>
          <w:pgSz w:w="11907" w:h="16839" w:code="9"/>
          <w:pgMar w:top="3000" w:right="1900" w:bottom="2500" w:left="2300" w:header="2480" w:footer="2100" w:gutter="0"/>
          <w:cols w:space="720"/>
          <w:docGrid w:linePitch="254"/>
        </w:sectPr>
      </w:pPr>
    </w:p>
    <w:p w:rsidR="00B40966" w:rsidRDefault="00B40966">
      <w:pPr>
        <w:pStyle w:val="TableHd"/>
      </w:pPr>
      <w:r>
        <w:t>Table 128</w:t>
      </w:r>
    </w:p>
    <w:tbl>
      <w:tblPr>
        <w:tblW w:w="0" w:type="auto"/>
        <w:tblLayout w:type="fixed"/>
        <w:tblCellMar>
          <w:left w:w="120" w:type="dxa"/>
          <w:right w:w="120" w:type="dxa"/>
        </w:tblCellMar>
        <w:tblLook w:val="0000" w:firstRow="0" w:lastRow="0" w:firstColumn="0" w:lastColumn="0" w:noHBand="0" w:noVBand="0"/>
      </w:tblPr>
      <w:tblGrid>
        <w:gridCol w:w="2380"/>
        <w:gridCol w:w="20"/>
        <w:gridCol w:w="580"/>
        <w:gridCol w:w="40"/>
        <w:gridCol w:w="1640"/>
        <w:gridCol w:w="1080"/>
        <w:gridCol w:w="1560"/>
        <w:gridCol w:w="1320"/>
        <w:gridCol w:w="855"/>
        <w:gridCol w:w="825"/>
        <w:gridCol w:w="1135"/>
        <w:gridCol w:w="20"/>
      </w:tblGrid>
      <w:tr w:rsidR="00B40966">
        <w:trPr>
          <w:gridAfter w:val="1"/>
          <w:wAfter w:w="20" w:type="dxa"/>
          <w:cantSplit/>
          <w:trHeight w:val="604"/>
          <w:tblHeader/>
        </w:trPr>
        <w:tc>
          <w:tcPr>
            <w:tcW w:w="2980" w:type="dxa"/>
            <w:gridSpan w:val="3"/>
          </w:tcPr>
          <w:p w:rsidR="00B40966" w:rsidRDefault="00B40966">
            <w:pPr>
              <w:pStyle w:val="TableColHd"/>
              <w:rPr>
                <w:sz w:val="16"/>
              </w:rPr>
            </w:pPr>
          </w:p>
        </w:tc>
        <w:tc>
          <w:tcPr>
            <w:tcW w:w="1680" w:type="dxa"/>
            <w:gridSpan w:val="2"/>
          </w:tcPr>
          <w:p w:rsidR="00B40966" w:rsidRDefault="00B40966">
            <w:pPr>
              <w:pStyle w:val="TableColHd"/>
              <w:rPr>
                <w:sz w:val="16"/>
              </w:rPr>
            </w:pPr>
          </w:p>
        </w:tc>
        <w:tc>
          <w:tcPr>
            <w:tcW w:w="1080" w:type="dxa"/>
          </w:tcPr>
          <w:p w:rsidR="00B40966" w:rsidRDefault="00B40966">
            <w:pPr>
              <w:pStyle w:val="TableColHd"/>
              <w:rPr>
                <w:sz w:val="16"/>
              </w:rPr>
            </w:pPr>
          </w:p>
        </w:tc>
        <w:tc>
          <w:tcPr>
            <w:tcW w:w="2880" w:type="dxa"/>
            <w:gridSpan w:val="2"/>
            <w:tcBorders>
              <w:bottom w:val="single" w:sz="4" w:space="0" w:color="auto"/>
            </w:tcBorders>
          </w:tcPr>
          <w:p w:rsidR="00B40966" w:rsidRDefault="00B40966">
            <w:pPr>
              <w:pStyle w:val="TableColHd"/>
              <w:spacing w:before="120"/>
              <w:jc w:val="center"/>
            </w:pPr>
            <w:r>
              <w:t>wind loads in accordance with section 123</w:t>
            </w:r>
          </w:p>
        </w:tc>
        <w:tc>
          <w:tcPr>
            <w:tcW w:w="1680" w:type="dxa"/>
            <w:gridSpan w:val="2"/>
            <w:tcBorders>
              <w:bottom w:val="nil"/>
            </w:tcBorders>
          </w:tcPr>
          <w:p w:rsidR="00B40966" w:rsidRDefault="00B40966">
            <w:pPr>
              <w:pStyle w:val="TableColHd"/>
              <w:rPr>
                <w:sz w:val="16"/>
              </w:rPr>
            </w:pPr>
          </w:p>
        </w:tc>
        <w:tc>
          <w:tcPr>
            <w:tcW w:w="1135" w:type="dxa"/>
          </w:tcPr>
          <w:p w:rsidR="00B40966" w:rsidRDefault="00B40966">
            <w:pPr>
              <w:pStyle w:val="TableColHd"/>
              <w:rPr>
                <w:sz w:val="16"/>
              </w:rPr>
            </w:pPr>
          </w:p>
        </w:tc>
      </w:tr>
      <w:tr w:rsidR="00B40966">
        <w:trPr>
          <w:gridAfter w:val="1"/>
          <w:wAfter w:w="20" w:type="dxa"/>
          <w:cantSplit/>
          <w:trHeight w:val="1080"/>
          <w:tblHeader/>
        </w:trPr>
        <w:tc>
          <w:tcPr>
            <w:tcW w:w="2380" w:type="dxa"/>
            <w:tcBorders>
              <w:bottom w:val="single" w:sz="6" w:space="0" w:color="auto"/>
            </w:tcBorders>
            <w:vAlign w:val="bottom"/>
          </w:tcPr>
          <w:p w:rsidR="00B40966" w:rsidRDefault="00B40966">
            <w:pPr>
              <w:pStyle w:val="TableColHd"/>
            </w:pPr>
            <w:r>
              <w:t>type of crane or hoist</w:t>
            </w:r>
          </w:p>
        </w:tc>
        <w:tc>
          <w:tcPr>
            <w:tcW w:w="600" w:type="dxa"/>
            <w:gridSpan w:val="2"/>
            <w:tcBorders>
              <w:bottom w:val="single" w:sz="6" w:space="0" w:color="auto"/>
            </w:tcBorders>
            <w:vAlign w:val="bottom"/>
          </w:tcPr>
          <w:p w:rsidR="00B40966" w:rsidRDefault="00B40966">
            <w:pPr>
              <w:pStyle w:val="TableColHd"/>
              <w:rPr>
                <w:sz w:val="16"/>
              </w:rPr>
            </w:pPr>
            <w:r>
              <w:rPr>
                <w:sz w:val="16"/>
              </w:rPr>
              <w:t>ref</w:t>
            </w:r>
          </w:p>
        </w:tc>
        <w:tc>
          <w:tcPr>
            <w:tcW w:w="1680" w:type="dxa"/>
            <w:gridSpan w:val="2"/>
            <w:tcBorders>
              <w:bottom w:val="single" w:sz="6" w:space="0" w:color="auto"/>
            </w:tcBorders>
            <w:vAlign w:val="bottom"/>
          </w:tcPr>
          <w:p w:rsidR="00B40966" w:rsidRDefault="00B40966">
            <w:pPr>
              <w:pStyle w:val="TableColHd"/>
              <w:rPr>
                <w:sz w:val="16"/>
              </w:rPr>
            </w:pPr>
            <w:r>
              <w:rPr>
                <w:sz w:val="16"/>
              </w:rPr>
              <w:t>live loads exclusive of wind load but inclusive of horizontal forces</w:t>
            </w:r>
          </w:p>
        </w:tc>
        <w:tc>
          <w:tcPr>
            <w:tcW w:w="1080" w:type="dxa"/>
            <w:tcBorders>
              <w:bottom w:val="single" w:sz="6" w:space="0" w:color="auto"/>
            </w:tcBorders>
            <w:vAlign w:val="bottom"/>
          </w:tcPr>
          <w:p w:rsidR="00B40966" w:rsidRDefault="00B40966">
            <w:pPr>
              <w:pStyle w:val="TableColHd"/>
              <w:rPr>
                <w:sz w:val="16"/>
              </w:rPr>
            </w:pPr>
            <w:r>
              <w:rPr>
                <w:sz w:val="16"/>
              </w:rPr>
              <w:t>dead loads</w:t>
            </w:r>
          </w:p>
        </w:tc>
        <w:tc>
          <w:tcPr>
            <w:tcW w:w="1560" w:type="dxa"/>
            <w:tcBorders>
              <w:bottom w:val="single" w:sz="6" w:space="0" w:color="auto"/>
            </w:tcBorders>
            <w:vAlign w:val="bottom"/>
          </w:tcPr>
          <w:p w:rsidR="00B40966" w:rsidRDefault="00B40966">
            <w:pPr>
              <w:pStyle w:val="TableColHd"/>
              <w:rPr>
                <w:sz w:val="16"/>
              </w:rPr>
            </w:pPr>
            <w:r>
              <w:rPr>
                <w:sz w:val="16"/>
              </w:rPr>
              <w:t>crane or hoist assumed in operation</w:t>
            </w:r>
          </w:p>
        </w:tc>
        <w:tc>
          <w:tcPr>
            <w:tcW w:w="1320" w:type="dxa"/>
            <w:tcBorders>
              <w:bottom w:val="single" w:sz="6" w:space="0" w:color="auto"/>
            </w:tcBorders>
            <w:vAlign w:val="bottom"/>
          </w:tcPr>
          <w:p w:rsidR="00B40966" w:rsidRDefault="00B40966">
            <w:pPr>
              <w:pStyle w:val="TableColHd"/>
              <w:rPr>
                <w:sz w:val="16"/>
              </w:rPr>
            </w:pPr>
            <w:r>
              <w:rPr>
                <w:sz w:val="16"/>
              </w:rPr>
              <w:t>crane or hoist assumed not in operation</w:t>
            </w:r>
          </w:p>
        </w:tc>
        <w:tc>
          <w:tcPr>
            <w:tcW w:w="1680" w:type="dxa"/>
            <w:gridSpan w:val="2"/>
            <w:tcBorders>
              <w:bottom w:val="single" w:sz="6" w:space="0" w:color="auto"/>
            </w:tcBorders>
          </w:tcPr>
          <w:p w:rsidR="00B40966" w:rsidRDefault="00B40966">
            <w:pPr>
              <w:pStyle w:val="TableColHd"/>
              <w:rPr>
                <w:sz w:val="16"/>
              </w:rPr>
            </w:pPr>
            <w:r>
              <w:rPr>
                <w:sz w:val="16"/>
              </w:rPr>
              <w:t>1 load equal to 30% of working load—acting vertically upwards at point of application of working load</w:t>
            </w:r>
          </w:p>
        </w:tc>
        <w:tc>
          <w:tcPr>
            <w:tcW w:w="1135" w:type="dxa"/>
            <w:tcBorders>
              <w:bottom w:val="single" w:sz="6" w:space="0" w:color="auto"/>
            </w:tcBorders>
            <w:vAlign w:val="bottom"/>
          </w:tcPr>
          <w:p w:rsidR="00B40966" w:rsidRDefault="00B40966">
            <w:pPr>
              <w:pStyle w:val="TableColHd"/>
              <w:rPr>
                <w:sz w:val="16"/>
              </w:rPr>
            </w:pPr>
            <w:r>
              <w:rPr>
                <w:sz w:val="16"/>
              </w:rPr>
              <w:t>ratio of stability—minimum</w:t>
            </w:r>
          </w:p>
        </w:tc>
      </w:tr>
      <w:tr w:rsidR="00B40966">
        <w:trPr>
          <w:gridAfter w:val="1"/>
          <w:wAfter w:w="20" w:type="dxa"/>
          <w:cantSplit/>
        </w:trPr>
        <w:tc>
          <w:tcPr>
            <w:tcW w:w="2400" w:type="dxa"/>
            <w:gridSpan w:val="2"/>
            <w:tcBorders>
              <w:top w:val="single" w:sz="6" w:space="0" w:color="auto"/>
            </w:tcBorders>
          </w:tcPr>
          <w:p w:rsidR="00B40966" w:rsidRDefault="00B40966">
            <w:pPr>
              <w:ind w:right="-20" w:firstLine="20"/>
              <w:rPr>
                <w:color w:val="000000"/>
                <w:sz w:val="20"/>
              </w:rPr>
            </w:pPr>
            <w:r>
              <w:rPr>
                <w:color w:val="000000"/>
                <w:sz w:val="20"/>
              </w:rPr>
              <w:t>stationary crane or hoist or any travelling crane or hoist other than undermentioned</w:t>
            </w:r>
          </w:p>
        </w:tc>
        <w:tc>
          <w:tcPr>
            <w:tcW w:w="620" w:type="dxa"/>
            <w:gridSpan w:val="2"/>
            <w:tcBorders>
              <w:top w:val="single" w:sz="6" w:space="0" w:color="auto"/>
            </w:tcBorders>
          </w:tcPr>
          <w:p w:rsidR="00B40966" w:rsidRDefault="00B40966">
            <w:pPr>
              <w:spacing w:before="280"/>
              <w:ind w:right="-20"/>
              <w:rPr>
                <w:color w:val="000000"/>
                <w:sz w:val="20"/>
              </w:rPr>
            </w:pPr>
            <w:r>
              <w:rPr>
                <w:color w:val="000000"/>
                <w:sz w:val="20"/>
              </w:rPr>
              <w:t>A</w:t>
            </w:r>
          </w:p>
        </w:tc>
        <w:tc>
          <w:tcPr>
            <w:tcW w:w="1640" w:type="dxa"/>
            <w:tcBorders>
              <w:top w:val="single" w:sz="6" w:space="0" w:color="auto"/>
            </w:tcBorders>
          </w:tcPr>
          <w:p w:rsidR="00B40966" w:rsidRDefault="00B40966">
            <w:pPr>
              <w:ind w:right="-20"/>
              <w:rPr>
                <w:color w:val="000000"/>
                <w:sz w:val="20"/>
              </w:rPr>
            </w:pPr>
            <w:r>
              <w:rPr>
                <w:color w:val="000000"/>
                <w:sz w:val="20"/>
              </w:rPr>
              <w:fldChar w:fldCharType="begin"/>
            </w:r>
            <w:r>
              <w:rPr>
                <w:color w:val="000000"/>
                <w:sz w:val="20"/>
              </w:rPr>
              <w:instrText xml:space="preserve"> EQ \B\LC\{(\A\HS10\AL(  include,  omit,  omit)) </w:instrText>
            </w:r>
            <w:r>
              <w:rPr>
                <w:color w:val="000000"/>
                <w:sz w:val="20"/>
              </w:rPr>
              <w:fldChar w:fldCharType="end"/>
            </w:r>
          </w:p>
        </w:tc>
        <w:tc>
          <w:tcPr>
            <w:tcW w:w="1080" w:type="dxa"/>
            <w:tcBorders>
              <w:top w:val="single" w:sz="6" w:space="0" w:color="auto"/>
            </w:tcBorders>
          </w:tcPr>
          <w:p w:rsidR="00B40966" w:rsidRDefault="00B40966">
            <w:pPr>
              <w:ind w:left="20" w:right="-20"/>
              <w:rPr>
                <w:color w:val="000000"/>
                <w:sz w:val="20"/>
              </w:rPr>
            </w:pPr>
            <w:r>
              <w:rPr>
                <w:color w:val="000000"/>
                <w:sz w:val="20"/>
              </w:rPr>
              <w:t>include</w:t>
            </w:r>
            <w:r>
              <w:rPr>
                <w:color w:val="000000"/>
                <w:sz w:val="20"/>
              </w:rPr>
              <w:br/>
              <w:t>include</w:t>
            </w:r>
            <w:r>
              <w:rPr>
                <w:color w:val="000000"/>
                <w:sz w:val="20"/>
              </w:rPr>
              <w:br/>
              <w:t>include</w:t>
            </w:r>
          </w:p>
        </w:tc>
        <w:tc>
          <w:tcPr>
            <w:tcW w:w="1560" w:type="dxa"/>
            <w:tcBorders>
              <w:top w:val="single" w:sz="6" w:space="0" w:color="auto"/>
            </w:tcBorders>
          </w:tcPr>
          <w:p w:rsidR="00B40966" w:rsidRDefault="00B40966">
            <w:pPr>
              <w:ind w:right="-20"/>
              <w:rPr>
                <w:color w:val="000000"/>
                <w:sz w:val="20"/>
              </w:rPr>
            </w:pPr>
            <w:r>
              <w:rPr>
                <w:color w:val="000000"/>
                <w:sz w:val="20"/>
              </w:rPr>
              <w:t>include</w:t>
            </w:r>
            <w:r>
              <w:rPr>
                <w:color w:val="000000"/>
                <w:sz w:val="20"/>
              </w:rPr>
              <w:br/>
              <w:t>omit</w:t>
            </w:r>
            <w:r>
              <w:rPr>
                <w:color w:val="000000"/>
                <w:sz w:val="20"/>
              </w:rPr>
              <w:br/>
              <w:t>. .</w:t>
            </w:r>
          </w:p>
        </w:tc>
        <w:tc>
          <w:tcPr>
            <w:tcW w:w="1320" w:type="dxa"/>
            <w:tcBorders>
              <w:top w:val="single" w:sz="6" w:space="0" w:color="auto"/>
            </w:tcBorders>
          </w:tcPr>
          <w:p w:rsidR="00B40966" w:rsidRDefault="00B40966">
            <w:pPr>
              <w:ind w:right="-20"/>
              <w:rPr>
                <w:color w:val="000000"/>
                <w:sz w:val="20"/>
              </w:rPr>
            </w:pPr>
            <w:r>
              <w:rPr>
                <w:color w:val="000000"/>
                <w:sz w:val="20"/>
              </w:rPr>
              <w:t>. .</w:t>
            </w:r>
            <w:r>
              <w:rPr>
                <w:color w:val="000000"/>
                <w:sz w:val="20"/>
              </w:rPr>
              <w:br/>
              <w:t>omit</w:t>
            </w:r>
            <w:r>
              <w:rPr>
                <w:color w:val="000000"/>
                <w:sz w:val="20"/>
              </w:rPr>
              <w:br/>
              <w:t>include</w:t>
            </w:r>
          </w:p>
        </w:tc>
        <w:tc>
          <w:tcPr>
            <w:tcW w:w="1680" w:type="dxa"/>
            <w:gridSpan w:val="2"/>
            <w:tcBorders>
              <w:top w:val="single" w:sz="6" w:space="0" w:color="auto"/>
            </w:tcBorders>
          </w:tcPr>
          <w:p w:rsidR="00B40966" w:rsidRDefault="00B40966">
            <w:pPr>
              <w:ind w:right="-20"/>
              <w:rPr>
                <w:color w:val="000000"/>
                <w:sz w:val="20"/>
              </w:rPr>
            </w:pPr>
            <w:r>
              <w:rPr>
                <w:color w:val="000000"/>
                <w:sz w:val="20"/>
              </w:rPr>
              <w:t>omit</w:t>
            </w:r>
            <w:r>
              <w:rPr>
                <w:color w:val="000000"/>
                <w:sz w:val="20"/>
              </w:rPr>
              <w:br/>
              <w:t>omit</w:t>
            </w:r>
            <w:r>
              <w:rPr>
                <w:color w:val="000000"/>
                <w:sz w:val="20"/>
              </w:rPr>
              <w:br/>
              <w:t>omit</w:t>
            </w:r>
          </w:p>
        </w:tc>
        <w:tc>
          <w:tcPr>
            <w:tcW w:w="1135" w:type="dxa"/>
            <w:tcBorders>
              <w:top w:val="single" w:sz="6" w:space="0" w:color="auto"/>
            </w:tcBorders>
          </w:tcPr>
          <w:p w:rsidR="00B40966" w:rsidRDefault="00B40966">
            <w:pPr>
              <w:ind w:right="-20"/>
              <w:rPr>
                <w:color w:val="000000"/>
                <w:sz w:val="20"/>
              </w:rPr>
            </w:pPr>
            <w:r>
              <w:rPr>
                <w:color w:val="000000"/>
                <w:sz w:val="20"/>
              </w:rPr>
              <w:t>1.3</w:t>
            </w:r>
            <w:r>
              <w:rPr>
                <w:color w:val="000000"/>
                <w:sz w:val="20"/>
              </w:rPr>
              <w:br/>
              <w:t>1.8</w:t>
            </w:r>
            <w:r>
              <w:rPr>
                <w:color w:val="000000"/>
                <w:sz w:val="20"/>
              </w:rPr>
              <w:br/>
              <w:t>1.5</w:t>
            </w:r>
          </w:p>
        </w:tc>
      </w:tr>
      <w:tr w:rsidR="00B40966">
        <w:trPr>
          <w:gridAfter w:val="1"/>
          <w:wAfter w:w="20" w:type="dxa"/>
          <w:cantSplit/>
        </w:trPr>
        <w:tc>
          <w:tcPr>
            <w:tcW w:w="2400" w:type="dxa"/>
            <w:gridSpan w:val="2"/>
          </w:tcPr>
          <w:p w:rsidR="00B40966" w:rsidRDefault="00B40966">
            <w:pPr>
              <w:spacing w:before="760"/>
              <w:ind w:right="-20"/>
              <w:rPr>
                <w:color w:val="000000"/>
                <w:sz w:val="20"/>
              </w:rPr>
            </w:pPr>
            <w:r>
              <w:rPr>
                <w:color w:val="000000"/>
                <w:sz w:val="20"/>
              </w:rPr>
              <w:t>travelling slewing cranes and tower slewing cranes</w:t>
            </w:r>
          </w:p>
        </w:tc>
        <w:tc>
          <w:tcPr>
            <w:tcW w:w="620" w:type="dxa"/>
            <w:gridSpan w:val="2"/>
          </w:tcPr>
          <w:p w:rsidR="00B40966" w:rsidRDefault="00B40966">
            <w:pPr>
              <w:spacing w:before="760"/>
              <w:ind w:right="-20"/>
              <w:rPr>
                <w:color w:val="000000"/>
                <w:sz w:val="20"/>
              </w:rPr>
            </w:pPr>
            <w:r>
              <w:rPr>
                <w:color w:val="000000"/>
                <w:sz w:val="20"/>
              </w:rPr>
              <w:t>B</w:t>
            </w:r>
          </w:p>
        </w:tc>
        <w:bookmarkStart w:id="229" w:name="_MON_1090412642"/>
        <w:bookmarkStart w:id="230" w:name="_MON_1090412699"/>
        <w:bookmarkStart w:id="231" w:name="_MON_1090822641"/>
        <w:bookmarkStart w:id="232" w:name="_MON_1090823194"/>
        <w:bookmarkStart w:id="233" w:name="_MON_1090823354"/>
        <w:bookmarkStart w:id="234" w:name="_MON_1159698761"/>
        <w:bookmarkStart w:id="235" w:name="_MON_1160831920"/>
        <w:bookmarkEnd w:id="229"/>
        <w:bookmarkEnd w:id="230"/>
        <w:bookmarkEnd w:id="231"/>
        <w:bookmarkEnd w:id="232"/>
        <w:bookmarkEnd w:id="233"/>
        <w:bookmarkEnd w:id="234"/>
        <w:bookmarkEnd w:id="235"/>
        <w:bookmarkStart w:id="236" w:name="_MON_1090412029"/>
        <w:bookmarkEnd w:id="236"/>
        <w:tc>
          <w:tcPr>
            <w:tcW w:w="1640" w:type="dxa"/>
          </w:tcPr>
          <w:p w:rsidR="00B40966" w:rsidRDefault="00B40966">
            <w:pPr>
              <w:ind w:left="-80" w:right="-20"/>
              <w:rPr>
                <w:color w:val="000000"/>
                <w:sz w:val="20"/>
              </w:rPr>
            </w:pPr>
            <w:r>
              <w:rPr>
                <w:color w:val="000000"/>
                <w:sz w:val="20"/>
              </w:rPr>
              <w:object w:dxaOrig="1005" w:dyaOrig="2175">
                <v:shape id="_x0000_i1041" type="#_x0000_t75" style="width:50.25pt;height:108.75pt" o:ole="" fillcolor="window">
                  <v:imagedata r:id="rId83" o:title=""/>
                </v:shape>
                <o:OLEObject Type="Embed" ProgID="Word.Picture.8" ShapeID="_x0000_i1041" DrawAspect="Content" ObjectID="_1595937058" r:id="rId84"/>
              </w:object>
            </w:r>
          </w:p>
        </w:tc>
        <w:tc>
          <w:tcPr>
            <w:tcW w:w="1080" w:type="dxa"/>
          </w:tcPr>
          <w:p w:rsidR="00B40966" w:rsidRDefault="00B40966">
            <w:pPr>
              <w:spacing w:before="120"/>
              <w:ind w:right="-20"/>
              <w:rPr>
                <w:color w:val="000000"/>
                <w:sz w:val="20"/>
              </w:rPr>
            </w:pPr>
            <w:r>
              <w:rPr>
                <w:color w:val="000000"/>
                <w:sz w:val="20"/>
              </w:rPr>
              <w:t>include</w:t>
            </w:r>
            <w:r>
              <w:rPr>
                <w:color w:val="000000"/>
                <w:sz w:val="20"/>
              </w:rPr>
              <w:br/>
              <w:t>include</w:t>
            </w:r>
            <w:r>
              <w:rPr>
                <w:color w:val="000000"/>
                <w:sz w:val="20"/>
              </w:rPr>
              <w:br/>
              <w:t>include</w:t>
            </w:r>
            <w:r>
              <w:rPr>
                <w:color w:val="000000"/>
                <w:sz w:val="20"/>
              </w:rPr>
              <w:br/>
              <w:t>include</w:t>
            </w:r>
            <w:r>
              <w:rPr>
                <w:color w:val="000000"/>
                <w:sz w:val="20"/>
              </w:rPr>
              <w:br/>
              <w:t>include</w:t>
            </w:r>
            <w:r>
              <w:rPr>
                <w:color w:val="000000"/>
                <w:sz w:val="20"/>
              </w:rPr>
              <w:br/>
            </w:r>
            <w:r>
              <w:rPr>
                <w:color w:val="000000"/>
                <w:sz w:val="20"/>
              </w:rPr>
              <w:br/>
            </w:r>
            <w:r>
              <w:rPr>
                <w:color w:val="000000"/>
                <w:sz w:val="20"/>
              </w:rPr>
              <w:br/>
              <w:t>include</w:t>
            </w:r>
          </w:p>
        </w:tc>
        <w:tc>
          <w:tcPr>
            <w:tcW w:w="1560" w:type="dxa"/>
          </w:tcPr>
          <w:p w:rsidR="00B40966" w:rsidRDefault="00B40966">
            <w:pPr>
              <w:spacing w:before="120"/>
              <w:ind w:right="-20"/>
              <w:rPr>
                <w:color w:val="000000"/>
                <w:sz w:val="20"/>
              </w:rPr>
            </w:pPr>
            <w:r>
              <w:rPr>
                <w:color w:val="000000"/>
                <w:sz w:val="20"/>
              </w:rPr>
              <w:t>omit</w:t>
            </w:r>
            <w:r>
              <w:rPr>
                <w:color w:val="000000"/>
                <w:sz w:val="20"/>
              </w:rPr>
              <w:br/>
              <w:t>include</w:t>
            </w:r>
            <w:r>
              <w:rPr>
                <w:color w:val="000000"/>
                <w:sz w:val="20"/>
              </w:rPr>
              <w:br/>
              <w:t>omit</w:t>
            </w:r>
            <w:r>
              <w:rPr>
                <w:color w:val="000000"/>
                <w:sz w:val="20"/>
              </w:rPr>
              <w:br/>
              <w:t>omit</w:t>
            </w:r>
            <w:r>
              <w:rPr>
                <w:color w:val="000000"/>
                <w:sz w:val="20"/>
              </w:rPr>
              <w:br/>
              <w:t>. .</w:t>
            </w:r>
            <w:r>
              <w:rPr>
                <w:color w:val="000000"/>
                <w:sz w:val="20"/>
              </w:rPr>
              <w:br/>
            </w:r>
            <w:r>
              <w:rPr>
                <w:color w:val="000000"/>
                <w:sz w:val="20"/>
              </w:rPr>
              <w:br/>
            </w:r>
            <w:r>
              <w:rPr>
                <w:color w:val="000000"/>
                <w:sz w:val="20"/>
              </w:rPr>
              <w:br/>
              <w:t>. .</w:t>
            </w:r>
          </w:p>
        </w:tc>
        <w:tc>
          <w:tcPr>
            <w:tcW w:w="1320" w:type="dxa"/>
          </w:tcPr>
          <w:p w:rsidR="00B40966" w:rsidRDefault="00B40966">
            <w:pPr>
              <w:spacing w:before="120"/>
              <w:ind w:right="-20"/>
              <w:rPr>
                <w:color w:val="000000"/>
                <w:sz w:val="20"/>
              </w:rPr>
            </w:pPr>
            <w:r>
              <w:rPr>
                <w:color w:val="000000"/>
                <w:sz w:val="20"/>
              </w:rPr>
              <w:t>omit</w:t>
            </w:r>
            <w:r>
              <w:rPr>
                <w:color w:val="000000"/>
                <w:sz w:val="20"/>
              </w:rPr>
              <w:br/>
              <w:t>. .</w:t>
            </w:r>
            <w:r>
              <w:rPr>
                <w:color w:val="000000"/>
                <w:sz w:val="20"/>
              </w:rPr>
              <w:br/>
              <w:t>omit</w:t>
            </w:r>
            <w:r>
              <w:rPr>
                <w:color w:val="000000"/>
                <w:sz w:val="20"/>
              </w:rPr>
              <w:br/>
              <w:t>omit</w:t>
            </w:r>
            <w:r>
              <w:rPr>
                <w:color w:val="000000"/>
                <w:sz w:val="20"/>
              </w:rPr>
              <w:br/>
              <w:t>include wind acting from the rear.</w:t>
            </w:r>
            <w:r>
              <w:rPr>
                <w:color w:val="000000"/>
                <w:sz w:val="20"/>
              </w:rPr>
              <w:br/>
              <w:t>include wind acting from front or from side</w:t>
            </w:r>
          </w:p>
        </w:tc>
        <w:tc>
          <w:tcPr>
            <w:tcW w:w="1680" w:type="dxa"/>
            <w:gridSpan w:val="2"/>
          </w:tcPr>
          <w:p w:rsidR="00B40966" w:rsidRDefault="00B40966">
            <w:pPr>
              <w:spacing w:before="120"/>
              <w:ind w:right="-20"/>
              <w:rPr>
                <w:color w:val="000000"/>
                <w:sz w:val="20"/>
              </w:rPr>
            </w:pPr>
            <w:r>
              <w:rPr>
                <w:color w:val="000000"/>
                <w:sz w:val="20"/>
              </w:rPr>
              <w:t>omit</w:t>
            </w:r>
            <w:r>
              <w:rPr>
                <w:color w:val="000000"/>
                <w:sz w:val="20"/>
              </w:rPr>
              <w:br/>
              <w:t>omit</w:t>
            </w:r>
            <w:r>
              <w:rPr>
                <w:color w:val="000000"/>
                <w:sz w:val="20"/>
              </w:rPr>
              <w:br/>
              <w:t>omit</w:t>
            </w:r>
            <w:r>
              <w:rPr>
                <w:color w:val="000000"/>
                <w:sz w:val="20"/>
              </w:rPr>
              <w:br/>
              <w:t>include</w:t>
            </w:r>
            <w:r>
              <w:rPr>
                <w:color w:val="000000"/>
                <w:sz w:val="20"/>
              </w:rPr>
              <w:br/>
              <w:t>omit</w:t>
            </w:r>
            <w:r>
              <w:rPr>
                <w:color w:val="000000"/>
                <w:sz w:val="20"/>
              </w:rPr>
              <w:br/>
            </w:r>
            <w:r>
              <w:rPr>
                <w:color w:val="000000"/>
                <w:sz w:val="20"/>
              </w:rPr>
              <w:br/>
            </w:r>
            <w:r>
              <w:rPr>
                <w:color w:val="000000"/>
                <w:sz w:val="20"/>
              </w:rPr>
              <w:br/>
              <w:t>omit</w:t>
            </w:r>
          </w:p>
        </w:tc>
        <w:tc>
          <w:tcPr>
            <w:tcW w:w="1135" w:type="dxa"/>
          </w:tcPr>
          <w:p w:rsidR="00B40966" w:rsidRDefault="00B40966">
            <w:pPr>
              <w:spacing w:before="120"/>
              <w:ind w:right="-20"/>
              <w:rPr>
                <w:color w:val="000000"/>
                <w:sz w:val="20"/>
              </w:rPr>
            </w:pPr>
            <w:r>
              <w:rPr>
                <w:color w:val="000000"/>
                <w:sz w:val="20"/>
              </w:rPr>
              <w:t>1.3</w:t>
            </w:r>
            <w:r>
              <w:rPr>
                <w:color w:val="000000"/>
                <w:sz w:val="20"/>
              </w:rPr>
              <w:br/>
              <w:t>1.0</w:t>
            </w:r>
            <w:r>
              <w:rPr>
                <w:color w:val="000000"/>
                <w:sz w:val="20"/>
              </w:rPr>
              <w:br/>
              <w:t>1.4</w:t>
            </w:r>
            <w:r>
              <w:rPr>
                <w:color w:val="000000"/>
                <w:sz w:val="20"/>
              </w:rPr>
              <w:br/>
              <w:t>1.0</w:t>
            </w:r>
            <w:r>
              <w:rPr>
                <w:color w:val="000000"/>
                <w:sz w:val="20"/>
              </w:rPr>
              <w:br/>
              <w:t>1.5</w:t>
            </w:r>
            <w:r>
              <w:rPr>
                <w:color w:val="000000"/>
                <w:sz w:val="20"/>
              </w:rPr>
              <w:br/>
            </w:r>
            <w:r>
              <w:rPr>
                <w:color w:val="000000"/>
                <w:sz w:val="20"/>
              </w:rPr>
              <w:br/>
            </w:r>
            <w:r>
              <w:rPr>
                <w:color w:val="000000"/>
                <w:sz w:val="20"/>
              </w:rPr>
              <w:br/>
              <w:t>1.0</w:t>
            </w:r>
          </w:p>
        </w:tc>
      </w:tr>
      <w:tr w:rsidR="00B40966">
        <w:trPr>
          <w:gridAfter w:val="1"/>
          <w:wAfter w:w="20" w:type="dxa"/>
          <w:cantSplit/>
        </w:trPr>
        <w:tc>
          <w:tcPr>
            <w:tcW w:w="2400" w:type="dxa"/>
            <w:gridSpan w:val="2"/>
          </w:tcPr>
          <w:p w:rsidR="00B40966" w:rsidRDefault="00B40966">
            <w:pPr>
              <w:keepNext/>
              <w:ind w:right="-20"/>
              <w:rPr>
                <w:color w:val="000000"/>
                <w:sz w:val="20"/>
              </w:rPr>
            </w:pPr>
          </w:p>
        </w:tc>
        <w:tc>
          <w:tcPr>
            <w:tcW w:w="620" w:type="dxa"/>
            <w:gridSpan w:val="2"/>
          </w:tcPr>
          <w:p w:rsidR="00B40966" w:rsidRDefault="00B40966">
            <w:pPr>
              <w:keepNext/>
              <w:ind w:right="-20"/>
              <w:rPr>
                <w:color w:val="000000"/>
                <w:sz w:val="20"/>
              </w:rPr>
            </w:pPr>
          </w:p>
        </w:tc>
        <w:tc>
          <w:tcPr>
            <w:tcW w:w="5600" w:type="dxa"/>
            <w:gridSpan w:val="4"/>
          </w:tcPr>
          <w:p w:rsidR="00B40966" w:rsidRDefault="00B40966">
            <w:pPr>
              <w:keepNext/>
              <w:ind w:right="-20"/>
              <w:jc w:val="center"/>
              <w:rPr>
                <w:color w:val="000000"/>
                <w:sz w:val="20"/>
              </w:rPr>
            </w:pPr>
            <w:r>
              <w:rPr>
                <w:color w:val="000000"/>
                <w:sz w:val="20"/>
              </w:rPr>
              <w:t xml:space="preserve">repeat all shown for </w:t>
            </w:r>
            <w:r>
              <w:rPr>
                <w:i/>
                <w:color w:val="000000"/>
                <w:sz w:val="20"/>
              </w:rPr>
              <w:t>stationary cranes</w:t>
            </w:r>
            <w:r>
              <w:rPr>
                <w:color w:val="000000"/>
                <w:sz w:val="20"/>
              </w:rPr>
              <w:t xml:space="preserve"> and add—</w:t>
            </w:r>
          </w:p>
        </w:tc>
        <w:tc>
          <w:tcPr>
            <w:tcW w:w="1680" w:type="dxa"/>
            <w:gridSpan w:val="2"/>
          </w:tcPr>
          <w:p w:rsidR="00B40966" w:rsidRDefault="00B40966">
            <w:pPr>
              <w:keepNext/>
              <w:ind w:right="-20"/>
              <w:rPr>
                <w:color w:val="000000"/>
                <w:sz w:val="20"/>
              </w:rPr>
            </w:pPr>
          </w:p>
        </w:tc>
        <w:tc>
          <w:tcPr>
            <w:tcW w:w="1135" w:type="dxa"/>
          </w:tcPr>
          <w:p w:rsidR="00B40966" w:rsidRDefault="00B40966">
            <w:pPr>
              <w:keepNext/>
              <w:ind w:right="-20"/>
              <w:rPr>
                <w:color w:val="000000"/>
                <w:sz w:val="20"/>
              </w:rPr>
            </w:pPr>
          </w:p>
        </w:tc>
      </w:tr>
      <w:tr w:rsidR="00B40966">
        <w:trPr>
          <w:cantSplit/>
        </w:trPr>
        <w:tc>
          <w:tcPr>
            <w:tcW w:w="2400" w:type="dxa"/>
            <w:gridSpan w:val="2"/>
            <w:tcBorders>
              <w:bottom w:val="single" w:sz="6" w:space="0" w:color="auto"/>
            </w:tcBorders>
          </w:tcPr>
          <w:p w:rsidR="00B40966" w:rsidRDefault="00B40966">
            <w:pPr>
              <w:spacing w:before="360" w:after="120"/>
              <w:ind w:left="160" w:right="-20" w:hanging="140"/>
              <w:rPr>
                <w:color w:val="000000"/>
                <w:sz w:val="20"/>
              </w:rPr>
            </w:pPr>
            <w:r>
              <w:rPr>
                <w:color w:val="000000"/>
                <w:sz w:val="20"/>
              </w:rPr>
              <w:t>floating cranes</w:t>
            </w:r>
          </w:p>
        </w:tc>
        <w:tc>
          <w:tcPr>
            <w:tcW w:w="620" w:type="dxa"/>
            <w:gridSpan w:val="2"/>
            <w:tcBorders>
              <w:bottom w:val="single" w:sz="6" w:space="0" w:color="auto"/>
            </w:tcBorders>
          </w:tcPr>
          <w:p w:rsidR="00B40966" w:rsidRDefault="00B40966">
            <w:pPr>
              <w:spacing w:before="360" w:after="120"/>
              <w:ind w:right="-20"/>
              <w:rPr>
                <w:color w:val="000000"/>
                <w:sz w:val="20"/>
              </w:rPr>
            </w:pPr>
            <w:r>
              <w:rPr>
                <w:color w:val="000000"/>
                <w:sz w:val="20"/>
              </w:rPr>
              <w:t>C</w:t>
            </w:r>
          </w:p>
        </w:tc>
        <w:bookmarkStart w:id="237" w:name="_MON_1090822027"/>
        <w:bookmarkStart w:id="238" w:name="_MON_1159698762"/>
        <w:bookmarkEnd w:id="237"/>
        <w:bookmarkEnd w:id="238"/>
        <w:bookmarkStart w:id="239" w:name="_MON_1090412561"/>
        <w:bookmarkEnd w:id="239"/>
        <w:tc>
          <w:tcPr>
            <w:tcW w:w="1640" w:type="dxa"/>
            <w:tcBorders>
              <w:bottom w:val="single" w:sz="6" w:space="0" w:color="auto"/>
            </w:tcBorders>
          </w:tcPr>
          <w:p w:rsidR="00B40966" w:rsidRDefault="00B40966">
            <w:pPr>
              <w:ind w:right="-20"/>
              <w:rPr>
                <w:color w:val="000000"/>
                <w:sz w:val="16"/>
              </w:rPr>
            </w:pPr>
            <w:r>
              <w:rPr>
                <w:color w:val="000000"/>
                <w:sz w:val="20"/>
              </w:rPr>
              <w:object w:dxaOrig="1351" w:dyaOrig="766">
                <v:shape id="_x0000_i1042" type="#_x0000_t75" style="width:67.5pt;height:38.25pt" o:ole="" fillcolor="window">
                  <v:imagedata r:id="rId85" o:title=""/>
                </v:shape>
                <o:OLEObject Type="Embed" ProgID="Word.Picture.8" ShapeID="_x0000_i1042" DrawAspect="Content" ObjectID="_1595937059" r:id="rId86"/>
              </w:object>
            </w:r>
          </w:p>
        </w:tc>
        <w:tc>
          <w:tcPr>
            <w:tcW w:w="1080" w:type="dxa"/>
            <w:tcBorders>
              <w:bottom w:val="single" w:sz="6" w:space="0" w:color="auto"/>
            </w:tcBorders>
          </w:tcPr>
          <w:p w:rsidR="00B40966" w:rsidRDefault="00B40966">
            <w:pPr>
              <w:spacing w:before="120" w:after="60"/>
              <w:ind w:left="-60" w:right="-120"/>
              <w:rPr>
                <w:color w:val="000000"/>
                <w:sz w:val="20"/>
              </w:rPr>
            </w:pPr>
            <w:r>
              <w:rPr>
                <w:color w:val="000000"/>
                <w:sz w:val="20"/>
              </w:rPr>
              <w:t>include</w:t>
            </w:r>
          </w:p>
          <w:p w:rsidR="00B40966" w:rsidRDefault="00B40966">
            <w:pPr>
              <w:spacing w:after="120"/>
              <w:ind w:left="-60" w:right="-120"/>
              <w:rPr>
                <w:color w:val="000000"/>
                <w:sz w:val="16"/>
              </w:rPr>
            </w:pPr>
            <w:r>
              <w:rPr>
                <w:color w:val="000000"/>
                <w:sz w:val="20"/>
              </w:rPr>
              <w:t>include</w:t>
            </w:r>
          </w:p>
        </w:tc>
        <w:tc>
          <w:tcPr>
            <w:tcW w:w="1560" w:type="dxa"/>
            <w:tcBorders>
              <w:bottom w:val="single" w:sz="6" w:space="0" w:color="auto"/>
            </w:tcBorders>
          </w:tcPr>
          <w:p w:rsidR="00B40966" w:rsidRDefault="00B40966">
            <w:pPr>
              <w:spacing w:before="120" w:after="60"/>
              <w:ind w:right="-20"/>
              <w:rPr>
                <w:color w:val="000000"/>
                <w:sz w:val="16"/>
              </w:rPr>
            </w:pPr>
            <w:r>
              <w:rPr>
                <w:color w:val="000000"/>
                <w:sz w:val="16"/>
              </w:rPr>
              <w:t>. .</w:t>
            </w:r>
          </w:p>
          <w:p w:rsidR="00B40966" w:rsidRDefault="00B40966">
            <w:pPr>
              <w:spacing w:after="120"/>
              <w:ind w:right="-20"/>
              <w:rPr>
                <w:color w:val="000000"/>
                <w:sz w:val="16"/>
              </w:rPr>
            </w:pPr>
            <w:r>
              <w:rPr>
                <w:color w:val="000000"/>
                <w:sz w:val="16"/>
              </w:rPr>
              <w:t>. .</w:t>
            </w:r>
          </w:p>
        </w:tc>
        <w:tc>
          <w:tcPr>
            <w:tcW w:w="1320" w:type="dxa"/>
            <w:tcBorders>
              <w:bottom w:val="single" w:sz="6" w:space="0" w:color="auto"/>
            </w:tcBorders>
          </w:tcPr>
          <w:p w:rsidR="00B40966" w:rsidRDefault="00B40966">
            <w:pPr>
              <w:spacing w:before="120" w:after="60"/>
              <w:ind w:right="-100"/>
              <w:rPr>
                <w:color w:val="000000"/>
                <w:sz w:val="20"/>
              </w:rPr>
            </w:pPr>
            <w:r>
              <w:rPr>
                <w:color w:val="000000"/>
                <w:sz w:val="20"/>
              </w:rPr>
              <w:t>include</w:t>
            </w:r>
          </w:p>
          <w:p w:rsidR="00B40966" w:rsidRDefault="00B40966">
            <w:pPr>
              <w:spacing w:after="120"/>
              <w:ind w:right="-100"/>
              <w:rPr>
                <w:color w:val="000000"/>
                <w:sz w:val="16"/>
              </w:rPr>
            </w:pPr>
            <w:r>
              <w:rPr>
                <w:color w:val="000000"/>
                <w:sz w:val="20"/>
              </w:rPr>
              <w:t>include</w:t>
            </w:r>
          </w:p>
        </w:tc>
        <w:tc>
          <w:tcPr>
            <w:tcW w:w="855" w:type="dxa"/>
            <w:tcBorders>
              <w:bottom w:val="single" w:sz="6" w:space="0" w:color="auto"/>
            </w:tcBorders>
          </w:tcPr>
          <w:p w:rsidR="00B40966" w:rsidRDefault="00B40966">
            <w:pPr>
              <w:spacing w:before="120" w:after="60"/>
              <w:ind w:right="-20"/>
              <w:rPr>
                <w:color w:val="000000"/>
                <w:sz w:val="20"/>
              </w:rPr>
            </w:pPr>
            <w:r>
              <w:rPr>
                <w:color w:val="000000"/>
                <w:sz w:val="20"/>
              </w:rPr>
              <w:t>omit</w:t>
            </w:r>
          </w:p>
          <w:p w:rsidR="00B40966" w:rsidRDefault="00B40966">
            <w:pPr>
              <w:spacing w:after="120"/>
              <w:ind w:right="-20"/>
              <w:rPr>
                <w:color w:val="000000"/>
                <w:sz w:val="16"/>
              </w:rPr>
            </w:pPr>
            <w:r>
              <w:rPr>
                <w:color w:val="000000"/>
                <w:sz w:val="20"/>
              </w:rPr>
              <w:t>omit</w:t>
            </w:r>
          </w:p>
        </w:tc>
        <w:tc>
          <w:tcPr>
            <w:tcW w:w="1980" w:type="dxa"/>
            <w:gridSpan w:val="3"/>
            <w:tcBorders>
              <w:bottom w:val="single" w:sz="6" w:space="0" w:color="auto"/>
            </w:tcBorders>
          </w:tcPr>
          <w:p w:rsidR="00B40966" w:rsidRDefault="00B40966">
            <w:pPr>
              <w:pStyle w:val="Formula"/>
            </w:pPr>
            <w:r>
              <w:rPr>
                <w:position w:val="-52"/>
              </w:rPr>
              <w:object w:dxaOrig="1840" w:dyaOrig="1140">
                <v:shape id="_x0000_i1043" type="#_x0000_t75" style="width:92.25pt;height:57pt" o:ole="" fillcolor="window">
                  <v:imagedata r:id="rId87" o:title=""/>
                </v:shape>
                <o:OLEObject Type="Embed" ProgID="Equation.2" ShapeID="_x0000_i1043" DrawAspect="Content" ObjectID="_1595937060" r:id="rId88"/>
              </w:object>
            </w:r>
          </w:p>
        </w:tc>
      </w:tr>
    </w:tbl>
    <w:p w:rsidR="00B40966" w:rsidRDefault="00B40966">
      <w:pPr>
        <w:spacing w:before="60"/>
        <w:rPr>
          <w:sz w:val="20"/>
        </w:rPr>
      </w:pPr>
      <w:r>
        <w:rPr>
          <w:sz w:val="20"/>
        </w:rPr>
        <w:t>Reference B includes cranes travelling on horizontal, level tracks, without superelevation.  If these conditions are not ensured, full allowance must be made for more adverse circumstances.</w:t>
      </w:r>
    </w:p>
    <w:p w:rsidR="00B40966" w:rsidRDefault="00B40966">
      <w:pPr>
        <w:pStyle w:val="02TextLandscape"/>
        <w:sectPr w:rsidR="00B40966">
          <w:headerReference w:type="even" r:id="rId89"/>
          <w:headerReference w:type="default" r:id="rId90"/>
          <w:footerReference w:type="even" r:id="rId91"/>
          <w:footerReference w:type="default" r:id="rId92"/>
          <w:pgSz w:w="16839" w:h="11907" w:orient="landscape" w:code="9"/>
          <w:pgMar w:top="2300" w:right="3000" w:bottom="1900" w:left="2500" w:header="2480" w:footer="2100" w:gutter="0"/>
          <w:cols w:space="720"/>
          <w:docGrid w:linePitch="254"/>
        </w:sectPr>
      </w:pPr>
    </w:p>
    <w:p w:rsidR="00B40966" w:rsidRDefault="00B40966">
      <w:pPr>
        <w:pStyle w:val="Amain"/>
        <w:rPr>
          <w:color w:val="000000"/>
        </w:rPr>
      </w:pPr>
      <w:r>
        <w:rPr>
          <w:color w:val="000000"/>
        </w:rPr>
        <w:tab/>
        <w:t>(3)</w:t>
      </w:r>
      <w:r>
        <w:rPr>
          <w:color w:val="000000"/>
        </w:rPr>
        <w:tab/>
        <w:t>The ratio of stability of any crane or hoist shall be determined in each instance by dividing the moment of the loadings that stabilise the crane or hoist by the moment of the loadings that tend to overturn it, all the moments being measured about the point or line around which overturning takes place.</w:t>
      </w:r>
    </w:p>
    <w:p w:rsidR="00B40966" w:rsidRDefault="00B40966">
      <w:pPr>
        <w:pStyle w:val="Amain"/>
      </w:pPr>
      <w:r>
        <w:rPr>
          <w:color w:val="000000"/>
        </w:rPr>
        <w:tab/>
        <w:t>(4)</w:t>
      </w:r>
      <w:r>
        <w:rPr>
          <w:color w:val="000000"/>
        </w:rPr>
        <w:tab/>
        <w:t>In assessing the overturning loadings, the provisions of section 125 shall be disregarded.</w:t>
      </w:r>
    </w:p>
    <w:p w:rsidR="00B40966" w:rsidRDefault="00B40966">
      <w:pPr>
        <w:pStyle w:val="Amain"/>
      </w:pPr>
      <w:r>
        <w:rPr>
          <w:color w:val="000000"/>
        </w:rPr>
        <w:tab/>
        <w:t>(5)</w:t>
      </w:r>
      <w:r>
        <w:rPr>
          <w:color w:val="000000"/>
        </w:rPr>
        <w:tab/>
        <w:t>Unless and until approved by the chief inspector, rail clamps, outriggers or other devices for augmenting the stability of cranes or hoists shall be disregarded in assessing overturning moments.</w:t>
      </w:r>
    </w:p>
    <w:p w:rsidR="00B40966" w:rsidRDefault="00B40966">
      <w:pPr>
        <w:pStyle w:val="Amain"/>
      </w:pPr>
      <w:r>
        <w:rPr>
          <w:color w:val="000000"/>
        </w:rPr>
        <w:tab/>
        <w:t>(6)</w:t>
      </w:r>
      <w:r>
        <w:rPr>
          <w:color w:val="000000"/>
        </w:rPr>
        <w:tab/>
        <w:t>If the dead load of any crane or hoist is insufficient to prevent the crane or hoist being blown along its tracks with all track wheels locked, or if the brakes are incapable of completely locking all the track wheels, approved means shall be adopted by which the crane or hoist may be secured against wind loadings.</w:t>
      </w:r>
    </w:p>
    <w:p w:rsidR="00B40966" w:rsidRDefault="00B40966">
      <w:pPr>
        <w:pStyle w:val="Amain"/>
      </w:pPr>
      <w:r>
        <w:tab/>
        <w:t>(7)</w:t>
      </w:r>
      <w:r>
        <w:tab/>
        <w:t>In assessing the braking grip of wheels on track rails a coefficient of friction not greater than 0.1 shall be assumed.</w:t>
      </w:r>
    </w:p>
    <w:p w:rsidR="00B40966" w:rsidRDefault="00B40966">
      <w:pPr>
        <w:pStyle w:val="Amain"/>
      </w:pPr>
      <w:r>
        <w:tab/>
        <w:t>(8)</w:t>
      </w:r>
      <w:r>
        <w:tab/>
        <w:t>Wind loadings in accordance with section 123 shall be assumed, but irrespective of whether the crane is in operation or not, the intensity of wind loading shall be assumed to be that appropriate when the crane is not operating.</w:t>
      </w:r>
    </w:p>
    <w:p w:rsidR="00B40966" w:rsidRDefault="00B40966">
      <w:pPr>
        <w:pStyle w:val="AH4SubDiv"/>
      </w:pPr>
      <w:bookmarkStart w:id="240" w:name="_Toc87258085"/>
      <w:r>
        <w:t>Test loads</w:t>
      </w:r>
      <w:bookmarkEnd w:id="240"/>
    </w:p>
    <w:p w:rsidR="00B40966" w:rsidRDefault="00B40966">
      <w:pPr>
        <w:pStyle w:val="AH5Sec"/>
      </w:pPr>
      <w:bookmarkStart w:id="241" w:name="_Toc87258086"/>
      <w:r>
        <w:rPr>
          <w:rStyle w:val="CharSectNo"/>
        </w:rPr>
        <w:t>129</w:t>
      </w:r>
      <w:bookmarkEnd w:id="241"/>
      <w:r>
        <w:tab/>
        <w:t xml:space="preserve">  </w:t>
      </w:r>
    </w:p>
    <w:p w:rsidR="00B40966" w:rsidRDefault="00B40966">
      <w:pPr>
        <w:pStyle w:val="Amain"/>
        <w:rPr>
          <w:color w:val="000000"/>
        </w:rPr>
      </w:pPr>
      <w:r>
        <w:rPr>
          <w:color w:val="000000"/>
        </w:rPr>
        <w:tab/>
        <w:t>(1)</w:t>
      </w:r>
      <w:r>
        <w:rPr>
          <w:color w:val="000000"/>
        </w:rPr>
        <w:tab/>
        <w:t>Except if the chief inspector otherwise requires, each test load shall weigh 1</w:t>
      </w:r>
      <w:r>
        <w:rPr>
          <w:color w:val="000000"/>
          <w:position w:val="6"/>
          <w:sz w:val="18"/>
        </w:rPr>
        <w:t>1</w:t>
      </w:r>
      <w:r>
        <w:rPr>
          <w:color w:val="000000"/>
        </w:rPr>
        <w:t>/</w:t>
      </w:r>
      <w:r>
        <w:rPr>
          <w:color w:val="000000"/>
          <w:sz w:val="18"/>
        </w:rPr>
        <w:t>4</w:t>
      </w:r>
      <w:r>
        <w:rPr>
          <w:color w:val="000000"/>
        </w:rPr>
        <w:t xml:space="preserve"> times the working load of the crane, hoist or part of it that is to be tested.</w:t>
      </w:r>
    </w:p>
    <w:p w:rsidR="00B40966" w:rsidRDefault="00B40966">
      <w:pPr>
        <w:pStyle w:val="Amain"/>
      </w:pPr>
      <w:r>
        <w:rPr>
          <w:color w:val="000000"/>
        </w:rPr>
        <w:tab/>
        <w:t>(2)</w:t>
      </w:r>
      <w:r>
        <w:rPr>
          <w:color w:val="000000"/>
        </w:rPr>
        <w:tab/>
        <w:t>No person shall apply any greater test load unless the person has first obtained the assent of the chief inspector.</w:t>
      </w:r>
    </w:p>
    <w:p w:rsidR="00B40966" w:rsidRDefault="00B40966">
      <w:pPr>
        <w:pStyle w:val="Amain"/>
      </w:pPr>
      <w:r>
        <w:rPr>
          <w:color w:val="000000"/>
        </w:rPr>
        <w:tab/>
        <w:t>(3)</w:t>
      </w:r>
      <w:r>
        <w:rPr>
          <w:color w:val="000000"/>
        </w:rPr>
        <w:tab/>
        <w:t>Not more than 1 test load shall be raised, lowered or transported by or on any crane or hoist or lift or scaffolding at any 1 time.</w:t>
      </w:r>
    </w:p>
    <w:p w:rsidR="00B40966" w:rsidRDefault="00B40966">
      <w:pPr>
        <w:pStyle w:val="Amain"/>
      </w:pPr>
      <w:r>
        <w:tab/>
        <w:t>(4)</w:t>
      </w:r>
      <w:r>
        <w:tab/>
        <w:t>If a greater number of simultaneous test loads are necessary the approval of the chief inspector shall be obtained before the loads are raised, lowered or transported.</w:t>
      </w:r>
    </w:p>
    <w:p w:rsidR="00B40966" w:rsidRDefault="00B40966">
      <w:pPr>
        <w:pStyle w:val="AH4SubDiv"/>
      </w:pPr>
      <w:bookmarkStart w:id="242" w:name="_Toc87258087"/>
      <w:r>
        <w:t>Mechanical</w:t>
      </w:r>
      <w:bookmarkEnd w:id="242"/>
    </w:p>
    <w:p w:rsidR="00B40966" w:rsidRDefault="00B40966">
      <w:pPr>
        <w:pStyle w:val="AH5Sec"/>
      </w:pPr>
      <w:bookmarkStart w:id="243" w:name="_Toc87258088"/>
      <w:r>
        <w:rPr>
          <w:rStyle w:val="CharSectNo"/>
        </w:rPr>
        <w:t>130</w:t>
      </w:r>
      <w:bookmarkEnd w:id="243"/>
      <w:r>
        <w:tab/>
        <w:t xml:space="preserve">  </w:t>
      </w:r>
    </w:p>
    <w:p w:rsidR="00B40966" w:rsidRDefault="00B40966">
      <w:pPr>
        <w:pStyle w:val="Amain"/>
      </w:pPr>
      <w:r>
        <w:rPr>
          <w:color w:val="000000"/>
        </w:rPr>
        <w:tab/>
        <w:t>(1)</w:t>
      </w:r>
      <w:r>
        <w:rPr>
          <w:color w:val="000000"/>
        </w:rPr>
        <w:tab/>
        <w:t>The diameter of the shank of any forged steel lifting hook shall not, when measured at the bottom of the thread, be less than that determined by the formula—</w:t>
      </w:r>
    </w:p>
    <w:p w:rsidR="00B40966" w:rsidRDefault="00B40966">
      <w:pPr>
        <w:pStyle w:val="Formula"/>
      </w:pPr>
      <w:r>
        <w:rPr>
          <w:rStyle w:val="charItals"/>
        </w:rPr>
        <w:t xml:space="preserve">t  </w:t>
      </w:r>
      <w:r>
        <w:t>= 0.65</w:t>
      </w:r>
      <w:r>
        <w:fldChar w:fldCharType="begin"/>
      </w:r>
      <w:r>
        <w:instrText xml:space="preserve"> EQ \R(</w:instrText>
      </w:r>
      <w:r>
        <w:rPr>
          <w:i/>
        </w:rPr>
        <w:instrText>w</w:instrText>
      </w:r>
      <w:r>
        <w:instrText xml:space="preserve">) </w:instrText>
      </w:r>
      <w:r>
        <w:fldChar w:fldCharType="end"/>
      </w:r>
      <w:r>
        <w:t xml:space="preserve">  inches.</w:t>
      </w:r>
    </w:p>
    <w:p w:rsidR="00B40966" w:rsidRDefault="00B40966">
      <w:pPr>
        <w:pStyle w:val="Amain"/>
      </w:pPr>
      <w:r>
        <w:tab/>
        <w:t>(2)</w:t>
      </w:r>
      <w:r>
        <w:tab/>
        <w:t>In subsection (1):</w:t>
      </w:r>
    </w:p>
    <w:p w:rsidR="00B40966" w:rsidRDefault="00B40966">
      <w:pPr>
        <w:pStyle w:val="aDef"/>
      </w:pPr>
      <w:r>
        <w:rPr>
          <w:rStyle w:val="charItals"/>
          <w:b/>
        </w:rPr>
        <w:t>t</w:t>
      </w:r>
      <w:r>
        <w:t xml:space="preserve"> means the diameter of the hook shank in inches.</w:t>
      </w:r>
    </w:p>
    <w:p w:rsidR="00B40966" w:rsidRDefault="00B40966">
      <w:pPr>
        <w:pStyle w:val="aDef"/>
      </w:pPr>
      <w:r>
        <w:rPr>
          <w:rStyle w:val="charItals"/>
          <w:b/>
        </w:rPr>
        <w:t>w</w:t>
      </w:r>
      <w:r>
        <w:t xml:space="preserve"> means the maximum tensile load in tons in the hook shank.</w:t>
      </w:r>
    </w:p>
    <w:p w:rsidR="00B40966" w:rsidRDefault="00B40966">
      <w:pPr>
        <w:pStyle w:val="Amain"/>
      </w:pPr>
      <w:r>
        <w:tab/>
        <w:t>(3)</w:t>
      </w:r>
      <w:r>
        <w:tab/>
        <w:t xml:space="preserve">For subsection (1) the increases in load </w:t>
      </w:r>
      <w:r>
        <w:rPr>
          <w:rStyle w:val="charItals"/>
          <w:b/>
        </w:rPr>
        <w:t>w</w:t>
      </w:r>
      <w:r>
        <w:t xml:space="preserve"> otherwise prescribed by section 125 may be disregarded, except if the hoisting mechanism of the crane is within classification 4, in which case the compensating ratio shall be assumed to be 1.2, and the hook designed for the increased load.</w:t>
      </w:r>
    </w:p>
    <w:p w:rsidR="00B40966" w:rsidRDefault="00B40966">
      <w:pPr>
        <w:pStyle w:val="Amain"/>
      </w:pPr>
      <w:r>
        <w:rPr>
          <w:color w:val="000000"/>
        </w:rPr>
        <w:tab/>
        <w:t>(4)</w:t>
      </w:r>
      <w:r>
        <w:rPr>
          <w:color w:val="000000"/>
        </w:rPr>
        <w:tab/>
        <w:t>If the shank of a lifting hook is not provided with a screw thread, the hook shall be proportioned as though it were so provided, but if instead of a screw thread the shank is recessed in an approved way to accommodate a split washer or cone, the tensile stress at the recessed part may exceed that permissible if a screw thread were used in the ratio 1.67:1.</w:t>
      </w:r>
    </w:p>
    <w:p w:rsidR="00B40966" w:rsidRDefault="00B40966">
      <w:pPr>
        <w:pStyle w:val="Amain"/>
      </w:pPr>
      <w:r>
        <w:tab/>
        <w:t>(5)</w:t>
      </w:r>
      <w:r>
        <w:tab/>
        <w:t>Upset heads shall not be formed on hook shanks after the shanks have been inserted in their trunnions, shackles, swivels or other supports.</w:t>
      </w:r>
    </w:p>
    <w:p w:rsidR="00B40966" w:rsidRDefault="00B40966">
      <w:pPr>
        <w:pStyle w:val="Amain"/>
      </w:pPr>
      <w:r>
        <w:rPr>
          <w:color w:val="000000"/>
        </w:rPr>
        <w:tab/>
        <w:t>(6)</w:t>
      </w:r>
      <w:r>
        <w:rPr>
          <w:color w:val="000000"/>
        </w:rPr>
        <w:tab/>
        <w:t xml:space="preserve">Notwithstanding the provisions of section 4, no lifting hook shall be of less computed strength than one of forged steel proportioned in accordance with diagram 130.1 and diagram 130.2, having regard to the bight diameter, </w:t>
      </w:r>
      <w:r>
        <w:rPr>
          <w:b/>
          <w:color w:val="000000"/>
        </w:rPr>
        <w:t>C</w:t>
      </w:r>
      <w:r>
        <w:rPr>
          <w:color w:val="000000"/>
        </w:rPr>
        <w:t>, which shall be determined from the formula—</w:t>
      </w:r>
    </w:p>
    <w:p w:rsidR="00B40966" w:rsidRDefault="00B40966">
      <w:pPr>
        <w:pStyle w:val="Formula"/>
      </w:pPr>
      <w:r>
        <w:t>C = 1.84</w:t>
      </w:r>
      <w:r>
        <w:fldChar w:fldCharType="begin"/>
      </w:r>
      <w:r>
        <w:instrText xml:space="preserve"> EQ \R(</w:instrText>
      </w:r>
      <w:r>
        <w:rPr>
          <w:i/>
        </w:rPr>
        <w:instrText>w</w:instrText>
      </w:r>
      <w:r>
        <w:instrText xml:space="preserve">) </w:instrText>
      </w:r>
      <w:r>
        <w:fldChar w:fldCharType="end"/>
      </w:r>
    </w:p>
    <w:p w:rsidR="00B40966" w:rsidRDefault="00B40966">
      <w:pPr>
        <w:pStyle w:val="Amainreturn"/>
      </w:pPr>
      <w:r>
        <w:t>for hooks for loads not greater than 3</w:t>
      </w:r>
      <w:r>
        <w:rPr>
          <w:position w:val="6"/>
          <w:sz w:val="18"/>
        </w:rPr>
        <w:t>1</w:t>
      </w:r>
      <w:r>
        <w:t>/</w:t>
      </w:r>
      <w:r>
        <w:rPr>
          <w:sz w:val="18"/>
        </w:rPr>
        <w:t>2</w:t>
      </w:r>
      <w:r>
        <w:t xml:space="preserve"> tons, or</w:t>
      </w:r>
    </w:p>
    <w:p w:rsidR="00B40966" w:rsidRDefault="00B40966">
      <w:pPr>
        <w:pStyle w:val="Formula"/>
      </w:pPr>
      <w:r>
        <w:t>C=1.5</w:t>
      </w:r>
      <w:r>
        <w:fldChar w:fldCharType="begin"/>
      </w:r>
      <w:r>
        <w:instrText xml:space="preserve"> EQ \R(</w:instrText>
      </w:r>
      <w:r>
        <w:rPr>
          <w:i/>
        </w:rPr>
        <w:instrText>w</w:instrText>
      </w:r>
      <w:r>
        <w:instrText xml:space="preserve">) </w:instrText>
      </w:r>
      <w:r>
        <w:fldChar w:fldCharType="end"/>
      </w:r>
    </w:p>
    <w:p w:rsidR="00B40966" w:rsidRDefault="00B40966">
      <w:pPr>
        <w:pStyle w:val="Amainreturn"/>
      </w:pPr>
      <w:r>
        <w:t>for hooks for greater loads.</w:t>
      </w:r>
    </w:p>
    <w:p w:rsidR="00B40966" w:rsidRDefault="00B40966">
      <w:pPr>
        <w:pStyle w:val="Amain"/>
      </w:pPr>
      <w:r>
        <w:tab/>
        <w:t>(7)</w:t>
      </w:r>
      <w:r>
        <w:tab/>
        <w:t>In subsection (6):</w:t>
      </w:r>
    </w:p>
    <w:p w:rsidR="00B40966" w:rsidRDefault="00B40966">
      <w:pPr>
        <w:pStyle w:val="aDef"/>
      </w:pPr>
      <w:r>
        <w:rPr>
          <w:rStyle w:val="charItals"/>
          <w:b/>
        </w:rPr>
        <w:t>w</w:t>
      </w:r>
      <w:r>
        <w:t>—see subsection (2).</w:t>
      </w:r>
    </w:p>
    <w:p w:rsidR="00B40966" w:rsidRDefault="00B40966">
      <w:pPr>
        <w:pStyle w:val="02Text"/>
        <w:sectPr w:rsidR="00B40966">
          <w:headerReference w:type="even" r:id="rId93"/>
          <w:headerReference w:type="default" r:id="rId94"/>
          <w:footerReference w:type="even" r:id="rId95"/>
          <w:footerReference w:type="default" r:id="rId96"/>
          <w:footerReference w:type="first" r:id="rId97"/>
          <w:pgSz w:w="11907" w:h="16839" w:code="9"/>
          <w:pgMar w:top="3000" w:right="1900" w:bottom="2500" w:left="2300" w:header="2480" w:footer="2100" w:gutter="0"/>
          <w:cols w:space="720"/>
          <w:docGrid w:linePitch="254"/>
        </w:sectPr>
      </w:pPr>
    </w:p>
    <w:p w:rsidR="00B40966" w:rsidRDefault="00B40966">
      <w:pPr>
        <w:pStyle w:val="TableHd"/>
      </w:pPr>
      <w:r>
        <w:t>Diagram 130.1</w:t>
      </w:r>
    </w:p>
    <w:p w:rsidR="00B40966" w:rsidRDefault="00B40966">
      <w:pPr>
        <w:jc w:val="center"/>
      </w:pPr>
      <w:r>
        <w:object w:dxaOrig="10351" w:dyaOrig="5881">
          <v:shape id="_x0000_i1044" type="#_x0000_t75" style="width:378.75pt;height:195.75pt" o:ole="" o:allowoverlap="f" fillcolor="window">
            <v:imagedata r:id="rId98" o:title=""/>
          </v:shape>
          <o:OLEObject Type="Embed" ProgID="Word.Picture.8" ShapeID="_x0000_i1044" DrawAspect="Content" ObjectID="_1595937061" r:id="rId99"/>
        </w:object>
      </w:r>
    </w:p>
    <w:p w:rsidR="00B40966" w:rsidRDefault="00B40966">
      <w:pPr>
        <w:pStyle w:val="TableHd"/>
        <w:keepNext w:val="0"/>
      </w:pPr>
      <w:r>
        <w:t>Diagram 130.2</w:t>
      </w:r>
    </w:p>
    <w:p w:rsidR="00B40966" w:rsidRDefault="00DA6E8C">
      <w:pPr>
        <w:pStyle w:val="Amain"/>
        <w:jc w:val="center"/>
        <w:rPr>
          <w:b/>
        </w:rPr>
      </w:pPr>
      <w:r>
        <w:rPr>
          <w:noProof/>
          <w:lang w:eastAsia="en-AU"/>
        </w:rPr>
        <w:drawing>
          <wp:inline distT="0" distB="0" distL="0" distR="0">
            <wp:extent cx="4657725" cy="2600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57725" cy="2600325"/>
                    </a:xfrm>
                    <a:prstGeom prst="rect">
                      <a:avLst/>
                    </a:prstGeom>
                    <a:noFill/>
                    <a:ln>
                      <a:noFill/>
                    </a:ln>
                  </pic:spPr>
                </pic:pic>
              </a:graphicData>
            </a:graphic>
          </wp:inline>
        </w:drawing>
      </w:r>
    </w:p>
    <w:p w:rsidR="00B40966" w:rsidRDefault="00B40966">
      <w:pPr>
        <w:pStyle w:val="02TextLandscape"/>
        <w:sectPr w:rsidR="00B40966">
          <w:headerReference w:type="even" r:id="rId101"/>
          <w:headerReference w:type="default" r:id="rId102"/>
          <w:footerReference w:type="even" r:id="rId103"/>
          <w:footerReference w:type="default" r:id="rId104"/>
          <w:pgSz w:w="16839" w:h="11907" w:orient="landscape" w:code="9"/>
          <w:pgMar w:top="2300" w:right="3000" w:bottom="1900" w:left="2500" w:header="2480" w:footer="2100" w:gutter="0"/>
          <w:cols w:space="720"/>
          <w:docGrid w:linePitch="254"/>
        </w:sectPr>
      </w:pPr>
    </w:p>
    <w:p w:rsidR="00B40966" w:rsidRDefault="00B40966">
      <w:pPr>
        <w:pStyle w:val="Amain"/>
      </w:pPr>
      <w:r>
        <w:tab/>
        <w:t>(8)</w:t>
      </w:r>
      <w:r>
        <w:tab/>
        <w:t>Except as may be provided in the following subsections, all lifting hooks shall be precisely of the form defined by diagram 130.1 and diagram 130.2.</w:t>
      </w:r>
    </w:p>
    <w:p w:rsidR="00B40966" w:rsidRDefault="00B40966">
      <w:pPr>
        <w:pStyle w:val="Amain"/>
        <w:rPr>
          <w:color w:val="000000"/>
        </w:rPr>
      </w:pPr>
      <w:r>
        <w:rPr>
          <w:color w:val="000000"/>
        </w:rPr>
        <w:tab/>
        <w:t>(9)</w:t>
      </w:r>
      <w:r>
        <w:rPr>
          <w:color w:val="000000"/>
        </w:rPr>
        <w:tab/>
        <w:t>Ramshorn lifting hooks shall be precisely of the form defined by diagram 130.3.</w:t>
      </w:r>
    </w:p>
    <w:p w:rsidR="00B40966" w:rsidRDefault="00B40966">
      <w:pPr>
        <w:pStyle w:val="Amain"/>
        <w:rPr>
          <w:color w:val="000000"/>
        </w:rPr>
      </w:pPr>
      <w:r>
        <w:rPr>
          <w:color w:val="000000"/>
        </w:rPr>
        <w:tab/>
        <w:t>(10)</w:t>
      </w:r>
      <w:r>
        <w:rPr>
          <w:color w:val="000000"/>
        </w:rPr>
        <w:tab/>
        <w:t xml:space="preserve">No ramshorn hook shall be of less computed strength than one of forged steel, proportioned in accordance with diagram 130.3, having regard to the shank throat diameter </w:t>
      </w:r>
      <w:r>
        <w:rPr>
          <w:rStyle w:val="charItals"/>
          <w:b/>
        </w:rPr>
        <w:t>t</w:t>
      </w:r>
      <w:r>
        <w:rPr>
          <w:color w:val="000000"/>
        </w:rPr>
        <w:t>, which shall be measured at the bottom of the thread.</w:t>
      </w:r>
    </w:p>
    <w:p w:rsidR="00B40966" w:rsidRDefault="00B40966">
      <w:pPr>
        <w:pStyle w:val="TableHd"/>
        <w:keepNext w:val="0"/>
      </w:pPr>
      <w:r>
        <w:t>Diagram 130.3</w:t>
      </w:r>
    </w:p>
    <w:p w:rsidR="00B40966" w:rsidRDefault="00DA6E8C">
      <w:r>
        <w:rPr>
          <w:noProof/>
          <w:lang w:eastAsia="en-AU"/>
        </w:rPr>
        <w:drawing>
          <wp:inline distT="0" distB="0" distL="0" distR="0">
            <wp:extent cx="2686050" cy="3695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86050" cy="3695700"/>
                    </a:xfrm>
                    <a:prstGeom prst="rect">
                      <a:avLst/>
                    </a:prstGeom>
                    <a:noFill/>
                    <a:ln>
                      <a:noFill/>
                    </a:ln>
                  </pic:spPr>
                </pic:pic>
              </a:graphicData>
            </a:graphic>
          </wp:inline>
        </w:drawing>
      </w:r>
    </w:p>
    <w:p w:rsidR="00B40966" w:rsidRDefault="00B40966"/>
    <w:p w:rsidR="00B40966" w:rsidRDefault="00B40966">
      <w:pPr>
        <w:pStyle w:val="Amain"/>
        <w:keepNext/>
      </w:pPr>
      <w:r>
        <w:rPr>
          <w:color w:val="000000"/>
        </w:rPr>
        <w:tab/>
        <w:t>(11)</w:t>
      </w:r>
      <w:r>
        <w:rPr>
          <w:color w:val="000000"/>
        </w:rPr>
        <w:tab/>
        <w:t>The stress in any rope drum shall be determined from the formula—</w:t>
      </w:r>
    </w:p>
    <w:tbl>
      <w:tblPr>
        <w:tblW w:w="0" w:type="auto"/>
        <w:tblInd w:w="800" w:type="dxa"/>
        <w:tblLayout w:type="fixed"/>
        <w:tblCellMar>
          <w:left w:w="80" w:type="dxa"/>
          <w:right w:w="80" w:type="dxa"/>
        </w:tblCellMar>
        <w:tblLook w:val="0000" w:firstRow="0" w:lastRow="0" w:firstColumn="0" w:lastColumn="0" w:noHBand="0" w:noVBand="0"/>
      </w:tblPr>
      <w:tblGrid>
        <w:gridCol w:w="440"/>
        <w:gridCol w:w="480"/>
        <w:gridCol w:w="320"/>
        <w:gridCol w:w="380"/>
        <w:gridCol w:w="340"/>
        <w:gridCol w:w="260"/>
        <w:gridCol w:w="4560"/>
      </w:tblGrid>
      <w:tr w:rsidR="00B40966">
        <w:trPr>
          <w:cantSplit/>
        </w:trPr>
        <w:tc>
          <w:tcPr>
            <w:tcW w:w="440" w:type="dxa"/>
          </w:tcPr>
          <w:p w:rsidR="00B40966" w:rsidRDefault="00B40966">
            <w:pPr>
              <w:pStyle w:val="Amain"/>
              <w:rPr>
                <w:color w:val="000000"/>
              </w:rPr>
            </w:pPr>
            <w:r>
              <w:rPr>
                <w:rFonts w:ascii="Symbol" w:hAnsi="Symbol"/>
                <w:color w:val="000000"/>
                <w:position w:val="-12"/>
                <w:sz w:val="60"/>
              </w:rPr>
              <w:t></w:t>
            </w:r>
          </w:p>
        </w:tc>
        <w:tc>
          <w:tcPr>
            <w:tcW w:w="480" w:type="dxa"/>
            <w:tcBorders>
              <w:top w:val="single" w:sz="6" w:space="0" w:color="auto"/>
            </w:tcBorders>
          </w:tcPr>
          <w:p w:rsidR="00B40966" w:rsidRDefault="00B40966">
            <w:pPr>
              <w:pStyle w:val="Amain"/>
              <w:rPr>
                <w:color w:val="000000"/>
              </w:rPr>
            </w:pPr>
            <w:r>
              <w:rPr>
                <w:rStyle w:val="charItals"/>
              </w:rPr>
              <w:t xml:space="preserve">ƒ </w:t>
            </w:r>
            <w:r>
              <w:rPr>
                <w:color w:val="000000"/>
                <w:position w:val="6"/>
                <w:sz w:val="12"/>
              </w:rPr>
              <w:t xml:space="preserve">2 </w:t>
            </w:r>
            <w:r>
              <w:rPr>
                <w:color w:val="000000"/>
                <w:sz w:val="28"/>
              </w:rPr>
              <w:t>+</w:t>
            </w:r>
          </w:p>
        </w:tc>
        <w:tc>
          <w:tcPr>
            <w:tcW w:w="320" w:type="dxa"/>
            <w:tcBorders>
              <w:top w:val="single" w:sz="6" w:space="0" w:color="auto"/>
            </w:tcBorders>
          </w:tcPr>
          <w:p w:rsidR="00B40966" w:rsidRDefault="00B40966">
            <w:pPr>
              <w:pStyle w:val="Amain"/>
              <w:rPr>
                <w:color w:val="000000"/>
              </w:rPr>
            </w:pPr>
            <w:r>
              <w:rPr>
                <w:rFonts w:ascii="Symbol" w:hAnsi="Symbol"/>
                <w:color w:val="000000"/>
                <w:sz w:val="60"/>
              </w:rPr>
              <w:t></w:t>
            </w:r>
          </w:p>
        </w:tc>
        <w:tc>
          <w:tcPr>
            <w:tcW w:w="380" w:type="dxa"/>
            <w:tcBorders>
              <w:top w:val="single" w:sz="6" w:space="0" w:color="auto"/>
            </w:tcBorders>
          </w:tcPr>
          <w:p w:rsidR="00B40966" w:rsidRDefault="00B40966">
            <w:pPr>
              <w:pStyle w:val="Amain"/>
              <w:rPr>
                <w:color w:val="000000"/>
              </w:rPr>
            </w:pPr>
            <w:r>
              <w:rPr>
                <w:color w:val="000000"/>
              </w:rPr>
              <w:fldChar w:fldCharType="begin"/>
            </w:r>
            <w:r>
              <w:rPr>
                <w:color w:val="000000"/>
              </w:rPr>
              <w:instrText xml:space="preserve"> EQ \F(</w:instrText>
            </w:r>
            <w:r>
              <w:rPr>
                <w:i/>
                <w:color w:val="000000"/>
              </w:rPr>
              <w:instrText>T</w:instrText>
            </w:r>
            <w:r>
              <w:rPr>
                <w:color w:val="000000"/>
              </w:rPr>
              <w:instrText>,</w:instrText>
            </w:r>
            <w:r>
              <w:rPr>
                <w:i/>
                <w:color w:val="000000"/>
              </w:rPr>
              <w:instrText>pt</w:instrText>
            </w:r>
            <w:r>
              <w:rPr>
                <w:color w:val="000000"/>
              </w:rPr>
              <w:instrText xml:space="preserve">) </w:instrText>
            </w:r>
            <w:r>
              <w:rPr>
                <w:color w:val="000000"/>
              </w:rPr>
              <w:fldChar w:fldCharType="end"/>
            </w:r>
            <w:r>
              <w:rPr>
                <w:color w:val="000000"/>
              </w:rPr>
              <w:tab/>
            </w:r>
          </w:p>
        </w:tc>
        <w:tc>
          <w:tcPr>
            <w:tcW w:w="340" w:type="dxa"/>
            <w:tcBorders>
              <w:top w:val="single" w:sz="6" w:space="0" w:color="auto"/>
            </w:tcBorders>
          </w:tcPr>
          <w:p w:rsidR="00B40966" w:rsidRDefault="00B40966">
            <w:pPr>
              <w:pStyle w:val="Amain"/>
              <w:rPr>
                <w:color w:val="000000"/>
              </w:rPr>
            </w:pPr>
            <w:r>
              <w:rPr>
                <w:rFonts w:ascii="Symbol" w:hAnsi="Symbol"/>
                <w:color w:val="000000"/>
                <w:sz w:val="60"/>
              </w:rPr>
              <w:t></w:t>
            </w:r>
          </w:p>
        </w:tc>
        <w:tc>
          <w:tcPr>
            <w:tcW w:w="260" w:type="dxa"/>
          </w:tcPr>
          <w:p w:rsidR="00B40966" w:rsidRDefault="00B40966">
            <w:pPr>
              <w:pStyle w:val="Amain"/>
              <w:rPr>
                <w:color w:val="000000"/>
              </w:rPr>
            </w:pPr>
            <w:r>
              <w:rPr>
                <w:color w:val="000000"/>
                <w:position w:val="6"/>
                <w:sz w:val="12"/>
              </w:rPr>
              <w:t>2</w:t>
            </w:r>
          </w:p>
        </w:tc>
        <w:tc>
          <w:tcPr>
            <w:tcW w:w="4560" w:type="dxa"/>
          </w:tcPr>
          <w:p w:rsidR="00B40966" w:rsidRDefault="00B40966">
            <w:pPr>
              <w:pStyle w:val="Amain"/>
              <w:spacing w:before="240" w:after="80"/>
              <w:rPr>
                <w:color w:val="000000"/>
              </w:rPr>
            </w:pPr>
            <w:r>
              <w:rPr>
                <w:color w:val="000000"/>
              </w:rPr>
              <w:t>pounds per square inch.</w:t>
            </w:r>
          </w:p>
        </w:tc>
      </w:tr>
    </w:tbl>
    <w:p w:rsidR="00B40966" w:rsidRDefault="00B40966">
      <w:pPr>
        <w:pStyle w:val="Amain"/>
      </w:pPr>
      <w:r>
        <w:tab/>
        <w:t>(12)</w:t>
      </w:r>
      <w:r>
        <w:tab/>
        <w:t>In subsection (11):</w:t>
      </w:r>
    </w:p>
    <w:p w:rsidR="00B40966" w:rsidRDefault="00B40966">
      <w:pPr>
        <w:pStyle w:val="aDef"/>
      </w:pPr>
      <w:r>
        <w:rPr>
          <w:rStyle w:val="charItals"/>
          <w:b/>
        </w:rPr>
        <w:t>ƒ</w:t>
      </w:r>
      <w:r>
        <w:t xml:space="preserve"> means the maximum transverse stress in pounds per square inch.</w:t>
      </w:r>
    </w:p>
    <w:p w:rsidR="00B40966" w:rsidRDefault="00B40966">
      <w:pPr>
        <w:pStyle w:val="aDef"/>
      </w:pPr>
      <w:r>
        <w:rPr>
          <w:b/>
          <w:i/>
        </w:rPr>
        <w:t>p</w:t>
      </w:r>
      <w:r>
        <w:t xml:space="preserve"> </w:t>
      </w:r>
      <w:r>
        <w:rPr>
          <w:rStyle w:val="charItals"/>
          <w:i w:val="0"/>
        </w:rPr>
        <w:t>means</w:t>
      </w:r>
      <w:r>
        <w:t xml:space="preserve"> the pitch of the rope grooves or least distance measured centre to centre between adjacent turns of rope on the drum.</w:t>
      </w:r>
    </w:p>
    <w:p w:rsidR="00B40966" w:rsidRDefault="00B40966">
      <w:pPr>
        <w:pStyle w:val="aDef"/>
      </w:pPr>
      <w:r>
        <w:rPr>
          <w:b/>
          <w:i/>
        </w:rPr>
        <w:t>t</w:t>
      </w:r>
      <w:r>
        <w:t xml:space="preserve"> means the radial thickness of the drum.</w:t>
      </w:r>
    </w:p>
    <w:p w:rsidR="00B40966" w:rsidRDefault="00B40966">
      <w:pPr>
        <w:pStyle w:val="aDef"/>
      </w:pPr>
      <w:r>
        <w:rPr>
          <w:b/>
          <w:i/>
        </w:rPr>
        <w:t>T</w:t>
      </w:r>
      <w:r>
        <w:t xml:space="preserve"> </w:t>
      </w:r>
      <w:r>
        <w:rPr>
          <w:rStyle w:val="charItals"/>
          <w:i w:val="0"/>
        </w:rPr>
        <w:t>means</w:t>
      </w:r>
      <w:r>
        <w:t xml:space="preserve"> the maximum tensile load in any 1 rope winding on the drum, in pounds.</w:t>
      </w:r>
    </w:p>
    <w:p w:rsidR="00B40966" w:rsidRDefault="00B40966">
      <w:pPr>
        <w:pStyle w:val="Amain"/>
      </w:pPr>
      <w:r>
        <w:tab/>
        <w:t>(13)</w:t>
      </w:r>
      <w:r>
        <w:tab/>
        <w:t xml:space="preserve">For grooved drums </w:t>
      </w:r>
      <w:r>
        <w:rPr>
          <w:b/>
          <w:i/>
        </w:rPr>
        <w:t>t</w:t>
      </w:r>
      <w:r>
        <w:t xml:space="preserve"> shall be measured at the bottom of the grooves; </w:t>
      </w:r>
      <w:r>
        <w:rPr>
          <w:b/>
          <w:i/>
        </w:rPr>
        <w:t>p</w:t>
      </w:r>
      <w:r>
        <w:t xml:space="preserve"> and </w:t>
      </w:r>
      <w:r>
        <w:rPr>
          <w:b/>
          <w:i/>
        </w:rPr>
        <w:t>t</w:t>
      </w:r>
      <w:r>
        <w:t xml:space="preserve"> shall be measured in inches.</w:t>
      </w:r>
    </w:p>
    <w:p w:rsidR="00B40966" w:rsidRDefault="00B40966">
      <w:pPr>
        <w:pStyle w:val="Amain"/>
      </w:pPr>
      <w:r>
        <w:tab/>
        <w:t>(14)</w:t>
      </w:r>
      <w:r>
        <w:tab/>
        <w:t>The stress so determined shall not exceed—</w:t>
      </w:r>
    </w:p>
    <w:p w:rsidR="00B40966" w:rsidRDefault="00B40966">
      <w:pPr>
        <w:pStyle w:val="Apara"/>
      </w:pPr>
      <w:r>
        <w:tab/>
        <w:t>(a)</w:t>
      </w:r>
      <w:r>
        <w:tab/>
        <w:t>4 800 pounds per square inch for cast iron drums; or</w:t>
      </w:r>
    </w:p>
    <w:p w:rsidR="00B40966" w:rsidRDefault="00B40966">
      <w:pPr>
        <w:pStyle w:val="Apara"/>
      </w:pPr>
      <w:r>
        <w:tab/>
        <w:t>(b)</w:t>
      </w:r>
      <w:r>
        <w:tab/>
        <w:t>9 600 pounds per square inch for cast steel drums; or</w:t>
      </w:r>
    </w:p>
    <w:p w:rsidR="00B40966" w:rsidRDefault="00B40966">
      <w:pPr>
        <w:pStyle w:val="Apara"/>
      </w:pPr>
      <w:r>
        <w:tab/>
        <w:t>(c)</w:t>
      </w:r>
      <w:r>
        <w:tab/>
        <w:t>12 000 pounds per square inch for mild steel drums.</w:t>
      </w:r>
    </w:p>
    <w:p w:rsidR="00B40966" w:rsidRDefault="00B40966">
      <w:pPr>
        <w:pStyle w:val="Amain"/>
        <w:spacing w:before="240"/>
      </w:pPr>
      <w:r>
        <w:tab/>
        <w:t>(15)</w:t>
      </w:r>
      <w:r>
        <w:tab/>
        <w:t>In determining the stresses in a rope drum it shall not be necessary to increase the forces or moments producing the stresses in the ratios otherwise prescribed by section 125.</w:t>
      </w:r>
    </w:p>
    <w:p w:rsidR="00B40966" w:rsidRDefault="00B40966">
      <w:pPr>
        <w:pStyle w:val="Amain"/>
        <w:keepNext/>
      </w:pPr>
      <w:r>
        <w:tab/>
        <w:t>(16)</w:t>
      </w:r>
      <w:r>
        <w:tab/>
        <w:t>If a metal shaft of circular section is subject to simultaneous transverse and torsional stresses the resultant shearing stress shall be determined by the formula—</w:t>
      </w:r>
    </w:p>
    <w:p w:rsidR="00B40966" w:rsidRDefault="00B40966">
      <w:pPr>
        <w:pStyle w:val="Amain"/>
        <w:jc w:val="center"/>
        <w:rPr>
          <w:color w:val="000000"/>
        </w:rPr>
      </w:pPr>
      <w:r>
        <w:rPr>
          <w:color w:val="000000"/>
        </w:rPr>
        <w:fldChar w:fldCharType="begin"/>
      </w:r>
      <w:r>
        <w:rPr>
          <w:color w:val="000000"/>
        </w:rPr>
        <w:instrText xml:space="preserve"> EQ \F(\R(</w:instrText>
      </w:r>
      <w:r>
        <w:rPr>
          <w:i/>
          <w:color w:val="000000"/>
        </w:rPr>
        <w:instrText>ƒ</w:instrText>
      </w:r>
      <w:r>
        <w:rPr>
          <w:color w:val="000000"/>
        </w:rPr>
        <w:instrText xml:space="preserve"> </w:instrText>
      </w:r>
      <w:r>
        <w:rPr>
          <w:color w:val="000000"/>
          <w:position w:val="6"/>
          <w:sz w:val="12"/>
        </w:rPr>
        <w:instrText>2</w:instrText>
      </w:r>
      <w:r>
        <w:rPr>
          <w:color w:val="000000"/>
        </w:rPr>
        <w:instrText xml:space="preserve"> </w:instrText>
      </w:r>
      <w:r>
        <w:rPr>
          <w:color w:val="000000"/>
          <w:sz w:val="28"/>
        </w:rPr>
        <w:instrText>+</w:instrText>
      </w:r>
      <w:r>
        <w:rPr>
          <w:color w:val="000000"/>
        </w:rPr>
        <w:instrText xml:space="preserve"> 4</w:instrText>
      </w:r>
      <w:r>
        <w:rPr>
          <w:i/>
          <w:color w:val="000000"/>
        </w:rPr>
        <w:instrText>ƒ</w:instrText>
      </w:r>
      <w:r>
        <w:rPr>
          <w:i/>
          <w:color w:val="000000"/>
          <w:sz w:val="20"/>
        </w:rPr>
        <w:instrText>s</w:instrText>
      </w:r>
      <w:r>
        <w:rPr>
          <w:color w:val="000000"/>
          <w:position w:val="6"/>
          <w:sz w:val="12"/>
        </w:rPr>
        <w:instrText>2</w:instrText>
      </w:r>
      <w:r>
        <w:rPr>
          <w:color w:val="000000"/>
        </w:rPr>
        <w:instrText xml:space="preserve">),2)  </w:instrText>
      </w:r>
      <w:r>
        <w:rPr>
          <w:color w:val="000000"/>
        </w:rPr>
        <w:fldChar w:fldCharType="end"/>
      </w:r>
      <w:r>
        <w:rPr>
          <w:color w:val="000000"/>
        </w:rPr>
        <w:t>tons per square inch.</w:t>
      </w:r>
    </w:p>
    <w:p w:rsidR="00B40966" w:rsidRDefault="00B40966">
      <w:pPr>
        <w:pStyle w:val="Amain"/>
        <w:keepNext/>
      </w:pPr>
      <w:r>
        <w:tab/>
        <w:t>(17)</w:t>
      </w:r>
      <w:r>
        <w:tab/>
        <w:t>In subsection (16):</w:t>
      </w:r>
    </w:p>
    <w:p w:rsidR="00B40966" w:rsidRDefault="00B40966">
      <w:pPr>
        <w:pStyle w:val="aDef"/>
      </w:pPr>
      <w:r>
        <w:rPr>
          <w:rStyle w:val="charItals"/>
          <w:b/>
        </w:rPr>
        <w:t>ƒ</w:t>
      </w:r>
      <w:r>
        <w:t xml:space="preserve"> means the maximum transverse stress at the section under consideration.</w:t>
      </w:r>
    </w:p>
    <w:p w:rsidR="00B40966" w:rsidRDefault="00B40966">
      <w:pPr>
        <w:pStyle w:val="aDef"/>
      </w:pPr>
      <w:r>
        <w:rPr>
          <w:rStyle w:val="charItals"/>
          <w:b/>
        </w:rPr>
        <w:t>ƒs</w:t>
      </w:r>
      <w:r>
        <w:t xml:space="preserve"> means the maximum torsional stress at the same section.</w:t>
      </w:r>
    </w:p>
    <w:p w:rsidR="00B40966" w:rsidRDefault="00B40966">
      <w:pPr>
        <w:pStyle w:val="Amain"/>
      </w:pPr>
      <w:r>
        <w:rPr>
          <w:color w:val="000000"/>
        </w:rPr>
        <w:tab/>
        <w:t>(18)</w:t>
      </w:r>
      <w:r>
        <w:rPr>
          <w:color w:val="000000"/>
        </w:rPr>
        <w:tab/>
        <w:t>If a metal shaft of circular section is subject to simultaneous transverse and torsional stresses the resultant tensile stress shall be determined by the formula—</w:t>
      </w:r>
    </w:p>
    <w:p w:rsidR="00B40966" w:rsidRDefault="00B40966">
      <w:pPr>
        <w:pStyle w:val="Amain"/>
        <w:jc w:val="center"/>
        <w:rPr>
          <w:color w:val="000000"/>
        </w:rPr>
      </w:pPr>
      <w:r>
        <w:rPr>
          <w:color w:val="000000"/>
        </w:rPr>
        <w:t>0.375</w:t>
      </w:r>
      <w:r>
        <w:rPr>
          <w:rStyle w:val="charItals"/>
        </w:rPr>
        <w:t xml:space="preserve">ƒ </w:t>
      </w:r>
      <w:r>
        <w:rPr>
          <w:color w:val="000000"/>
          <w:sz w:val="28"/>
        </w:rPr>
        <w:t>+</w:t>
      </w:r>
      <w:r>
        <w:rPr>
          <w:color w:val="000000"/>
        </w:rPr>
        <w:t xml:space="preserve"> 0.625</w:t>
      </w:r>
      <w:r>
        <w:rPr>
          <w:color w:val="000000"/>
        </w:rPr>
        <w:fldChar w:fldCharType="begin"/>
      </w:r>
      <w:r>
        <w:rPr>
          <w:color w:val="000000"/>
        </w:rPr>
        <w:instrText xml:space="preserve"> EQ \R(</w:instrText>
      </w:r>
      <w:r>
        <w:rPr>
          <w:i/>
          <w:color w:val="000000"/>
        </w:rPr>
        <w:instrText>ƒ</w:instrText>
      </w:r>
      <w:r>
        <w:rPr>
          <w:color w:val="000000"/>
        </w:rPr>
        <w:instrText xml:space="preserve"> </w:instrText>
      </w:r>
      <w:r>
        <w:rPr>
          <w:color w:val="000000"/>
          <w:position w:val="6"/>
          <w:sz w:val="12"/>
        </w:rPr>
        <w:instrText>2</w:instrText>
      </w:r>
      <w:r>
        <w:rPr>
          <w:color w:val="000000"/>
        </w:rPr>
        <w:instrText xml:space="preserve"> </w:instrText>
      </w:r>
      <w:r>
        <w:rPr>
          <w:color w:val="000000"/>
          <w:sz w:val="28"/>
        </w:rPr>
        <w:instrText>+</w:instrText>
      </w:r>
      <w:r>
        <w:rPr>
          <w:color w:val="000000"/>
        </w:rPr>
        <w:instrText xml:space="preserve"> 4</w:instrText>
      </w:r>
      <w:r>
        <w:rPr>
          <w:i/>
          <w:color w:val="000000"/>
        </w:rPr>
        <w:instrText>ƒ</w:instrText>
      </w:r>
      <w:r>
        <w:rPr>
          <w:i/>
          <w:color w:val="000000"/>
          <w:sz w:val="20"/>
        </w:rPr>
        <w:instrText>s</w:instrText>
      </w:r>
      <w:r>
        <w:rPr>
          <w:color w:val="000000"/>
          <w:position w:val="6"/>
          <w:sz w:val="12"/>
        </w:rPr>
        <w:instrText>2</w:instrText>
      </w:r>
      <w:r>
        <w:rPr>
          <w:color w:val="000000"/>
        </w:rPr>
        <w:instrText xml:space="preserve">)  </w:instrText>
      </w:r>
      <w:r>
        <w:rPr>
          <w:color w:val="000000"/>
        </w:rPr>
        <w:fldChar w:fldCharType="end"/>
      </w:r>
      <w:r>
        <w:rPr>
          <w:color w:val="000000"/>
        </w:rPr>
        <w:t>tons per square inch.</w:t>
      </w:r>
    </w:p>
    <w:p w:rsidR="00B40966" w:rsidRDefault="00B40966">
      <w:pPr>
        <w:pStyle w:val="Amain"/>
      </w:pPr>
      <w:r>
        <w:tab/>
        <w:t>(19)</w:t>
      </w:r>
      <w:r>
        <w:tab/>
        <w:t>In subsection (18):</w:t>
      </w:r>
    </w:p>
    <w:p w:rsidR="00B40966" w:rsidRDefault="00B40966">
      <w:pPr>
        <w:pStyle w:val="aDef"/>
      </w:pPr>
      <w:r>
        <w:rPr>
          <w:rStyle w:val="charItals"/>
          <w:b/>
        </w:rPr>
        <w:t>ƒ</w:t>
      </w:r>
      <w:r>
        <w:t>—see subsection (17).</w:t>
      </w:r>
    </w:p>
    <w:p w:rsidR="00B40966" w:rsidRDefault="00B40966">
      <w:pPr>
        <w:pStyle w:val="aDef"/>
      </w:pPr>
      <w:r>
        <w:rPr>
          <w:rStyle w:val="charItals"/>
          <w:b/>
        </w:rPr>
        <w:t>ƒs</w:t>
      </w:r>
      <w:r>
        <w:t>—see subsection (17).</w:t>
      </w:r>
    </w:p>
    <w:p w:rsidR="00B40966" w:rsidRDefault="00B40966">
      <w:pPr>
        <w:pStyle w:val="Amain"/>
      </w:pPr>
      <w:r>
        <w:rPr>
          <w:color w:val="000000"/>
        </w:rPr>
        <w:tab/>
        <w:t>(20)</w:t>
      </w:r>
      <w:r>
        <w:rPr>
          <w:color w:val="000000"/>
        </w:rPr>
        <w:tab/>
        <w:t>The computed linear deflection of a metal shaft shall not exceed </w:t>
      </w:r>
      <w:r>
        <w:rPr>
          <w:color w:val="000000"/>
          <w:position w:val="6"/>
          <w:sz w:val="18"/>
        </w:rPr>
        <w:t>1</w:t>
      </w:r>
      <w:r>
        <w:rPr>
          <w:color w:val="000000"/>
        </w:rPr>
        <w:t>/</w:t>
      </w:r>
      <w:r>
        <w:rPr>
          <w:color w:val="000000"/>
          <w:sz w:val="18"/>
        </w:rPr>
        <w:t>1200</w:t>
      </w:r>
      <w:r>
        <w:rPr>
          <w:color w:val="000000"/>
        </w:rPr>
        <w:t xml:space="preserve"> part of the span of the shaft.</w:t>
      </w:r>
    </w:p>
    <w:p w:rsidR="00B40966" w:rsidRDefault="00B40966">
      <w:pPr>
        <w:pStyle w:val="Amain"/>
      </w:pPr>
      <w:r>
        <w:tab/>
        <w:t>(21)</w:t>
      </w:r>
      <w:r>
        <w:tab/>
        <w:t>If the shaft functions as a cantilever, the deflection shall not exceed </w:t>
      </w:r>
      <w:r>
        <w:rPr>
          <w:position w:val="6"/>
          <w:sz w:val="18"/>
        </w:rPr>
        <w:t>1</w:t>
      </w:r>
      <w:r>
        <w:t>/</w:t>
      </w:r>
      <w:r>
        <w:rPr>
          <w:sz w:val="18"/>
        </w:rPr>
        <w:t>600</w:t>
      </w:r>
      <w:r>
        <w:t xml:space="preserve"> part of the length of the cantilever.</w:t>
      </w:r>
    </w:p>
    <w:p w:rsidR="00B40966" w:rsidRDefault="00B40966">
      <w:pPr>
        <w:pStyle w:val="Amain"/>
      </w:pPr>
      <w:r>
        <w:tab/>
        <w:t>(22)</w:t>
      </w:r>
      <w:r>
        <w:tab/>
        <w:t>For the purpose of computing linear deflections the modulus of elasticity of mild steel shall be deemed to be 13 000 tons per square inch and it shall not be necessary to increase the forces producing deflections in the way otherwise provided by section 125.</w:t>
      </w:r>
    </w:p>
    <w:p w:rsidR="00B40966" w:rsidRDefault="00B40966">
      <w:pPr>
        <w:pStyle w:val="Amain"/>
      </w:pPr>
      <w:r>
        <w:rPr>
          <w:color w:val="000000"/>
        </w:rPr>
        <w:tab/>
        <w:t>(23)</w:t>
      </w:r>
      <w:r>
        <w:rPr>
          <w:color w:val="000000"/>
        </w:rPr>
        <w:tab/>
        <w:t>If any shaft has a keyway, featherway, or similar recess greater in any sectional dimension than that provided by British Standard Specification No 46, part 1, 1929, or if a shaft is within classification 3 or 4 or is subject to alteration of stress under power and has any keyway, featherway or similar recess, the stress in the shaft shall be considered to be increased thereby in the ratio—</w:t>
      </w:r>
    </w:p>
    <w:tbl>
      <w:tblPr>
        <w:tblW w:w="0" w:type="auto"/>
        <w:tblInd w:w="2760" w:type="dxa"/>
        <w:tblLayout w:type="fixed"/>
        <w:tblCellMar>
          <w:left w:w="80" w:type="dxa"/>
          <w:right w:w="80" w:type="dxa"/>
        </w:tblCellMar>
        <w:tblLook w:val="0000" w:firstRow="0" w:lastRow="0" w:firstColumn="0" w:lastColumn="0" w:noHBand="0" w:noVBand="0"/>
      </w:tblPr>
      <w:tblGrid>
        <w:gridCol w:w="1760"/>
      </w:tblGrid>
      <w:tr w:rsidR="00B40966">
        <w:trPr>
          <w:cantSplit/>
        </w:trPr>
        <w:tc>
          <w:tcPr>
            <w:tcW w:w="1760" w:type="dxa"/>
            <w:tcBorders>
              <w:bottom w:val="single" w:sz="6" w:space="0" w:color="auto"/>
            </w:tcBorders>
          </w:tcPr>
          <w:p w:rsidR="00B40966" w:rsidRDefault="00B40966">
            <w:pPr>
              <w:pStyle w:val="Amain"/>
              <w:keepNext/>
              <w:jc w:val="center"/>
              <w:rPr>
                <w:color w:val="000000"/>
              </w:rPr>
            </w:pPr>
            <w:r>
              <w:rPr>
                <w:color w:val="000000"/>
              </w:rPr>
              <w:t>1</w:t>
            </w:r>
          </w:p>
        </w:tc>
      </w:tr>
    </w:tbl>
    <w:p w:rsidR="00B40966" w:rsidRDefault="00B40966">
      <w:pPr>
        <w:pStyle w:val="Amain"/>
        <w:jc w:val="center"/>
        <w:rPr>
          <w:color w:val="000000"/>
        </w:rPr>
      </w:pPr>
      <w:r>
        <w:rPr>
          <w:color w:val="000000"/>
        </w:rPr>
        <w:t xml:space="preserve">1 — </w:t>
      </w:r>
      <w:r>
        <w:rPr>
          <w:color w:val="000000"/>
        </w:rPr>
        <w:fldChar w:fldCharType="begin"/>
      </w:r>
      <w:r>
        <w:rPr>
          <w:color w:val="000000"/>
        </w:rPr>
        <w:instrText xml:space="preserve"> EQ \F(0.2</w:instrText>
      </w:r>
      <w:r>
        <w:rPr>
          <w:i/>
          <w:color w:val="000000"/>
        </w:rPr>
        <w:instrText>b</w:instrText>
      </w:r>
      <w:r>
        <w:rPr>
          <w:color w:val="000000"/>
        </w:rPr>
        <w:instrText>,</w:instrText>
      </w:r>
      <w:r>
        <w:rPr>
          <w:b/>
          <w:color w:val="000000"/>
        </w:rPr>
        <w:instrText>D</w:instrText>
      </w:r>
      <w:r>
        <w:rPr>
          <w:color w:val="000000"/>
        </w:rPr>
        <w:instrText xml:space="preserve">)  </w:instrText>
      </w:r>
      <w:r>
        <w:rPr>
          <w:color w:val="000000"/>
        </w:rPr>
        <w:fldChar w:fldCharType="end"/>
      </w:r>
      <w:r>
        <w:rPr>
          <w:color w:val="000000"/>
        </w:rPr>
        <w:t xml:space="preserve">— </w:t>
      </w:r>
      <w:r>
        <w:rPr>
          <w:color w:val="000000"/>
        </w:rPr>
        <w:fldChar w:fldCharType="begin"/>
      </w:r>
      <w:r>
        <w:rPr>
          <w:color w:val="000000"/>
        </w:rPr>
        <w:instrText xml:space="preserve"> EQ \F(1.1</w:instrText>
      </w:r>
      <w:r>
        <w:rPr>
          <w:i/>
          <w:color w:val="000000"/>
        </w:rPr>
        <w:instrText>d</w:instrText>
      </w:r>
      <w:r>
        <w:rPr>
          <w:color w:val="000000"/>
        </w:rPr>
        <w:instrText>,</w:instrText>
      </w:r>
      <w:r>
        <w:rPr>
          <w:b/>
          <w:color w:val="000000"/>
        </w:rPr>
        <w:instrText>D</w:instrText>
      </w:r>
      <w:r>
        <w:rPr>
          <w:color w:val="000000"/>
        </w:rPr>
        <w:instrText xml:space="preserve">) </w:instrText>
      </w:r>
      <w:r>
        <w:rPr>
          <w:color w:val="000000"/>
        </w:rPr>
        <w:fldChar w:fldCharType="end"/>
      </w:r>
      <w:r>
        <w:rPr>
          <w:color w:val="000000"/>
        </w:rPr>
        <w:t xml:space="preserve">    .</w:t>
      </w:r>
    </w:p>
    <w:p w:rsidR="00B40966" w:rsidRDefault="00B40966">
      <w:pPr>
        <w:pStyle w:val="Amain"/>
      </w:pPr>
      <w:r>
        <w:tab/>
        <w:t>(24)</w:t>
      </w:r>
      <w:r>
        <w:tab/>
        <w:t>In subsection (23):</w:t>
      </w:r>
    </w:p>
    <w:p w:rsidR="00B40966" w:rsidRDefault="00B40966">
      <w:pPr>
        <w:pStyle w:val="aDef"/>
      </w:pPr>
      <w:r>
        <w:rPr>
          <w:rStyle w:val="charItals"/>
          <w:b/>
        </w:rPr>
        <w:t>b</w:t>
      </w:r>
      <w:r>
        <w:t xml:space="preserve"> means the breadth.</w:t>
      </w:r>
    </w:p>
    <w:p w:rsidR="00B40966" w:rsidRDefault="00B40966">
      <w:pPr>
        <w:pStyle w:val="aDef"/>
      </w:pPr>
      <w:r>
        <w:rPr>
          <w:rStyle w:val="charItals"/>
          <w:b/>
        </w:rPr>
        <w:t>d</w:t>
      </w:r>
      <w:r>
        <w:t xml:space="preserve"> means the depth of the keyway, featherway or similar recess.</w:t>
      </w:r>
    </w:p>
    <w:p w:rsidR="00B40966" w:rsidRDefault="00B40966">
      <w:pPr>
        <w:pStyle w:val="aDef"/>
      </w:pPr>
      <w:r>
        <w:rPr>
          <w:b/>
        </w:rPr>
        <w:t>D</w:t>
      </w:r>
      <w:r>
        <w:t xml:space="preserve"> means the diameter of the shaft.</w:t>
      </w:r>
    </w:p>
    <w:p w:rsidR="00B40966" w:rsidRDefault="00B40966">
      <w:pPr>
        <w:pStyle w:val="Amain"/>
      </w:pPr>
      <w:r>
        <w:tab/>
        <w:t>(25)</w:t>
      </w:r>
      <w:r>
        <w:tab/>
        <w:t>For subsections (23) and (24), all dimensions must be measured in the same units.</w:t>
      </w:r>
    </w:p>
    <w:p w:rsidR="00B40966" w:rsidRDefault="00B40966">
      <w:pPr>
        <w:pStyle w:val="Amain"/>
        <w:rPr>
          <w:color w:val="000000"/>
        </w:rPr>
      </w:pPr>
      <w:r>
        <w:rPr>
          <w:color w:val="000000"/>
        </w:rPr>
        <w:tab/>
        <w:t>(26)</w:t>
      </w:r>
      <w:r>
        <w:rPr>
          <w:color w:val="000000"/>
        </w:rPr>
        <w:tab/>
        <w:t xml:space="preserve">For the purposes of design only, spur gears that are not within the central </w:t>
      </w:r>
      <w:r>
        <w:rPr>
          <w:color w:val="000000"/>
          <w:position w:val="6"/>
          <w:sz w:val="18"/>
        </w:rPr>
        <w:t>1</w:t>
      </w:r>
      <w:r>
        <w:rPr>
          <w:color w:val="000000"/>
        </w:rPr>
        <w:t>/</w:t>
      </w:r>
      <w:r>
        <w:rPr>
          <w:color w:val="000000"/>
          <w:sz w:val="18"/>
        </w:rPr>
        <w:t>3</w:t>
      </w:r>
      <w:r>
        <w:rPr>
          <w:color w:val="000000"/>
        </w:rPr>
        <w:t xml:space="preserve"> of the span of their supporting shafts, and cantilevered spur gears that are spaced at a greater distance than </w:t>
      </w:r>
      <w:r>
        <w:rPr>
          <w:color w:val="000000"/>
          <w:position w:val="6"/>
          <w:sz w:val="18"/>
        </w:rPr>
        <w:t>1</w:t>
      </w:r>
      <w:r>
        <w:rPr>
          <w:color w:val="000000"/>
        </w:rPr>
        <w:t>/</w:t>
      </w:r>
      <w:r>
        <w:rPr>
          <w:color w:val="000000"/>
          <w:sz w:val="18"/>
        </w:rPr>
        <w:t>2</w:t>
      </w:r>
      <w:r>
        <w:rPr>
          <w:color w:val="000000"/>
        </w:rPr>
        <w:t xml:space="preserve"> of their own face width from the nearest support shall be classified in the next higher group than the mechanisms with which they are integral.</w:t>
      </w:r>
    </w:p>
    <w:p w:rsidR="00B40966" w:rsidRDefault="00B40966">
      <w:pPr>
        <w:pStyle w:val="Amain"/>
      </w:pPr>
      <w:r>
        <w:rPr>
          <w:color w:val="000000"/>
        </w:rPr>
        <w:tab/>
        <w:t>(27)</w:t>
      </w:r>
      <w:r>
        <w:rPr>
          <w:color w:val="000000"/>
        </w:rPr>
        <w:tab/>
        <w:t>Spur gears of mechanisms within classification 4 shall not be mounted in positions that would subject them to such restriction.</w:t>
      </w:r>
    </w:p>
    <w:p w:rsidR="00B40966" w:rsidRDefault="00B40966">
      <w:pPr>
        <w:pStyle w:val="Amain"/>
        <w:keepLines/>
        <w:rPr>
          <w:color w:val="000000"/>
        </w:rPr>
      </w:pPr>
      <w:r>
        <w:rPr>
          <w:color w:val="000000"/>
        </w:rPr>
        <w:tab/>
        <w:t>(28)</w:t>
      </w:r>
      <w:r>
        <w:rPr>
          <w:color w:val="000000"/>
        </w:rPr>
        <w:tab/>
        <w:t>If mounted on short heavy shafts and contained in rigid, close-fitting boxings that have been machined by methods ensuring correct alignment and meshing, spur gears with machined teeth may, if running in lubricant and completely protected against entry of foreign matter, be classified in the next lower group than the mechanisms with which they are integral.</w:t>
      </w:r>
    </w:p>
    <w:p w:rsidR="00B40966" w:rsidRDefault="00B40966">
      <w:pPr>
        <w:pStyle w:val="Amain"/>
      </w:pPr>
      <w:r>
        <w:rPr>
          <w:color w:val="000000"/>
        </w:rPr>
        <w:tab/>
        <w:t>(29)</w:t>
      </w:r>
      <w:r>
        <w:rPr>
          <w:color w:val="000000"/>
        </w:rPr>
        <w:tab/>
        <w:t>This classification shall apply to spur gears of mechanisms within classifications 2, 3 or 4, and is solely for purpose of design.</w:t>
      </w:r>
    </w:p>
    <w:p w:rsidR="00B40966" w:rsidRDefault="00B40966">
      <w:pPr>
        <w:pStyle w:val="Amain"/>
      </w:pPr>
      <w:r>
        <w:rPr>
          <w:color w:val="000000"/>
        </w:rPr>
        <w:tab/>
        <w:t>(30)</w:t>
      </w:r>
      <w:r>
        <w:rPr>
          <w:color w:val="000000"/>
        </w:rPr>
        <w:tab/>
        <w:t>Unless approved by the chief inspector spur, spiral or worm gears having other than machined teeth shall not be used in hoisting or luffing mechanisms within classifications 3 or 4, or in hand or power-operated chain or wire rope lifting blocks.</w:t>
      </w:r>
    </w:p>
    <w:p w:rsidR="00B40966" w:rsidRDefault="00B40966">
      <w:pPr>
        <w:pStyle w:val="Amain"/>
        <w:keepNext/>
      </w:pPr>
      <w:r>
        <w:rPr>
          <w:color w:val="000000"/>
        </w:rPr>
        <w:tab/>
        <w:t>(31)</w:t>
      </w:r>
      <w:r>
        <w:rPr>
          <w:color w:val="000000"/>
        </w:rPr>
        <w:tab/>
        <w:t>Notwithstanding the provisions of subsection (38) for purposes of design only, spur, spiral or worm gears used as follows may, if not otherwise in a lower classification, be considered to be within classification 2—</w:t>
      </w:r>
    </w:p>
    <w:p w:rsidR="00B40966" w:rsidRDefault="00B40966">
      <w:pPr>
        <w:pStyle w:val="Apara"/>
      </w:pPr>
      <w:r>
        <w:tab/>
        <w:t>(a)</w:t>
      </w:r>
      <w:r>
        <w:tab/>
        <w:t>in travelling or traversing mechanisms of cranes or hoists where promoting or controlling movements in only horizontal paths, and not subject to wind loadings; and</w:t>
      </w:r>
    </w:p>
    <w:p w:rsidR="00B40966" w:rsidRDefault="00B40966">
      <w:pPr>
        <w:pStyle w:val="Apara"/>
      </w:pPr>
      <w:r>
        <w:tab/>
        <w:t>(b)</w:t>
      </w:r>
      <w:r>
        <w:tab/>
        <w:t>in mechanisms driving continuous unidirectional conveyors that are provided with independent automatic devices to prevent reversal.</w:t>
      </w:r>
    </w:p>
    <w:p w:rsidR="00B40966" w:rsidRDefault="00B40966">
      <w:pPr>
        <w:pStyle w:val="Amain"/>
      </w:pPr>
      <w:r>
        <w:rPr>
          <w:color w:val="000000"/>
        </w:rPr>
        <w:tab/>
        <w:t>(32)</w:t>
      </w:r>
      <w:r>
        <w:rPr>
          <w:color w:val="000000"/>
        </w:rPr>
        <w:tab/>
        <w:t>Spur teeth that are not machined shall be considered as simple cantilevers, each bearing at its free extremity a tangential bending force equal to the pitch circle load the spur gear is required to transmit, having due regard to the increases prescribed by section 125.</w:t>
      </w:r>
    </w:p>
    <w:p w:rsidR="00B40966" w:rsidRDefault="00B40966">
      <w:pPr>
        <w:pStyle w:val="Amain"/>
      </w:pPr>
      <w:r>
        <w:tab/>
        <w:t>(33)</w:t>
      </w:r>
      <w:r>
        <w:tab/>
        <w:t>The stresses so determined shall not exceed the relevant and appropriate maximum prescribed by section 126, and modified by subsection (47).</w:t>
      </w:r>
    </w:p>
    <w:p w:rsidR="00B40966" w:rsidRDefault="00B40966">
      <w:pPr>
        <w:pStyle w:val="Amain"/>
        <w:rPr>
          <w:color w:val="000000"/>
        </w:rPr>
      </w:pPr>
      <w:r>
        <w:rPr>
          <w:color w:val="000000"/>
        </w:rPr>
        <w:tab/>
        <w:t>(34)</w:t>
      </w:r>
      <w:r>
        <w:rPr>
          <w:color w:val="000000"/>
        </w:rPr>
        <w:tab/>
        <w:t>If spur teeth are effectively supported by a single shroud extending in height to at least the pitch circle, tooth stresses may be considered to have been thereby reduced by 10%.</w:t>
      </w:r>
    </w:p>
    <w:p w:rsidR="00B40966" w:rsidRDefault="00B40966">
      <w:pPr>
        <w:pStyle w:val="Amain"/>
        <w:rPr>
          <w:color w:val="000000"/>
        </w:rPr>
      </w:pPr>
      <w:r>
        <w:rPr>
          <w:color w:val="000000"/>
        </w:rPr>
        <w:tab/>
        <w:t>(35)</w:t>
      </w:r>
      <w:r>
        <w:rPr>
          <w:color w:val="000000"/>
        </w:rPr>
        <w:tab/>
        <w:t>Effective double shrouds of such height may be considered to reduce tooth stresses by 33%.</w:t>
      </w:r>
    </w:p>
    <w:p w:rsidR="00B40966" w:rsidRDefault="00B40966">
      <w:pPr>
        <w:pStyle w:val="Amain"/>
        <w:rPr>
          <w:color w:val="000000"/>
        </w:rPr>
      </w:pPr>
      <w:r>
        <w:rPr>
          <w:color w:val="000000"/>
        </w:rPr>
        <w:tab/>
        <w:t>(36)</w:t>
      </w:r>
      <w:r>
        <w:rPr>
          <w:color w:val="000000"/>
        </w:rPr>
        <w:tab/>
        <w:t>These reductions shall not be made if the face of the spur gear concerned exceeds 3 times the circumferential pitch of the teeth for a single shroud, or 5 times the pitch for double shrouds.</w:t>
      </w:r>
    </w:p>
    <w:p w:rsidR="00B40966" w:rsidRDefault="00B40966">
      <w:pPr>
        <w:pStyle w:val="Amain"/>
      </w:pPr>
      <w:r>
        <w:rPr>
          <w:color w:val="000000"/>
        </w:rPr>
        <w:tab/>
        <w:t>(37)</w:t>
      </w:r>
      <w:r>
        <w:rPr>
          <w:color w:val="000000"/>
        </w:rPr>
        <w:tab/>
        <w:t>Subject to the same limitations, an effective single shroud extending to the top of the teeth may be considered to reduce tooth stresses by 16%, and effective double shrouds of the same height by 50%.</w:t>
      </w:r>
    </w:p>
    <w:p w:rsidR="00B40966" w:rsidRDefault="00B40966">
      <w:pPr>
        <w:pStyle w:val="Amain"/>
      </w:pPr>
      <w:r>
        <w:rPr>
          <w:color w:val="000000"/>
        </w:rPr>
        <w:tab/>
        <w:t>(38)</w:t>
      </w:r>
      <w:r>
        <w:rPr>
          <w:color w:val="000000"/>
        </w:rPr>
        <w:tab/>
        <w:t>Spur gears of the following materials shall not, for the purposes of design, be considered to be in a lower group than classification 2 if machined, or classification 3 if not machined:</w:t>
      </w:r>
    </w:p>
    <w:p w:rsidR="00B40966" w:rsidRDefault="00B40966">
      <w:pPr>
        <w:pStyle w:val="Apara"/>
      </w:pPr>
      <w:r>
        <w:tab/>
        <w:t>(a)</w:t>
      </w:r>
      <w:r>
        <w:tab/>
        <w:t>cast metals, other than steel;</w:t>
      </w:r>
    </w:p>
    <w:p w:rsidR="00B40966" w:rsidRDefault="00B40966">
      <w:pPr>
        <w:pStyle w:val="Apara"/>
      </w:pPr>
      <w:r>
        <w:tab/>
        <w:t>(b)</w:t>
      </w:r>
      <w:r>
        <w:tab/>
        <w:t>extruded metals;</w:t>
      </w:r>
    </w:p>
    <w:p w:rsidR="00B40966" w:rsidRDefault="00B40966">
      <w:pPr>
        <w:pStyle w:val="Apara"/>
      </w:pPr>
      <w:r>
        <w:tab/>
        <w:t>(c)</w:t>
      </w:r>
      <w:r>
        <w:tab/>
        <w:t>synthetics, including impregnated fabrics and fibres;</w:t>
      </w:r>
    </w:p>
    <w:p w:rsidR="00B40966" w:rsidRDefault="00B40966">
      <w:pPr>
        <w:pStyle w:val="Apara"/>
      </w:pPr>
      <w:r>
        <w:tab/>
        <w:t>(d)</w:t>
      </w:r>
      <w:r>
        <w:tab/>
        <w:t>leather;</w:t>
      </w:r>
    </w:p>
    <w:p w:rsidR="00B40966" w:rsidRDefault="00B40966">
      <w:pPr>
        <w:pStyle w:val="Apara"/>
      </w:pPr>
      <w:r>
        <w:tab/>
        <w:t>(e)</w:t>
      </w:r>
      <w:r>
        <w:tab/>
        <w:t>timber, including vegetable fibres.</w:t>
      </w:r>
    </w:p>
    <w:p w:rsidR="00B40966" w:rsidRDefault="00B40966">
      <w:pPr>
        <w:pStyle w:val="Amain"/>
        <w:keepNext/>
      </w:pPr>
      <w:r>
        <w:rPr>
          <w:color w:val="000000"/>
        </w:rPr>
        <w:tab/>
        <w:t>(39)</w:t>
      </w:r>
      <w:r>
        <w:rPr>
          <w:color w:val="000000"/>
        </w:rPr>
        <w:tab/>
        <w:t>The transverse stress at the base of a machined straight involute tooth of a plain or helical spur gear shall be determined from the formula—</w:t>
      </w:r>
    </w:p>
    <w:p w:rsidR="00B40966" w:rsidRDefault="00B40966">
      <w:pPr>
        <w:pStyle w:val="Amain"/>
        <w:spacing w:before="40" w:after="20"/>
        <w:jc w:val="center"/>
        <w:rPr>
          <w:color w:val="000000"/>
        </w:rPr>
      </w:pPr>
      <w:r>
        <w:rPr>
          <w:color w:val="000000"/>
        </w:rPr>
        <w:fldChar w:fldCharType="begin"/>
      </w:r>
      <w:r>
        <w:rPr>
          <w:color w:val="000000"/>
        </w:rPr>
        <w:instrText xml:space="preserve"> EQ \F(</w:instrText>
      </w:r>
      <w:r>
        <w:rPr>
          <w:b/>
          <w:color w:val="000000"/>
        </w:rPr>
        <w:instrText>WP</w:instrText>
      </w:r>
      <w:r>
        <w:rPr>
          <w:color w:val="000000"/>
        </w:rPr>
        <w:instrText>,</w:instrText>
      </w:r>
      <w:r>
        <w:rPr>
          <w:b/>
          <w:color w:val="000000"/>
        </w:rPr>
        <w:instrText>FZ</w:instrText>
      </w:r>
      <w:r>
        <w:rPr>
          <w:color w:val="000000"/>
        </w:rPr>
        <w:instrText xml:space="preserve">)  </w:instrText>
      </w:r>
      <w:r>
        <w:rPr>
          <w:color w:val="000000"/>
        </w:rPr>
        <w:fldChar w:fldCharType="end"/>
      </w:r>
      <w:r>
        <w:rPr>
          <w:color w:val="000000"/>
        </w:rPr>
        <w:t>pounds per square inch.</w:t>
      </w:r>
    </w:p>
    <w:p w:rsidR="00B40966" w:rsidRDefault="00B40966">
      <w:pPr>
        <w:pStyle w:val="Amain"/>
      </w:pPr>
      <w:r>
        <w:tab/>
        <w:t>(40)</w:t>
      </w:r>
      <w:r>
        <w:tab/>
        <w:t>In subsection (39):</w:t>
      </w:r>
    </w:p>
    <w:p w:rsidR="00B40966" w:rsidRDefault="00B40966">
      <w:pPr>
        <w:pStyle w:val="aDef"/>
      </w:pPr>
      <w:r>
        <w:rPr>
          <w:b/>
        </w:rPr>
        <w:t>F</w:t>
      </w:r>
      <w:r>
        <w:t xml:space="preserve"> means the effective face of the spur gear measured in inches parallel to the axis of rotation of the gear.</w:t>
      </w:r>
    </w:p>
    <w:p w:rsidR="00B40966" w:rsidRDefault="00B40966">
      <w:pPr>
        <w:pStyle w:val="aDef"/>
      </w:pPr>
      <w:r>
        <w:rPr>
          <w:b/>
        </w:rPr>
        <w:t>P</w:t>
      </w:r>
      <w:r>
        <w:t xml:space="preserve"> means the diametral pitch in the diametral plane of rotation.</w:t>
      </w:r>
    </w:p>
    <w:p w:rsidR="00B40966" w:rsidRDefault="00B40966">
      <w:pPr>
        <w:pStyle w:val="aDef"/>
      </w:pPr>
      <w:r>
        <w:rPr>
          <w:b/>
        </w:rPr>
        <w:t>W</w:t>
      </w:r>
      <w:r>
        <w:t xml:space="preserve"> means the tooth load in pounds as referred to in subsection (45).</w:t>
      </w:r>
    </w:p>
    <w:p w:rsidR="00B40966" w:rsidRDefault="00B40966">
      <w:pPr>
        <w:pStyle w:val="aDef"/>
      </w:pPr>
      <w:r>
        <w:rPr>
          <w:b/>
        </w:rPr>
        <w:t>Z</w:t>
      </w:r>
      <w:r>
        <w:t xml:space="preserve"> means a coefficient to be obtained from table 130.1, relevant and appropriate to the number of teeth of the gear and to the obliquity of the path of contact of mating teeth from planes tangential to the shortest line joining the centre of rotation of the gear to the like centre of its mating gear.</w:t>
      </w:r>
    </w:p>
    <w:p w:rsidR="00B40966" w:rsidRDefault="00B40966">
      <w:pPr>
        <w:pStyle w:val="Amain"/>
      </w:pPr>
      <w:r>
        <w:tab/>
        <w:t>(41)</w:t>
      </w:r>
      <w:r>
        <w:tab/>
        <w:t xml:space="preserve">If the tooth is machined in accordance with Fellows standard 20° stub proportions, </w:t>
      </w:r>
      <w:r>
        <w:rPr>
          <w:b/>
        </w:rPr>
        <w:t>P</w:t>
      </w:r>
      <w:r>
        <w:t xml:space="preserve"> shall be the diametral pitch in the diametral plane of rotation.</w:t>
      </w:r>
    </w:p>
    <w:p w:rsidR="00B40966" w:rsidRDefault="00B40966">
      <w:pPr>
        <w:pStyle w:val="Amain"/>
      </w:pPr>
      <w:r>
        <w:tab/>
        <w:t>(42)</w:t>
      </w:r>
      <w:r>
        <w:tab/>
        <w:t>The transverse stress determined in accordance with subsection (39) shall not exceed the relevant and appropriate maximum prescribed by section 126 and modified by subsection (47).</w:t>
      </w:r>
    </w:p>
    <w:p w:rsidR="00B40966" w:rsidRDefault="00B40966">
      <w:pPr>
        <w:pStyle w:val="TableHd"/>
        <w:ind w:left="1368" w:hanging="1368"/>
      </w:pPr>
      <w:r>
        <w:t>Table 130.1</w:t>
      </w:r>
      <w:r>
        <w:tab/>
        <w:t xml:space="preserve">Coefficients </w:t>
      </w:r>
      <w:r>
        <w:rPr>
          <w:rStyle w:val="charItals"/>
        </w:rPr>
        <w:t>Z</w:t>
      </w:r>
      <w:r>
        <w:t xml:space="preserve"> relating to teeth of spur gearing</w:t>
      </w:r>
    </w:p>
    <w:tbl>
      <w:tblPr>
        <w:tblW w:w="0" w:type="auto"/>
        <w:tblInd w:w="-40" w:type="dxa"/>
        <w:tblLayout w:type="fixed"/>
        <w:tblCellMar>
          <w:left w:w="80" w:type="dxa"/>
          <w:right w:w="80" w:type="dxa"/>
        </w:tblCellMar>
        <w:tblLook w:val="0000" w:firstRow="0" w:lastRow="0" w:firstColumn="0" w:lastColumn="0" w:noHBand="0" w:noVBand="0"/>
      </w:tblPr>
      <w:tblGrid>
        <w:gridCol w:w="560"/>
        <w:gridCol w:w="800"/>
        <w:gridCol w:w="700"/>
        <w:gridCol w:w="720"/>
        <w:gridCol w:w="540"/>
        <w:gridCol w:w="600"/>
        <w:gridCol w:w="600"/>
        <w:gridCol w:w="600"/>
        <w:gridCol w:w="600"/>
        <w:gridCol w:w="600"/>
        <w:gridCol w:w="600"/>
        <w:gridCol w:w="600"/>
      </w:tblGrid>
      <w:tr w:rsidR="00B40966">
        <w:trPr>
          <w:cantSplit/>
          <w:tblHeader/>
        </w:trPr>
        <w:tc>
          <w:tcPr>
            <w:tcW w:w="560" w:type="dxa"/>
            <w:tcBorders>
              <w:top w:val="single" w:sz="6" w:space="0" w:color="auto"/>
            </w:tcBorders>
          </w:tcPr>
          <w:p w:rsidR="00B40966" w:rsidRDefault="00B40966">
            <w:pPr>
              <w:pStyle w:val="TableColHd"/>
              <w:rPr>
                <w:sz w:val="14"/>
              </w:rPr>
            </w:pPr>
          </w:p>
        </w:tc>
        <w:tc>
          <w:tcPr>
            <w:tcW w:w="800" w:type="dxa"/>
            <w:vMerge w:val="restart"/>
            <w:tcBorders>
              <w:top w:val="single" w:sz="6" w:space="0" w:color="auto"/>
              <w:left w:val="single" w:sz="6" w:space="0" w:color="auto"/>
              <w:right w:val="single" w:sz="6" w:space="0" w:color="auto"/>
            </w:tcBorders>
            <w:vAlign w:val="bottom"/>
          </w:tcPr>
          <w:p w:rsidR="00B40966" w:rsidRDefault="00B40966">
            <w:pPr>
              <w:pStyle w:val="TableColHd"/>
              <w:rPr>
                <w:sz w:val="14"/>
              </w:rPr>
            </w:pPr>
            <w:r>
              <w:rPr>
                <w:sz w:val="14"/>
              </w:rPr>
              <w:t>14</w:t>
            </w:r>
            <w:r>
              <w:rPr>
                <w:position w:val="4"/>
                <w:sz w:val="10"/>
              </w:rPr>
              <w:t>1</w:t>
            </w:r>
            <w:r>
              <w:rPr>
                <w:sz w:val="14"/>
              </w:rPr>
              <w:t>/</w:t>
            </w:r>
            <w:r>
              <w:rPr>
                <w:sz w:val="10"/>
              </w:rPr>
              <w:t>2</w:t>
            </w:r>
            <w:r>
              <w:rPr>
                <w:sz w:val="14"/>
              </w:rPr>
              <w:t>° involute t</w:t>
            </w:r>
            <w:r>
              <w:rPr>
                <w:color w:val="000000"/>
                <w:sz w:val="14"/>
              </w:rPr>
              <w:t>eeth or cycloidal teeth</w:t>
            </w:r>
          </w:p>
        </w:tc>
        <w:tc>
          <w:tcPr>
            <w:tcW w:w="700" w:type="dxa"/>
            <w:vMerge w:val="restart"/>
            <w:tcBorders>
              <w:top w:val="single" w:sz="6" w:space="0" w:color="auto"/>
              <w:left w:val="single" w:sz="6" w:space="0" w:color="auto"/>
              <w:right w:val="single" w:sz="6" w:space="0" w:color="auto"/>
            </w:tcBorders>
            <w:vAlign w:val="bottom"/>
          </w:tcPr>
          <w:p w:rsidR="00B40966" w:rsidRDefault="00B40966">
            <w:pPr>
              <w:pStyle w:val="TableColHd"/>
              <w:rPr>
                <w:sz w:val="14"/>
              </w:rPr>
            </w:pPr>
            <w:r>
              <w:rPr>
                <w:color w:val="000000"/>
                <w:sz w:val="14"/>
              </w:rPr>
              <w:t>20° involute teeth</w:t>
            </w:r>
          </w:p>
        </w:tc>
        <w:tc>
          <w:tcPr>
            <w:tcW w:w="720" w:type="dxa"/>
            <w:vMerge w:val="restart"/>
            <w:tcBorders>
              <w:top w:val="single" w:sz="6" w:space="0" w:color="auto"/>
              <w:right w:val="single" w:sz="6" w:space="0" w:color="auto"/>
            </w:tcBorders>
            <w:vAlign w:val="bottom"/>
          </w:tcPr>
          <w:p w:rsidR="00B40966" w:rsidRDefault="00B40966">
            <w:pPr>
              <w:pStyle w:val="TableColHd"/>
              <w:rPr>
                <w:sz w:val="14"/>
              </w:rPr>
            </w:pPr>
            <w:r>
              <w:rPr>
                <w:sz w:val="14"/>
              </w:rPr>
              <w:t>20° i</w:t>
            </w:r>
            <w:r>
              <w:rPr>
                <w:color w:val="000000"/>
                <w:sz w:val="14"/>
              </w:rPr>
              <w:t>nvolute stub teeth</w:t>
            </w:r>
          </w:p>
        </w:tc>
        <w:tc>
          <w:tcPr>
            <w:tcW w:w="4740" w:type="dxa"/>
            <w:gridSpan w:val="8"/>
            <w:tcBorders>
              <w:top w:val="single" w:sz="6" w:space="0" w:color="auto"/>
              <w:bottom w:val="single" w:sz="6" w:space="0" w:color="auto"/>
            </w:tcBorders>
          </w:tcPr>
          <w:p w:rsidR="00B40966" w:rsidRDefault="00B40966">
            <w:pPr>
              <w:pStyle w:val="TableColHd"/>
              <w:spacing w:before="60"/>
              <w:rPr>
                <w:sz w:val="14"/>
              </w:rPr>
            </w:pPr>
            <w:r>
              <w:rPr>
                <w:sz w:val="14"/>
              </w:rPr>
              <w:t>Fellow’s 20° stub teeth of undermentioned nominal diametral pitch</w:t>
            </w:r>
          </w:p>
        </w:tc>
      </w:tr>
      <w:tr w:rsidR="00B40966">
        <w:trPr>
          <w:cantSplit/>
          <w:tblHeader/>
        </w:trPr>
        <w:tc>
          <w:tcPr>
            <w:tcW w:w="560" w:type="dxa"/>
            <w:tcBorders>
              <w:bottom w:val="single" w:sz="6" w:space="0" w:color="auto"/>
            </w:tcBorders>
            <w:vAlign w:val="bottom"/>
          </w:tcPr>
          <w:p w:rsidR="00B40966" w:rsidRDefault="00B40966">
            <w:pPr>
              <w:pStyle w:val="TableColHd"/>
              <w:rPr>
                <w:color w:val="000000"/>
                <w:sz w:val="14"/>
              </w:rPr>
            </w:pPr>
            <w:r>
              <w:rPr>
                <w:color w:val="000000"/>
                <w:sz w:val="14"/>
              </w:rPr>
              <w:t>No of teeth</w:t>
            </w:r>
          </w:p>
        </w:tc>
        <w:tc>
          <w:tcPr>
            <w:tcW w:w="800" w:type="dxa"/>
            <w:vMerge/>
            <w:tcBorders>
              <w:left w:val="single" w:sz="6" w:space="0" w:color="auto"/>
              <w:bottom w:val="single" w:sz="6" w:space="0" w:color="auto"/>
              <w:right w:val="single" w:sz="6" w:space="0" w:color="auto"/>
            </w:tcBorders>
          </w:tcPr>
          <w:p w:rsidR="00B40966" w:rsidRDefault="00B40966">
            <w:pPr>
              <w:pStyle w:val="TableColHd"/>
              <w:rPr>
                <w:color w:val="000000"/>
                <w:sz w:val="14"/>
              </w:rPr>
            </w:pPr>
          </w:p>
        </w:tc>
        <w:tc>
          <w:tcPr>
            <w:tcW w:w="700" w:type="dxa"/>
            <w:vMerge/>
            <w:tcBorders>
              <w:left w:val="single" w:sz="6" w:space="0" w:color="auto"/>
              <w:bottom w:val="single" w:sz="6" w:space="0" w:color="auto"/>
              <w:right w:val="single" w:sz="6" w:space="0" w:color="auto"/>
            </w:tcBorders>
          </w:tcPr>
          <w:p w:rsidR="00B40966" w:rsidRDefault="00B40966">
            <w:pPr>
              <w:pStyle w:val="TableColHd"/>
              <w:rPr>
                <w:color w:val="000000"/>
                <w:sz w:val="14"/>
              </w:rPr>
            </w:pPr>
          </w:p>
        </w:tc>
        <w:tc>
          <w:tcPr>
            <w:tcW w:w="720" w:type="dxa"/>
            <w:vMerge/>
            <w:tcBorders>
              <w:bottom w:val="single" w:sz="6" w:space="0" w:color="auto"/>
              <w:right w:val="single" w:sz="6" w:space="0" w:color="auto"/>
            </w:tcBorders>
          </w:tcPr>
          <w:p w:rsidR="00B40966" w:rsidRDefault="00B40966">
            <w:pPr>
              <w:pStyle w:val="TableColHd"/>
              <w:rPr>
                <w:color w:val="000000"/>
                <w:sz w:val="14"/>
              </w:rPr>
            </w:pPr>
          </w:p>
        </w:tc>
        <w:tc>
          <w:tcPr>
            <w:tcW w:w="540" w:type="dxa"/>
            <w:tcBorders>
              <w:bottom w:val="single" w:sz="6" w:space="0" w:color="auto"/>
            </w:tcBorders>
            <w:vAlign w:val="bottom"/>
          </w:tcPr>
          <w:p w:rsidR="00B40966" w:rsidRDefault="00B40966">
            <w:pPr>
              <w:pStyle w:val="Amain"/>
              <w:rPr>
                <w:color w:val="000000"/>
              </w:rPr>
            </w:pPr>
            <w:r>
              <w:rPr>
                <w:color w:val="000000"/>
                <w:position w:val="6"/>
                <w:sz w:val="18"/>
              </w:rPr>
              <w:t>4</w:t>
            </w:r>
            <w:r>
              <w:rPr>
                <w:color w:val="000000"/>
              </w:rPr>
              <w:t>/</w:t>
            </w:r>
            <w:r>
              <w:rPr>
                <w:color w:val="000000"/>
                <w:sz w:val="18"/>
              </w:rPr>
              <w:t>5</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5</w:t>
            </w:r>
            <w:r>
              <w:rPr>
                <w:color w:val="000000"/>
              </w:rPr>
              <w:t>/</w:t>
            </w:r>
            <w:r>
              <w:rPr>
                <w:color w:val="000000"/>
                <w:sz w:val="18"/>
              </w:rPr>
              <w:t>7</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6</w:t>
            </w:r>
            <w:r>
              <w:rPr>
                <w:color w:val="000000"/>
              </w:rPr>
              <w:t>/</w:t>
            </w:r>
            <w:r>
              <w:rPr>
                <w:color w:val="000000"/>
                <w:sz w:val="18"/>
              </w:rPr>
              <w:t>8</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7</w:t>
            </w:r>
            <w:r>
              <w:rPr>
                <w:color w:val="000000"/>
              </w:rPr>
              <w:t>/</w:t>
            </w:r>
            <w:r>
              <w:rPr>
                <w:color w:val="000000"/>
                <w:sz w:val="18"/>
              </w:rPr>
              <w:t>9</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8</w:t>
            </w:r>
            <w:r>
              <w:rPr>
                <w:color w:val="000000"/>
              </w:rPr>
              <w:t>/</w:t>
            </w:r>
            <w:r>
              <w:rPr>
                <w:color w:val="000000"/>
                <w:sz w:val="18"/>
              </w:rPr>
              <w:t>10</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9</w:t>
            </w:r>
            <w:r>
              <w:rPr>
                <w:color w:val="000000"/>
              </w:rPr>
              <w:t>/</w:t>
            </w:r>
            <w:r>
              <w:rPr>
                <w:color w:val="000000"/>
                <w:sz w:val="18"/>
              </w:rPr>
              <w:t>11</w:t>
            </w:r>
            <w:r>
              <w:rPr>
                <w:color w:val="000000"/>
              </w:rPr>
              <w:t xml:space="preserve"> </w:t>
            </w:r>
          </w:p>
        </w:tc>
        <w:tc>
          <w:tcPr>
            <w:tcW w:w="600" w:type="dxa"/>
            <w:tcBorders>
              <w:left w:val="single" w:sz="6" w:space="0" w:color="auto"/>
              <w:bottom w:val="single" w:sz="6" w:space="0" w:color="auto"/>
              <w:right w:val="single" w:sz="6" w:space="0" w:color="auto"/>
            </w:tcBorders>
            <w:vAlign w:val="bottom"/>
          </w:tcPr>
          <w:p w:rsidR="00B40966" w:rsidRDefault="00B40966">
            <w:pPr>
              <w:pStyle w:val="Amain"/>
              <w:rPr>
                <w:color w:val="000000"/>
              </w:rPr>
            </w:pPr>
            <w:r>
              <w:rPr>
                <w:color w:val="000000"/>
                <w:position w:val="6"/>
                <w:sz w:val="18"/>
              </w:rPr>
              <w:t>10</w:t>
            </w:r>
            <w:r>
              <w:rPr>
                <w:color w:val="000000"/>
              </w:rPr>
              <w:t>/</w:t>
            </w:r>
            <w:r>
              <w:rPr>
                <w:color w:val="000000"/>
                <w:sz w:val="18"/>
              </w:rPr>
              <w:t>12</w:t>
            </w:r>
            <w:r>
              <w:rPr>
                <w:color w:val="000000"/>
              </w:rPr>
              <w:t xml:space="preserve"> </w:t>
            </w:r>
          </w:p>
        </w:tc>
        <w:tc>
          <w:tcPr>
            <w:tcW w:w="600" w:type="dxa"/>
            <w:tcBorders>
              <w:bottom w:val="single" w:sz="6" w:space="0" w:color="auto"/>
            </w:tcBorders>
            <w:vAlign w:val="bottom"/>
          </w:tcPr>
          <w:p w:rsidR="00B40966" w:rsidRDefault="00B40966">
            <w:pPr>
              <w:pStyle w:val="Amain"/>
              <w:rPr>
                <w:color w:val="000000"/>
              </w:rPr>
            </w:pPr>
            <w:r>
              <w:rPr>
                <w:color w:val="000000"/>
                <w:position w:val="6"/>
                <w:sz w:val="18"/>
              </w:rPr>
              <w:t>12</w:t>
            </w:r>
            <w:r>
              <w:rPr>
                <w:color w:val="000000"/>
              </w:rPr>
              <w:t>/</w:t>
            </w:r>
            <w:r>
              <w:rPr>
                <w:color w:val="000000"/>
                <w:sz w:val="18"/>
              </w:rPr>
              <w:t>14</w:t>
            </w:r>
            <w:r>
              <w:rPr>
                <w:color w:val="000000"/>
              </w:rPr>
              <w:t xml:space="preserve"> </w:t>
            </w:r>
          </w:p>
        </w:tc>
      </w:tr>
      <w:tr w:rsidR="00B40966">
        <w:trPr>
          <w:cantSplit/>
        </w:trPr>
        <w:tc>
          <w:tcPr>
            <w:tcW w:w="560" w:type="dxa"/>
            <w:tcBorders>
              <w:top w:val="single" w:sz="6" w:space="0" w:color="auto"/>
            </w:tcBorders>
          </w:tcPr>
          <w:p w:rsidR="00B40966" w:rsidRDefault="00B40966">
            <w:pPr>
              <w:pStyle w:val="TableText"/>
              <w:rPr>
                <w:sz w:val="16"/>
              </w:rPr>
            </w:pPr>
            <w:r>
              <w:rPr>
                <w:sz w:val="16"/>
              </w:rPr>
              <w:t>10</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0.176</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0.201</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0.261</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p>
        </w:tc>
        <w:tc>
          <w:tcPr>
            <w:tcW w:w="600" w:type="dxa"/>
            <w:tcBorders>
              <w:top w:val="single" w:sz="6" w:space="0" w:color="auto"/>
            </w:tcBorders>
          </w:tcPr>
          <w:p w:rsidR="00B40966" w:rsidRDefault="00B40966">
            <w:pPr>
              <w:pStyle w:val="TableText"/>
              <w:rPr>
                <w:sz w:val="16"/>
              </w:rPr>
            </w:pPr>
          </w:p>
        </w:tc>
      </w:tr>
      <w:tr w:rsidR="00B40966">
        <w:trPr>
          <w:cantSplit/>
        </w:trPr>
        <w:tc>
          <w:tcPr>
            <w:tcW w:w="560" w:type="dxa"/>
          </w:tcPr>
          <w:p w:rsidR="00B40966" w:rsidRDefault="00B40966">
            <w:pPr>
              <w:pStyle w:val="TableText"/>
              <w:rPr>
                <w:sz w:val="16"/>
              </w:rPr>
            </w:pPr>
            <w:r>
              <w:rPr>
                <w:sz w:val="16"/>
              </w:rPr>
              <w:t>11</w:t>
            </w:r>
          </w:p>
        </w:tc>
        <w:tc>
          <w:tcPr>
            <w:tcW w:w="800" w:type="dxa"/>
            <w:tcBorders>
              <w:left w:val="single" w:sz="6" w:space="0" w:color="auto"/>
              <w:right w:val="single" w:sz="6" w:space="0" w:color="auto"/>
            </w:tcBorders>
          </w:tcPr>
          <w:p w:rsidR="00B40966" w:rsidRDefault="00B40966">
            <w:pPr>
              <w:pStyle w:val="TableText"/>
              <w:rPr>
                <w:sz w:val="16"/>
              </w:rPr>
            </w:pPr>
            <w:r>
              <w:rPr>
                <w:sz w:val="16"/>
              </w:rPr>
              <w:t>.192</w:t>
            </w:r>
          </w:p>
        </w:tc>
        <w:tc>
          <w:tcPr>
            <w:tcW w:w="700" w:type="dxa"/>
            <w:tcBorders>
              <w:left w:val="single" w:sz="6" w:space="0" w:color="auto"/>
              <w:right w:val="single" w:sz="6" w:space="0" w:color="auto"/>
            </w:tcBorders>
          </w:tcPr>
          <w:p w:rsidR="00B40966" w:rsidRDefault="00B40966">
            <w:pPr>
              <w:pStyle w:val="TableText"/>
              <w:rPr>
                <w:sz w:val="16"/>
              </w:rPr>
            </w:pPr>
            <w:r>
              <w:rPr>
                <w:sz w:val="16"/>
              </w:rPr>
              <w:t>.226</w:t>
            </w:r>
          </w:p>
        </w:tc>
        <w:tc>
          <w:tcPr>
            <w:tcW w:w="720" w:type="dxa"/>
            <w:tcBorders>
              <w:left w:val="single" w:sz="6" w:space="0" w:color="auto"/>
              <w:right w:val="single" w:sz="6" w:space="0" w:color="auto"/>
            </w:tcBorders>
          </w:tcPr>
          <w:p w:rsidR="00B40966" w:rsidRDefault="00B40966">
            <w:pPr>
              <w:pStyle w:val="TableText"/>
              <w:rPr>
                <w:sz w:val="16"/>
              </w:rPr>
            </w:pPr>
            <w:r>
              <w:rPr>
                <w:sz w:val="16"/>
              </w:rPr>
              <w:t>.289</w:t>
            </w:r>
          </w:p>
        </w:tc>
        <w:tc>
          <w:tcPr>
            <w:tcW w:w="54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Pr>
          <w:p w:rsidR="00B40966" w:rsidRDefault="00B40966">
            <w:pPr>
              <w:pStyle w:val="TableText"/>
              <w:rPr>
                <w:sz w:val="16"/>
              </w:rPr>
            </w:pPr>
          </w:p>
        </w:tc>
      </w:tr>
      <w:tr w:rsidR="00B40966">
        <w:trPr>
          <w:cantSplit/>
        </w:trPr>
        <w:tc>
          <w:tcPr>
            <w:tcW w:w="560" w:type="dxa"/>
            <w:tcBorders>
              <w:top w:val="single" w:sz="6" w:space="0" w:color="auto"/>
            </w:tcBorders>
          </w:tcPr>
          <w:p w:rsidR="00B40966" w:rsidRDefault="00B40966">
            <w:pPr>
              <w:pStyle w:val="TableText"/>
              <w:rPr>
                <w:sz w:val="16"/>
              </w:rPr>
            </w:pPr>
            <w:r>
              <w:rPr>
                <w:sz w:val="16"/>
              </w:rPr>
              <w:t>12</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.210</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.245</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.311</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0.348</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0.320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0.302</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0.314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0.292</w:t>
            </w:r>
          </w:p>
        </w:tc>
        <w:tc>
          <w:tcPr>
            <w:tcW w:w="600" w:type="dxa"/>
            <w:tcBorders>
              <w:top w:val="single" w:sz="6" w:space="0" w:color="auto"/>
            </w:tcBorders>
          </w:tcPr>
          <w:p w:rsidR="00B40966" w:rsidRDefault="00B40966">
            <w:pPr>
              <w:pStyle w:val="TableText"/>
              <w:rPr>
                <w:sz w:val="16"/>
              </w:rPr>
            </w:pPr>
            <w:r>
              <w:rPr>
                <w:sz w:val="16"/>
              </w:rPr>
              <w:t>0.289</w:t>
            </w:r>
          </w:p>
        </w:tc>
      </w:tr>
      <w:tr w:rsidR="00B40966">
        <w:trPr>
          <w:cantSplit/>
        </w:trPr>
        <w:tc>
          <w:tcPr>
            <w:tcW w:w="560" w:type="dxa"/>
          </w:tcPr>
          <w:p w:rsidR="00B40966" w:rsidRDefault="00B40966">
            <w:pPr>
              <w:pStyle w:val="TableText"/>
              <w:rPr>
                <w:sz w:val="16"/>
              </w:rPr>
            </w:pPr>
            <w:r>
              <w:rPr>
                <w:sz w:val="16"/>
              </w:rPr>
              <w:t>13</w:t>
            </w:r>
          </w:p>
        </w:tc>
        <w:tc>
          <w:tcPr>
            <w:tcW w:w="800" w:type="dxa"/>
            <w:tcBorders>
              <w:left w:val="single" w:sz="6" w:space="0" w:color="auto"/>
              <w:right w:val="single" w:sz="6" w:space="0" w:color="auto"/>
            </w:tcBorders>
          </w:tcPr>
          <w:p w:rsidR="00B40966" w:rsidRDefault="00B40966">
            <w:pPr>
              <w:pStyle w:val="TableText"/>
              <w:rPr>
                <w:sz w:val="16"/>
              </w:rPr>
            </w:pPr>
            <w:r>
              <w:rPr>
                <w:sz w:val="16"/>
              </w:rPr>
              <w:t>.223</w:t>
            </w:r>
          </w:p>
        </w:tc>
        <w:tc>
          <w:tcPr>
            <w:tcW w:w="700" w:type="dxa"/>
            <w:tcBorders>
              <w:left w:val="single" w:sz="6" w:space="0" w:color="auto"/>
              <w:right w:val="single" w:sz="6" w:space="0" w:color="auto"/>
            </w:tcBorders>
          </w:tcPr>
          <w:p w:rsidR="00B40966" w:rsidRDefault="00B40966">
            <w:pPr>
              <w:pStyle w:val="TableText"/>
              <w:rPr>
                <w:sz w:val="16"/>
              </w:rPr>
            </w:pPr>
            <w:r>
              <w:rPr>
                <w:sz w:val="16"/>
              </w:rPr>
              <w:t>.264</w:t>
            </w:r>
          </w:p>
        </w:tc>
        <w:tc>
          <w:tcPr>
            <w:tcW w:w="720" w:type="dxa"/>
            <w:tcBorders>
              <w:left w:val="single" w:sz="6" w:space="0" w:color="auto"/>
              <w:right w:val="single" w:sz="6" w:space="0" w:color="auto"/>
            </w:tcBorders>
          </w:tcPr>
          <w:p w:rsidR="00B40966" w:rsidRDefault="00B40966">
            <w:pPr>
              <w:pStyle w:val="TableText"/>
              <w:rPr>
                <w:sz w:val="16"/>
              </w:rPr>
            </w:pPr>
            <w:r>
              <w:rPr>
                <w:sz w:val="16"/>
              </w:rPr>
              <w:t>.324</w:t>
            </w:r>
          </w:p>
        </w:tc>
        <w:tc>
          <w:tcPr>
            <w:tcW w:w="540" w:type="dxa"/>
            <w:tcBorders>
              <w:left w:val="single" w:sz="6" w:space="0" w:color="auto"/>
              <w:right w:val="single" w:sz="6" w:space="0" w:color="auto"/>
            </w:tcBorders>
          </w:tcPr>
          <w:p w:rsidR="00B40966" w:rsidRDefault="00B40966">
            <w:pPr>
              <w:pStyle w:val="TableText"/>
              <w:rPr>
                <w:sz w:val="16"/>
              </w:rPr>
            </w:pPr>
            <w:r>
              <w:rPr>
                <w:sz w:val="16"/>
              </w:rPr>
              <w:t>.318</w:t>
            </w:r>
          </w:p>
        </w:tc>
        <w:tc>
          <w:tcPr>
            <w:tcW w:w="600" w:type="dxa"/>
            <w:tcBorders>
              <w:left w:val="single" w:sz="6" w:space="0" w:color="auto"/>
              <w:right w:val="single" w:sz="6" w:space="0" w:color="auto"/>
            </w:tcBorders>
          </w:tcPr>
          <w:p w:rsidR="00B40966" w:rsidRDefault="00B40966">
            <w:pPr>
              <w:pStyle w:val="TableText"/>
              <w:rPr>
                <w:sz w:val="16"/>
              </w:rPr>
            </w:pPr>
            <w:r>
              <w:rPr>
                <w:sz w:val="16"/>
              </w:rPr>
              <w:t>.361</w:t>
            </w:r>
          </w:p>
        </w:tc>
        <w:tc>
          <w:tcPr>
            <w:tcW w:w="600" w:type="dxa"/>
            <w:tcBorders>
              <w:left w:val="single" w:sz="6" w:space="0" w:color="auto"/>
              <w:right w:val="single" w:sz="6" w:space="0" w:color="auto"/>
            </w:tcBorders>
          </w:tcPr>
          <w:p w:rsidR="00B40966" w:rsidRDefault="00B40966">
            <w:pPr>
              <w:pStyle w:val="TableText"/>
              <w:rPr>
                <w:sz w:val="16"/>
              </w:rPr>
            </w:pPr>
            <w:r>
              <w:rPr>
                <w:sz w:val="16"/>
              </w:rPr>
              <w:t>.336</w:t>
            </w:r>
          </w:p>
        </w:tc>
        <w:tc>
          <w:tcPr>
            <w:tcW w:w="600" w:type="dxa"/>
            <w:tcBorders>
              <w:left w:val="single" w:sz="6" w:space="0" w:color="auto"/>
              <w:right w:val="single" w:sz="6" w:space="0" w:color="auto"/>
            </w:tcBorders>
          </w:tcPr>
          <w:p w:rsidR="00B40966" w:rsidRDefault="00B40966">
            <w:pPr>
              <w:pStyle w:val="TableText"/>
              <w:rPr>
                <w:sz w:val="16"/>
              </w:rPr>
            </w:pPr>
            <w:r>
              <w:rPr>
                <w:sz w:val="16"/>
              </w:rPr>
              <w:t>.332</w:t>
            </w:r>
          </w:p>
        </w:tc>
        <w:tc>
          <w:tcPr>
            <w:tcW w:w="600" w:type="dxa"/>
            <w:tcBorders>
              <w:left w:val="single" w:sz="6" w:space="0" w:color="auto"/>
              <w:right w:val="single" w:sz="6" w:space="0" w:color="auto"/>
            </w:tcBorders>
          </w:tcPr>
          <w:p w:rsidR="00B40966" w:rsidRDefault="00B40966">
            <w:pPr>
              <w:pStyle w:val="TableText"/>
              <w:rPr>
                <w:sz w:val="16"/>
              </w:rPr>
            </w:pPr>
            <w:r>
              <w:rPr>
                <w:sz w:val="16"/>
              </w:rPr>
              <w:t>.317</w:t>
            </w:r>
          </w:p>
        </w:tc>
        <w:tc>
          <w:tcPr>
            <w:tcW w:w="600" w:type="dxa"/>
            <w:tcBorders>
              <w:left w:val="single" w:sz="6" w:space="0" w:color="auto"/>
              <w:right w:val="single" w:sz="6" w:space="0" w:color="auto"/>
            </w:tcBorders>
          </w:tcPr>
          <w:p w:rsidR="00B40966" w:rsidRDefault="00B40966">
            <w:pPr>
              <w:pStyle w:val="TableText"/>
              <w:rPr>
                <w:sz w:val="16"/>
              </w:rPr>
            </w:pPr>
            <w:r>
              <w:rPr>
                <w:sz w:val="16"/>
              </w:rPr>
              <w:t>.327</w:t>
            </w:r>
          </w:p>
        </w:tc>
        <w:tc>
          <w:tcPr>
            <w:tcW w:w="600" w:type="dxa"/>
            <w:tcBorders>
              <w:left w:val="single" w:sz="6" w:space="0" w:color="auto"/>
              <w:right w:val="single" w:sz="6" w:space="0" w:color="auto"/>
            </w:tcBorders>
          </w:tcPr>
          <w:p w:rsidR="00B40966" w:rsidRDefault="00B40966">
            <w:pPr>
              <w:pStyle w:val="TableText"/>
              <w:rPr>
                <w:sz w:val="16"/>
              </w:rPr>
            </w:pPr>
            <w:r>
              <w:rPr>
                <w:sz w:val="16"/>
              </w:rPr>
              <w:t>.308</w:t>
            </w:r>
          </w:p>
        </w:tc>
        <w:tc>
          <w:tcPr>
            <w:tcW w:w="600" w:type="dxa"/>
          </w:tcPr>
          <w:p w:rsidR="00B40966" w:rsidRDefault="00B40966">
            <w:pPr>
              <w:pStyle w:val="TableText"/>
              <w:rPr>
                <w:sz w:val="16"/>
              </w:rPr>
            </w:pPr>
            <w:r>
              <w:rPr>
                <w:sz w:val="16"/>
              </w:rPr>
              <w:t>.302</w:t>
            </w:r>
          </w:p>
        </w:tc>
      </w:tr>
      <w:tr w:rsidR="00B40966">
        <w:trPr>
          <w:cantSplit/>
        </w:trPr>
        <w:tc>
          <w:tcPr>
            <w:tcW w:w="560" w:type="dxa"/>
          </w:tcPr>
          <w:p w:rsidR="00B40966" w:rsidRDefault="00B40966">
            <w:pPr>
              <w:pStyle w:val="TableText"/>
              <w:rPr>
                <w:sz w:val="16"/>
              </w:rPr>
            </w:pPr>
            <w:r>
              <w:rPr>
                <w:sz w:val="16"/>
              </w:rPr>
              <w:t>14</w:t>
            </w:r>
          </w:p>
        </w:tc>
        <w:tc>
          <w:tcPr>
            <w:tcW w:w="800" w:type="dxa"/>
            <w:tcBorders>
              <w:left w:val="single" w:sz="6" w:space="0" w:color="auto"/>
              <w:right w:val="single" w:sz="6" w:space="0" w:color="auto"/>
            </w:tcBorders>
          </w:tcPr>
          <w:p w:rsidR="00B40966" w:rsidRDefault="00B40966">
            <w:pPr>
              <w:pStyle w:val="TableText"/>
              <w:rPr>
                <w:sz w:val="16"/>
              </w:rPr>
            </w:pPr>
            <w:r>
              <w:rPr>
                <w:sz w:val="16"/>
              </w:rPr>
              <w:t>.236</w:t>
            </w:r>
          </w:p>
        </w:tc>
        <w:tc>
          <w:tcPr>
            <w:tcW w:w="700" w:type="dxa"/>
            <w:tcBorders>
              <w:left w:val="single" w:sz="6" w:space="0" w:color="auto"/>
              <w:right w:val="single" w:sz="6" w:space="0" w:color="auto"/>
            </w:tcBorders>
          </w:tcPr>
          <w:p w:rsidR="00B40966" w:rsidRDefault="00B40966">
            <w:pPr>
              <w:pStyle w:val="TableText"/>
              <w:rPr>
                <w:sz w:val="16"/>
              </w:rPr>
            </w:pPr>
            <w:r>
              <w:rPr>
                <w:sz w:val="16"/>
              </w:rPr>
              <w:t>.276</w:t>
            </w:r>
          </w:p>
        </w:tc>
        <w:tc>
          <w:tcPr>
            <w:tcW w:w="720" w:type="dxa"/>
            <w:tcBorders>
              <w:left w:val="single" w:sz="6" w:space="0" w:color="auto"/>
              <w:right w:val="single" w:sz="6" w:space="0" w:color="auto"/>
            </w:tcBorders>
          </w:tcPr>
          <w:p w:rsidR="00B40966" w:rsidRDefault="00B40966">
            <w:pPr>
              <w:pStyle w:val="TableText"/>
              <w:rPr>
                <w:sz w:val="16"/>
              </w:rPr>
            </w:pPr>
            <w:r>
              <w:rPr>
                <w:sz w:val="16"/>
              </w:rPr>
              <w:t>.339</w:t>
            </w:r>
          </w:p>
        </w:tc>
        <w:tc>
          <w:tcPr>
            <w:tcW w:w="540" w:type="dxa"/>
            <w:tcBorders>
              <w:left w:val="single" w:sz="6" w:space="0" w:color="auto"/>
              <w:right w:val="single" w:sz="6" w:space="0" w:color="auto"/>
            </w:tcBorders>
          </w:tcPr>
          <w:p w:rsidR="00B40966" w:rsidRDefault="00B40966">
            <w:pPr>
              <w:pStyle w:val="TableText"/>
              <w:rPr>
                <w:sz w:val="16"/>
              </w:rPr>
            </w:pPr>
            <w:r>
              <w:rPr>
                <w:sz w:val="16"/>
              </w:rPr>
              <w:t>.330</w:t>
            </w:r>
          </w:p>
        </w:tc>
        <w:tc>
          <w:tcPr>
            <w:tcW w:w="600" w:type="dxa"/>
            <w:tcBorders>
              <w:left w:val="single" w:sz="6" w:space="0" w:color="auto"/>
              <w:right w:val="single" w:sz="6" w:space="0" w:color="auto"/>
            </w:tcBorders>
          </w:tcPr>
          <w:p w:rsidR="00B40966" w:rsidRDefault="00B40966">
            <w:pPr>
              <w:pStyle w:val="TableText"/>
              <w:rPr>
                <w:sz w:val="16"/>
              </w:rPr>
            </w:pPr>
            <w:r>
              <w:rPr>
                <w:sz w:val="16"/>
              </w:rPr>
              <w:t>.374</w:t>
            </w:r>
          </w:p>
        </w:tc>
        <w:tc>
          <w:tcPr>
            <w:tcW w:w="600" w:type="dxa"/>
            <w:tcBorders>
              <w:left w:val="single" w:sz="6" w:space="0" w:color="auto"/>
              <w:right w:val="single" w:sz="6" w:space="0" w:color="auto"/>
            </w:tcBorders>
          </w:tcPr>
          <w:p w:rsidR="00B40966" w:rsidRDefault="00B40966">
            <w:pPr>
              <w:pStyle w:val="TableText"/>
              <w:rPr>
                <w:sz w:val="16"/>
              </w:rPr>
            </w:pPr>
            <w:r>
              <w:rPr>
                <w:sz w:val="16"/>
              </w:rPr>
              <w:t>.352</w:t>
            </w:r>
          </w:p>
        </w:tc>
        <w:tc>
          <w:tcPr>
            <w:tcW w:w="600" w:type="dxa"/>
            <w:tcBorders>
              <w:left w:val="single" w:sz="6" w:space="0" w:color="auto"/>
              <w:right w:val="single" w:sz="6" w:space="0" w:color="auto"/>
            </w:tcBorders>
          </w:tcPr>
          <w:p w:rsidR="00B40966" w:rsidRDefault="00B40966">
            <w:pPr>
              <w:pStyle w:val="TableText"/>
              <w:rPr>
                <w:sz w:val="16"/>
              </w:rPr>
            </w:pPr>
            <w:r>
              <w:rPr>
                <w:sz w:val="16"/>
              </w:rPr>
              <w:t>.348</w:t>
            </w:r>
          </w:p>
        </w:tc>
        <w:tc>
          <w:tcPr>
            <w:tcW w:w="600" w:type="dxa"/>
            <w:tcBorders>
              <w:left w:val="single" w:sz="6" w:space="0" w:color="auto"/>
              <w:right w:val="single" w:sz="6" w:space="0" w:color="auto"/>
            </w:tcBorders>
          </w:tcPr>
          <w:p w:rsidR="00B40966" w:rsidRDefault="00B40966">
            <w:pPr>
              <w:pStyle w:val="TableText"/>
              <w:rPr>
                <w:sz w:val="16"/>
              </w:rPr>
            </w:pPr>
            <w:r>
              <w:rPr>
                <w:sz w:val="16"/>
              </w:rPr>
              <w:t>.332</w:t>
            </w:r>
          </w:p>
        </w:tc>
        <w:tc>
          <w:tcPr>
            <w:tcW w:w="600" w:type="dxa"/>
            <w:tcBorders>
              <w:left w:val="single" w:sz="6" w:space="0" w:color="auto"/>
              <w:right w:val="single" w:sz="6" w:space="0" w:color="auto"/>
            </w:tcBorders>
          </w:tcPr>
          <w:p w:rsidR="00B40966" w:rsidRDefault="00B40966">
            <w:pPr>
              <w:pStyle w:val="TableText"/>
              <w:rPr>
                <w:sz w:val="16"/>
              </w:rPr>
            </w:pPr>
            <w:r>
              <w:rPr>
                <w:sz w:val="16"/>
              </w:rPr>
              <w:t>.339</w:t>
            </w:r>
          </w:p>
        </w:tc>
        <w:tc>
          <w:tcPr>
            <w:tcW w:w="600" w:type="dxa"/>
            <w:tcBorders>
              <w:left w:val="single" w:sz="6" w:space="0" w:color="auto"/>
              <w:right w:val="single" w:sz="6" w:space="0" w:color="auto"/>
            </w:tcBorders>
          </w:tcPr>
          <w:p w:rsidR="00B40966" w:rsidRDefault="00B40966">
            <w:pPr>
              <w:pStyle w:val="TableText"/>
              <w:rPr>
                <w:sz w:val="16"/>
              </w:rPr>
            </w:pPr>
            <w:r>
              <w:rPr>
                <w:sz w:val="16"/>
              </w:rPr>
              <w:t>.320</w:t>
            </w:r>
          </w:p>
        </w:tc>
        <w:tc>
          <w:tcPr>
            <w:tcW w:w="600" w:type="dxa"/>
          </w:tcPr>
          <w:p w:rsidR="00B40966" w:rsidRDefault="00B40966">
            <w:pPr>
              <w:pStyle w:val="TableText"/>
              <w:rPr>
                <w:sz w:val="16"/>
              </w:rPr>
            </w:pPr>
            <w:r>
              <w:rPr>
                <w:sz w:val="16"/>
              </w:rPr>
              <w:t>.314</w:t>
            </w:r>
          </w:p>
        </w:tc>
      </w:tr>
      <w:tr w:rsidR="00B40966">
        <w:trPr>
          <w:cantSplit/>
        </w:trPr>
        <w:tc>
          <w:tcPr>
            <w:tcW w:w="560" w:type="dxa"/>
          </w:tcPr>
          <w:p w:rsidR="00B40966" w:rsidRDefault="00B40966">
            <w:pPr>
              <w:pStyle w:val="TableText"/>
              <w:rPr>
                <w:sz w:val="16"/>
              </w:rPr>
            </w:pPr>
            <w:r>
              <w:rPr>
                <w:sz w:val="16"/>
              </w:rPr>
              <w:t>15</w:t>
            </w:r>
          </w:p>
        </w:tc>
        <w:tc>
          <w:tcPr>
            <w:tcW w:w="800" w:type="dxa"/>
            <w:tcBorders>
              <w:left w:val="single" w:sz="6" w:space="0" w:color="auto"/>
              <w:right w:val="single" w:sz="6" w:space="0" w:color="auto"/>
            </w:tcBorders>
          </w:tcPr>
          <w:p w:rsidR="00B40966" w:rsidRDefault="00B40966">
            <w:pPr>
              <w:pStyle w:val="TableText"/>
              <w:rPr>
                <w:sz w:val="16"/>
              </w:rPr>
            </w:pPr>
            <w:r>
              <w:rPr>
                <w:sz w:val="16"/>
              </w:rPr>
              <w:t>.245</w:t>
            </w:r>
          </w:p>
        </w:tc>
        <w:tc>
          <w:tcPr>
            <w:tcW w:w="700" w:type="dxa"/>
            <w:tcBorders>
              <w:left w:val="single" w:sz="6" w:space="0" w:color="auto"/>
              <w:right w:val="single" w:sz="6" w:space="0" w:color="auto"/>
            </w:tcBorders>
          </w:tcPr>
          <w:p w:rsidR="00B40966" w:rsidRDefault="00B40966">
            <w:pPr>
              <w:pStyle w:val="TableText"/>
              <w:rPr>
                <w:sz w:val="16"/>
              </w:rPr>
            </w:pPr>
            <w:r>
              <w:rPr>
                <w:sz w:val="16"/>
              </w:rPr>
              <w:t>.289</w:t>
            </w:r>
          </w:p>
        </w:tc>
        <w:tc>
          <w:tcPr>
            <w:tcW w:w="720" w:type="dxa"/>
            <w:tcBorders>
              <w:left w:val="single" w:sz="6" w:space="0" w:color="auto"/>
              <w:right w:val="single" w:sz="6" w:space="0" w:color="auto"/>
            </w:tcBorders>
          </w:tcPr>
          <w:p w:rsidR="00B40966" w:rsidRDefault="00B40966">
            <w:pPr>
              <w:pStyle w:val="TableText"/>
              <w:rPr>
                <w:sz w:val="16"/>
              </w:rPr>
            </w:pPr>
            <w:r>
              <w:rPr>
                <w:sz w:val="16"/>
              </w:rPr>
              <w:t>.349</w:t>
            </w:r>
          </w:p>
        </w:tc>
        <w:tc>
          <w:tcPr>
            <w:tcW w:w="540" w:type="dxa"/>
            <w:tcBorders>
              <w:left w:val="single" w:sz="6" w:space="0" w:color="auto"/>
              <w:right w:val="single" w:sz="6" w:space="0" w:color="auto"/>
            </w:tcBorders>
          </w:tcPr>
          <w:p w:rsidR="00B40966" w:rsidRDefault="00B40966">
            <w:pPr>
              <w:pStyle w:val="TableText"/>
              <w:rPr>
                <w:sz w:val="16"/>
              </w:rPr>
            </w:pPr>
            <w:r>
              <w:rPr>
                <w:sz w:val="16"/>
              </w:rPr>
              <w:t>.339</w:t>
            </w:r>
          </w:p>
        </w:tc>
        <w:tc>
          <w:tcPr>
            <w:tcW w:w="600" w:type="dxa"/>
            <w:tcBorders>
              <w:left w:val="single" w:sz="6" w:space="0" w:color="auto"/>
              <w:right w:val="single" w:sz="6" w:space="0" w:color="auto"/>
            </w:tcBorders>
          </w:tcPr>
          <w:p w:rsidR="00B40966" w:rsidRDefault="00B40966">
            <w:pPr>
              <w:pStyle w:val="TableText"/>
              <w:rPr>
                <w:sz w:val="16"/>
              </w:rPr>
            </w:pPr>
            <w:r>
              <w:rPr>
                <w:sz w:val="16"/>
              </w:rPr>
              <w:t>.386</w:t>
            </w:r>
          </w:p>
        </w:tc>
        <w:tc>
          <w:tcPr>
            <w:tcW w:w="600" w:type="dxa"/>
            <w:tcBorders>
              <w:left w:val="single" w:sz="6" w:space="0" w:color="auto"/>
              <w:right w:val="single" w:sz="6" w:space="0" w:color="auto"/>
            </w:tcBorders>
          </w:tcPr>
          <w:p w:rsidR="00B40966" w:rsidRDefault="00B40966">
            <w:pPr>
              <w:pStyle w:val="TableText"/>
              <w:rPr>
                <w:sz w:val="16"/>
              </w:rPr>
            </w:pPr>
            <w:r>
              <w:rPr>
                <w:sz w:val="16"/>
              </w:rPr>
              <w:t>.364</w:t>
            </w:r>
          </w:p>
        </w:tc>
        <w:tc>
          <w:tcPr>
            <w:tcW w:w="600" w:type="dxa"/>
            <w:tcBorders>
              <w:left w:val="single" w:sz="6" w:space="0" w:color="auto"/>
              <w:right w:val="single" w:sz="6" w:space="0" w:color="auto"/>
            </w:tcBorders>
          </w:tcPr>
          <w:p w:rsidR="00B40966" w:rsidRDefault="00B40966">
            <w:pPr>
              <w:pStyle w:val="TableText"/>
              <w:rPr>
                <w:sz w:val="16"/>
              </w:rPr>
            </w:pPr>
            <w:r>
              <w:rPr>
                <w:sz w:val="16"/>
              </w:rPr>
              <w:t>.361</w:t>
            </w:r>
          </w:p>
        </w:tc>
        <w:tc>
          <w:tcPr>
            <w:tcW w:w="600" w:type="dxa"/>
            <w:tcBorders>
              <w:left w:val="single" w:sz="6" w:space="0" w:color="auto"/>
              <w:right w:val="single" w:sz="6" w:space="0" w:color="auto"/>
            </w:tcBorders>
          </w:tcPr>
          <w:p w:rsidR="00B40966" w:rsidRDefault="00B40966">
            <w:pPr>
              <w:pStyle w:val="TableText"/>
              <w:rPr>
                <w:sz w:val="16"/>
              </w:rPr>
            </w:pPr>
            <w:r>
              <w:rPr>
                <w:sz w:val="16"/>
              </w:rPr>
              <w:t>.346</w:t>
            </w:r>
          </w:p>
        </w:tc>
        <w:tc>
          <w:tcPr>
            <w:tcW w:w="600" w:type="dxa"/>
            <w:tcBorders>
              <w:left w:val="single" w:sz="6" w:space="0" w:color="auto"/>
              <w:right w:val="single" w:sz="6" w:space="0" w:color="auto"/>
            </w:tcBorders>
          </w:tcPr>
          <w:p w:rsidR="00B40966" w:rsidRDefault="00B40966">
            <w:pPr>
              <w:pStyle w:val="TableText"/>
              <w:rPr>
                <w:sz w:val="16"/>
              </w:rPr>
            </w:pPr>
            <w:r>
              <w:rPr>
                <w:sz w:val="16"/>
              </w:rPr>
              <w:t>.348</w:t>
            </w:r>
          </w:p>
        </w:tc>
        <w:tc>
          <w:tcPr>
            <w:tcW w:w="600" w:type="dxa"/>
            <w:tcBorders>
              <w:left w:val="single" w:sz="6" w:space="0" w:color="auto"/>
              <w:right w:val="single" w:sz="6" w:space="0" w:color="auto"/>
            </w:tcBorders>
          </w:tcPr>
          <w:p w:rsidR="00B40966" w:rsidRDefault="00B40966">
            <w:pPr>
              <w:pStyle w:val="TableText"/>
              <w:rPr>
                <w:sz w:val="16"/>
              </w:rPr>
            </w:pPr>
            <w:r>
              <w:rPr>
                <w:sz w:val="16"/>
              </w:rPr>
              <w:t>.330</w:t>
            </w:r>
          </w:p>
        </w:tc>
        <w:tc>
          <w:tcPr>
            <w:tcW w:w="600" w:type="dxa"/>
          </w:tcPr>
          <w:p w:rsidR="00B40966" w:rsidRDefault="00B40966">
            <w:pPr>
              <w:pStyle w:val="TableText"/>
              <w:rPr>
                <w:sz w:val="16"/>
              </w:rPr>
            </w:pPr>
            <w:r>
              <w:rPr>
                <w:sz w:val="16"/>
              </w:rPr>
              <w:t>.324</w:t>
            </w:r>
          </w:p>
        </w:tc>
      </w:tr>
      <w:tr w:rsidR="00B40966">
        <w:trPr>
          <w:cantSplit/>
        </w:trPr>
        <w:tc>
          <w:tcPr>
            <w:tcW w:w="560" w:type="dxa"/>
            <w:tcBorders>
              <w:top w:val="single" w:sz="6" w:space="0" w:color="auto"/>
            </w:tcBorders>
          </w:tcPr>
          <w:p w:rsidR="00B40966" w:rsidRDefault="00B40966">
            <w:pPr>
              <w:pStyle w:val="TableText"/>
              <w:rPr>
                <w:sz w:val="16"/>
              </w:rPr>
            </w:pPr>
            <w:r>
              <w:rPr>
                <w:sz w:val="16"/>
              </w:rPr>
              <w:t>16</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.255</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.295</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.360</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.348</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.374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.370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.355</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.354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.340</w:t>
            </w:r>
          </w:p>
        </w:tc>
        <w:tc>
          <w:tcPr>
            <w:tcW w:w="600" w:type="dxa"/>
            <w:tcBorders>
              <w:top w:val="single" w:sz="6" w:space="0" w:color="auto"/>
            </w:tcBorders>
          </w:tcPr>
          <w:p w:rsidR="00B40966" w:rsidRDefault="00B40966">
            <w:pPr>
              <w:pStyle w:val="TableText"/>
              <w:rPr>
                <w:sz w:val="16"/>
              </w:rPr>
            </w:pPr>
            <w:r>
              <w:rPr>
                <w:sz w:val="16"/>
              </w:rPr>
              <w:t>.333</w:t>
            </w:r>
          </w:p>
        </w:tc>
      </w:tr>
      <w:tr w:rsidR="00B40966">
        <w:trPr>
          <w:cantSplit/>
        </w:trPr>
        <w:tc>
          <w:tcPr>
            <w:tcW w:w="560" w:type="dxa"/>
          </w:tcPr>
          <w:p w:rsidR="00B40966" w:rsidRDefault="00B40966">
            <w:pPr>
              <w:pStyle w:val="TableText"/>
              <w:rPr>
                <w:sz w:val="16"/>
              </w:rPr>
            </w:pPr>
            <w:r>
              <w:rPr>
                <w:sz w:val="16"/>
              </w:rPr>
              <w:t>17</w:t>
            </w:r>
          </w:p>
        </w:tc>
        <w:tc>
          <w:tcPr>
            <w:tcW w:w="800" w:type="dxa"/>
            <w:tcBorders>
              <w:left w:val="single" w:sz="6" w:space="0" w:color="auto"/>
              <w:right w:val="single" w:sz="6" w:space="0" w:color="auto"/>
            </w:tcBorders>
          </w:tcPr>
          <w:p w:rsidR="00B40966" w:rsidRDefault="00B40966">
            <w:pPr>
              <w:pStyle w:val="TableText"/>
              <w:rPr>
                <w:sz w:val="16"/>
              </w:rPr>
            </w:pPr>
            <w:r>
              <w:rPr>
                <w:sz w:val="16"/>
              </w:rPr>
              <w:t>.264</w:t>
            </w:r>
          </w:p>
        </w:tc>
        <w:tc>
          <w:tcPr>
            <w:tcW w:w="700" w:type="dxa"/>
            <w:tcBorders>
              <w:left w:val="single" w:sz="6" w:space="0" w:color="auto"/>
              <w:right w:val="single" w:sz="6" w:space="0" w:color="auto"/>
            </w:tcBorders>
          </w:tcPr>
          <w:p w:rsidR="00B40966" w:rsidRDefault="00B40966">
            <w:pPr>
              <w:pStyle w:val="TableText"/>
              <w:rPr>
                <w:sz w:val="16"/>
              </w:rPr>
            </w:pPr>
            <w:r>
              <w:rPr>
                <w:sz w:val="16"/>
              </w:rPr>
              <w:t>.302</w:t>
            </w:r>
          </w:p>
        </w:tc>
        <w:tc>
          <w:tcPr>
            <w:tcW w:w="720" w:type="dxa"/>
            <w:tcBorders>
              <w:left w:val="single" w:sz="6" w:space="0" w:color="auto"/>
              <w:right w:val="single" w:sz="6" w:space="0" w:color="auto"/>
            </w:tcBorders>
          </w:tcPr>
          <w:p w:rsidR="00B40966" w:rsidRDefault="00B40966">
            <w:pPr>
              <w:pStyle w:val="TableText"/>
              <w:rPr>
                <w:sz w:val="16"/>
              </w:rPr>
            </w:pPr>
            <w:r>
              <w:rPr>
                <w:sz w:val="16"/>
              </w:rPr>
              <w:t>.368</w:t>
            </w:r>
          </w:p>
        </w:tc>
        <w:tc>
          <w:tcPr>
            <w:tcW w:w="540" w:type="dxa"/>
            <w:tcBorders>
              <w:left w:val="single" w:sz="6" w:space="0" w:color="auto"/>
              <w:right w:val="single" w:sz="6" w:space="0" w:color="auto"/>
            </w:tcBorders>
          </w:tcPr>
          <w:p w:rsidR="00B40966" w:rsidRDefault="00B40966">
            <w:pPr>
              <w:pStyle w:val="TableText"/>
              <w:rPr>
                <w:sz w:val="16"/>
              </w:rPr>
            </w:pPr>
            <w:r>
              <w:rPr>
                <w:sz w:val="16"/>
              </w:rPr>
              <w:t>.358</w:t>
            </w:r>
          </w:p>
        </w:tc>
        <w:tc>
          <w:tcPr>
            <w:tcW w:w="60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Borders>
              <w:left w:val="single" w:sz="6" w:space="0" w:color="auto"/>
              <w:right w:val="single" w:sz="6" w:space="0" w:color="auto"/>
            </w:tcBorders>
          </w:tcPr>
          <w:p w:rsidR="00B40966" w:rsidRDefault="00B40966">
            <w:pPr>
              <w:pStyle w:val="TableText"/>
              <w:rPr>
                <w:sz w:val="16"/>
              </w:rPr>
            </w:pPr>
            <w:r>
              <w:rPr>
                <w:sz w:val="16"/>
              </w:rPr>
              <w:t>.383</w:t>
            </w:r>
          </w:p>
        </w:tc>
        <w:tc>
          <w:tcPr>
            <w:tcW w:w="600" w:type="dxa"/>
            <w:tcBorders>
              <w:left w:val="single" w:sz="6" w:space="0" w:color="auto"/>
              <w:right w:val="single" w:sz="6" w:space="0" w:color="auto"/>
            </w:tcBorders>
          </w:tcPr>
          <w:p w:rsidR="00B40966" w:rsidRDefault="00B40966">
            <w:pPr>
              <w:pStyle w:val="TableText"/>
              <w:rPr>
                <w:sz w:val="16"/>
              </w:rPr>
            </w:pPr>
            <w:r>
              <w:rPr>
                <w:sz w:val="16"/>
              </w:rPr>
              <w:t>.380</w:t>
            </w:r>
          </w:p>
        </w:tc>
        <w:tc>
          <w:tcPr>
            <w:tcW w:w="600" w:type="dxa"/>
            <w:tcBorders>
              <w:left w:val="single" w:sz="6" w:space="0" w:color="auto"/>
              <w:right w:val="single" w:sz="6" w:space="0" w:color="auto"/>
            </w:tcBorders>
          </w:tcPr>
          <w:p w:rsidR="00B40966" w:rsidRDefault="00B40966">
            <w:pPr>
              <w:pStyle w:val="TableText"/>
              <w:rPr>
                <w:sz w:val="16"/>
              </w:rPr>
            </w:pPr>
            <w:r>
              <w:rPr>
                <w:sz w:val="16"/>
              </w:rPr>
              <w:t>.364</w:t>
            </w:r>
          </w:p>
        </w:tc>
        <w:tc>
          <w:tcPr>
            <w:tcW w:w="600" w:type="dxa"/>
            <w:tcBorders>
              <w:left w:val="single" w:sz="6" w:space="0" w:color="auto"/>
              <w:right w:val="single" w:sz="6" w:space="0" w:color="auto"/>
            </w:tcBorders>
          </w:tcPr>
          <w:p w:rsidR="00B40966" w:rsidRDefault="00B40966">
            <w:pPr>
              <w:pStyle w:val="TableText"/>
              <w:rPr>
                <w:sz w:val="16"/>
              </w:rPr>
            </w:pPr>
            <w:r>
              <w:rPr>
                <w:sz w:val="16"/>
              </w:rPr>
              <w:t>.366</w:t>
            </w:r>
          </w:p>
        </w:tc>
        <w:tc>
          <w:tcPr>
            <w:tcW w:w="600" w:type="dxa"/>
            <w:tcBorders>
              <w:left w:val="single" w:sz="6" w:space="0" w:color="auto"/>
              <w:right w:val="single" w:sz="6" w:space="0" w:color="auto"/>
            </w:tcBorders>
          </w:tcPr>
          <w:p w:rsidR="00B40966" w:rsidRDefault="00B40966">
            <w:pPr>
              <w:pStyle w:val="TableText"/>
              <w:rPr>
                <w:sz w:val="16"/>
              </w:rPr>
            </w:pPr>
            <w:r>
              <w:rPr>
                <w:sz w:val="16"/>
              </w:rPr>
              <w:t>.349</w:t>
            </w:r>
          </w:p>
        </w:tc>
        <w:tc>
          <w:tcPr>
            <w:tcW w:w="600" w:type="dxa"/>
          </w:tcPr>
          <w:p w:rsidR="00B40966" w:rsidRDefault="00B40966">
            <w:pPr>
              <w:pStyle w:val="TableText"/>
              <w:rPr>
                <w:sz w:val="16"/>
              </w:rPr>
            </w:pPr>
            <w:r>
              <w:rPr>
                <w:sz w:val="16"/>
              </w:rPr>
              <w:t>.342</w:t>
            </w:r>
          </w:p>
        </w:tc>
      </w:tr>
      <w:tr w:rsidR="00B40966">
        <w:trPr>
          <w:cantSplit/>
        </w:trPr>
        <w:tc>
          <w:tcPr>
            <w:tcW w:w="560" w:type="dxa"/>
          </w:tcPr>
          <w:p w:rsidR="00B40966" w:rsidRDefault="00B40966">
            <w:pPr>
              <w:pStyle w:val="TableText"/>
              <w:rPr>
                <w:sz w:val="16"/>
              </w:rPr>
            </w:pPr>
            <w:r>
              <w:rPr>
                <w:sz w:val="16"/>
              </w:rPr>
              <w:t>18</w:t>
            </w:r>
          </w:p>
        </w:tc>
        <w:tc>
          <w:tcPr>
            <w:tcW w:w="800" w:type="dxa"/>
            <w:tcBorders>
              <w:left w:val="single" w:sz="6" w:space="0" w:color="auto"/>
              <w:right w:val="single" w:sz="6" w:space="0" w:color="auto"/>
            </w:tcBorders>
          </w:tcPr>
          <w:p w:rsidR="00B40966" w:rsidRDefault="00B40966">
            <w:pPr>
              <w:pStyle w:val="TableText"/>
              <w:rPr>
                <w:sz w:val="16"/>
              </w:rPr>
            </w:pPr>
            <w:r>
              <w:rPr>
                <w:sz w:val="16"/>
              </w:rPr>
              <w:t>.270</w:t>
            </w:r>
          </w:p>
        </w:tc>
        <w:tc>
          <w:tcPr>
            <w:tcW w:w="700" w:type="dxa"/>
            <w:tcBorders>
              <w:left w:val="single" w:sz="6" w:space="0" w:color="auto"/>
              <w:right w:val="single" w:sz="6" w:space="0" w:color="auto"/>
            </w:tcBorders>
          </w:tcPr>
          <w:p w:rsidR="00B40966" w:rsidRDefault="00B40966">
            <w:pPr>
              <w:pStyle w:val="TableText"/>
              <w:rPr>
                <w:sz w:val="16"/>
              </w:rPr>
            </w:pPr>
            <w:r>
              <w:rPr>
                <w:sz w:val="16"/>
              </w:rPr>
              <w:t>.308</w:t>
            </w:r>
          </w:p>
        </w:tc>
        <w:tc>
          <w:tcPr>
            <w:tcW w:w="720" w:type="dxa"/>
            <w:tcBorders>
              <w:left w:val="single" w:sz="6" w:space="0" w:color="auto"/>
              <w:right w:val="single" w:sz="6" w:space="0" w:color="auto"/>
            </w:tcBorders>
          </w:tcPr>
          <w:p w:rsidR="00B40966" w:rsidRDefault="00B40966">
            <w:pPr>
              <w:pStyle w:val="TableText"/>
              <w:rPr>
                <w:sz w:val="16"/>
              </w:rPr>
            </w:pPr>
            <w:r>
              <w:rPr>
                <w:sz w:val="16"/>
              </w:rPr>
              <w:t>.377</w:t>
            </w:r>
          </w:p>
        </w:tc>
        <w:tc>
          <w:tcPr>
            <w:tcW w:w="540" w:type="dxa"/>
            <w:tcBorders>
              <w:left w:val="single" w:sz="6" w:space="0" w:color="auto"/>
              <w:right w:val="single" w:sz="6" w:space="0" w:color="auto"/>
            </w:tcBorders>
          </w:tcPr>
          <w:p w:rsidR="00B40966" w:rsidRDefault="00B40966">
            <w:pPr>
              <w:pStyle w:val="TableText"/>
              <w:rPr>
                <w:sz w:val="16"/>
              </w:rPr>
            </w:pPr>
            <w:r>
              <w:rPr>
                <w:sz w:val="16"/>
              </w:rPr>
              <w:t>.368</w:t>
            </w:r>
          </w:p>
        </w:tc>
        <w:tc>
          <w:tcPr>
            <w:tcW w:w="600" w:type="dxa"/>
            <w:tcBorders>
              <w:left w:val="single" w:sz="6" w:space="0" w:color="auto"/>
              <w:right w:val="single" w:sz="6" w:space="0" w:color="auto"/>
            </w:tcBorders>
          </w:tcPr>
          <w:p w:rsidR="00B40966" w:rsidRDefault="00B40966">
            <w:pPr>
              <w:pStyle w:val="TableText"/>
              <w:rPr>
                <w:sz w:val="16"/>
              </w:rPr>
            </w:pPr>
            <w:r>
              <w:rPr>
                <w:sz w:val="16"/>
              </w:rPr>
              <w:t>.411</w:t>
            </w:r>
          </w:p>
        </w:tc>
        <w:tc>
          <w:tcPr>
            <w:tcW w:w="600" w:type="dxa"/>
            <w:tcBorders>
              <w:left w:val="single" w:sz="6" w:space="0" w:color="auto"/>
              <w:right w:val="single" w:sz="6" w:space="0" w:color="auto"/>
            </w:tcBorders>
          </w:tcPr>
          <w:p w:rsidR="00B40966" w:rsidRDefault="00B40966">
            <w:pPr>
              <w:pStyle w:val="TableText"/>
              <w:rPr>
                <w:sz w:val="16"/>
              </w:rPr>
            </w:pPr>
            <w:r>
              <w:rPr>
                <w:sz w:val="16"/>
              </w:rPr>
              <w:t>.390</w:t>
            </w:r>
          </w:p>
        </w:tc>
        <w:tc>
          <w:tcPr>
            <w:tcW w:w="600" w:type="dxa"/>
            <w:tcBorders>
              <w:left w:val="single" w:sz="6" w:space="0" w:color="auto"/>
              <w:right w:val="single" w:sz="6" w:space="0" w:color="auto"/>
            </w:tcBorders>
          </w:tcPr>
          <w:p w:rsidR="00B40966" w:rsidRDefault="00B40966">
            <w:pPr>
              <w:pStyle w:val="TableText"/>
              <w:rPr>
                <w:sz w:val="16"/>
              </w:rPr>
            </w:pPr>
            <w:r>
              <w:rPr>
                <w:sz w:val="16"/>
              </w:rPr>
              <w:t>.390</w:t>
            </w:r>
          </w:p>
        </w:tc>
        <w:tc>
          <w:tcPr>
            <w:tcW w:w="600" w:type="dxa"/>
            <w:tcBorders>
              <w:left w:val="single" w:sz="6" w:space="0" w:color="auto"/>
              <w:right w:val="single" w:sz="6" w:space="0" w:color="auto"/>
            </w:tcBorders>
          </w:tcPr>
          <w:p w:rsidR="00B40966" w:rsidRDefault="00B40966">
            <w:pPr>
              <w:pStyle w:val="TableText"/>
              <w:rPr>
                <w:sz w:val="16"/>
              </w:rPr>
            </w:pPr>
            <w:r>
              <w:rPr>
                <w:sz w:val="16"/>
              </w:rPr>
              <w:t>.374</w:t>
            </w:r>
          </w:p>
        </w:tc>
        <w:tc>
          <w:tcPr>
            <w:tcW w:w="600" w:type="dxa"/>
            <w:tcBorders>
              <w:left w:val="single" w:sz="6" w:space="0" w:color="auto"/>
              <w:right w:val="single" w:sz="6" w:space="0" w:color="auto"/>
            </w:tcBorders>
          </w:tcPr>
          <w:p w:rsidR="00B40966" w:rsidRDefault="00B40966">
            <w:pPr>
              <w:pStyle w:val="TableText"/>
              <w:rPr>
                <w:sz w:val="16"/>
              </w:rPr>
            </w:pPr>
            <w:r>
              <w:rPr>
                <w:sz w:val="16"/>
              </w:rPr>
              <w:t>.374</w:t>
            </w:r>
          </w:p>
        </w:tc>
        <w:tc>
          <w:tcPr>
            <w:tcW w:w="600" w:type="dxa"/>
            <w:tcBorders>
              <w:left w:val="single" w:sz="6" w:space="0" w:color="auto"/>
              <w:right w:val="single" w:sz="6" w:space="0" w:color="auto"/>
            </w:tcBorders>
          </w:tcPr>
          <w:p w:rsidR="00B40966" w:rsidRDefault="00B40966">
            <w:pPr>
              <w:pStyle w:val="TableText"/>
              <w:rPr>
                <w:sz w:val="16"/>
              </w:rPr>
            </w:pPr>
            <w:r>
              <w:rPr>
                <w:sz w:val="16"/>
              </w:rPr>
              <w:t>.358</w:t>
            </w:r>
          </w:p>
        </w:tc>
        <w:tc>
          <w:tcPr>
            <w:tcW w:w="600" w:type="dxa"/>
          </w:tcPr>
          <w:p w:rsidR="00B40966" w:rsidRDefault="00B40966">
            <w:pPr>
              <w:pStyle w:val="TableText"/>
              <w:rPr>
                <w:sz w:val="16"/>
              </w:rPr>
            </w:pPr>
            <w:r>
              <w:rPr>
                <w:sz w:val="16"/>
              </w:rPr>
              <w:t>.349</w:t>
            </w:r>
          </w:p>
        </w:tc>
      </w:tr>
      <w:tr w:rsidR="00B40966">
        <w:trPr>
          <w:cantSplit/>
        </w:trPr>
        <w:tc>
          <w:tcPr>
            <w:tcW w:w="560" w:type="dxa"/>
          </w:tcPr>
          <w:p w:rsidR="00B40966" w:rsidRDefault="00B40966">
            <w:pPr>
              <w:pStyle w:val="TableText"/>
              <w:rPr>
                <w:sz w:val="16"/>
              </w:rPr>
            </w:pPr>
            <w:r>
              <w:rPr>
                <w:sz w:val="16"/>
              </w:rPr>
              <w:t>19</w:t>
            </w:r>
          </w:p>
        </w:tc>
        <w:tc>
          <w:tcPr>
            <w:tcW w:w="800" w:type="dxa"/>
            <w:tcBorders>
              <w:left w:val="single" w:sz="6" w:space="0" w:color="auto"/>
              <w:right w:val="single" w:sz="6" w:space="0" w:color="auto"/>
            </w:tcBorders>
          </w:tcPr>
          <w:p w:rsidR="00B40966" w:rsidRDefault="00B40966">
            <w:pPr>
              <w:pStyle w:val="TableText"/>
              <w:rPr>
                <w:sz w:val="16"/>
              </w:rPr>
            </w:pPr>
            <w:r>
              <w:rPr>
                <w:sz w:val="16"/>
              </w:rPr>
              <w:t>.277</w:t>
            </w:r>
          </w:p>
        </w:tc>
        <w:tc>
          <w:tcPr>
            <w:tcW w:w="700" w:type="dxa"/>
            <w:tcBorders>
              <w:left w:val="single" w:sz="6" w:space="0" w:color="auto"/>
              <w:right w:val="single" w:sz="6" w:space="0" w:color="auto"/>
            </w:tcBorders>
          </w:tcPr>
          <w:p w:rsidR="00B40966" w:rsidRDefault="00B40966">
            <w:pPr>
              <w:pStyle w:val="TableText"/>
              <w:rPr>
                <w:sz w:val="16"/>
              </w:rPr>
            </w:pPr>
            <w:r>
              <w:rPr>
                <w:sz w:val="16"/>
              </w:rPr>
              <w:t>.314</w:t>
            </w:r>
          </w:p>
        </w:tc>
        <w:tc>
          <w:tcPr>
            <w:tcW w:w="720" w:type="dxa"/>
            <w:tcBorders>
              <w:left w:val="single" w:sz="6" w:space="0" w:color="auto"/>
              <w:right w:val="single" w:sz="6" w:space="0" w:color="auto"/>
            </w:tcBorders>
          </w:tcPr>
          <w:p w:rsidR="00B40966" w:rsidRDefault="00B40966">
            <w:pPr>
              <w:pStyle w:val="TableText"/>
              <w:rPr>
                <w:sz w:val="16"/>
              </w:rPr>
            </w:pPr>
            <w:r>
              <w:rPr>
                <w:sz w:val="16"/>
              </w:rPr>
              <w:t>.386</w:t>
            </w:r>
          </w:p>
        </w:tc>
        <w:tc>
          <w:tcPr>
            <w:tcW w:w="540" w:type="dxa"/>
            <w:tcBorders>
              <w:left w:val="single" w:sz="6" w:space="0" w:color="auto"/>
              <w:right w:val="single" w:sz="6" w:space="0" w:color="auto"/>
            </w:tcBorders>
          </w:tcPr>
          <w:p w:rsidR="00B40966" w:rsidRDefault="00B40966">
            <w:pPr>
              <w:pStyle w:val="TableText"/>
              <w:rPr>
                <w:sz w:val="16"/>
              </w:rPr>
            </w:pPr>
            <w:r>
              <w:rPr>
                <w:sz w:val="16"/>
              </w:rPr>
              <w:t>.374</w:t>
            </w:r>
          </w:p>
        </w:tc>
        <w:tc>
          <w:tcPr>
            <w:tcW w:w="600" w:type="dxa"/>
            <w:tcBorders>
              <w:left w:val="single" w:sz="6" w:space="0" w:color="auto"/>
              <w:right w:val="single" w:sz="6" w:space="0" w:color="auto"/>
            </w:tcBorders>
          </w:tcPr>
          <w:p w:rsidR="00B40966" w:rsidRDefault="00B40966">
            <w:pPr>
              <w:pStyle w:val="TableText"/>
              <w:rPr>
                <w:sz w:val="16"/>
              </w:rPr>
            </w:pPr>
            <w:r>
              <w:rPr>
                <w:sz w:val="16"/>
              </w:rPr>
              <w:t>.414</w:t>
            </w:r>
          </w:p>
        </w:tc>
        <w:tc>
          <w:tcPr>
            <w:tcW w:w="600" w:type="dxa"/>
            <w:tcBorders>
              <w:left w:val="single" w:sz="6" w:space="0" w:color="auto"/>
              <w:right w:val="single" w:sz="6" w:space="0" w:color="auto"/>
            </w:tcBorders>
          </w:tcPr>
          <w:p w:rsidR="00B40966" w:rsidRDefault="00B40966">
            <w:pPr>
              <w:pStyle w:val="TableText"/>
              <w:rPr>
                <w:sz w:val="16"/>
              </w:rPr>
            </w:pPr>
            <w:r>
              <w:rPr>
                <w:sz w:val="16"/>
              </w:rPr>
              <w:t>.398</w:t>
            </w:r>
          </w:p>
        </w:tc>
        <w:tc>
          <w:tcPr>
            <w:tcW w:w="600" w:type="dxa"/>
            <w:tcBorders>
              <w:left w:val="single" w:sz="6" w:space="0" w:color="auto"/>
              <w:right w:val="single" w:sz="6" w:space="0" w:color="auto"/>
            </w:tcBorders>
          </w:tcPr>
          <w:p w:rsidR="00B40966" w:rsidRDefault="00B40966">
            <w:pPr>
              <w:pStyle w:val="TableText"/>
              <w:rPr>
                <w:sz w:val="16"/>
              </w:rPr>
            </w:pPr>
            <w:r>
              <w:rPr>
                <w:sz w:val="16"/>
              </w:rPr>
              <w:t>.398</w:t>
            </w:r>
          </w:p>
        </w:tc>
        <w:tc>
          <w:tcPr>
            <w:tcW w:w="600" w:type="dxa"/>
            <w:tcBorders>
              <w:left w:val="single" w:sz="6" w:space="0" w:color="auto"/>
              <w:right w:val="single" w:sz="6" w:space="0" w:color="auto"/>
            </w:tcBorders>
          </w:tcPr>
          <w:p w:rsidR="00B40966" w:rsidRDefault="00B40966">
            <w:pPr>
              <w:pStyle w:val="TableText"/>
              <w:rPr>
                <w:sz w:val="16"/>
              </w:rPr>
            </w:pPr>
            <w:r>
              <w:rPr>
                <w:sz w:val="16"/>
              </w:rPr>
              <w:t>.383</w:t>
            </w:r>
          </w:p>
        </w:tc>
        <w:tc>
          <w:tcPr>
            <w:tcW w:w="600" w:type="dxa"/>
            <w:tcBorders>
              <w:left w:val="single" w:sz="6" w:space="0" w:color="auto"/>
              <w:right w:val="single" w:sz="6" w:space="0" w:color="auto"/>
            </w:tcBorders>
          </w:tcPr>
          <w:p w:rsidR="00B40966" w:rsidRDefault="00B40966">
            <w:pPr>
              <w:pStyle w:val="TableText"/>
              <w:rPr>
                <w:sz w:val="16"/>
              </w:rPr>
            </w:pPr>
            <w:r>
              <w:rPr>
                <w:sz w:val="16"/>
              </w:rPr>
              <w:t>.380</w:t>
            </w:r>
          </w:p>
        </w:tc>
        <w:tc>
          <w:tcPr>
            <w:tcW w:w="600" w:type="dxa"/>
            <w:tcBorders>
              <w:left w:val="single" w:sz="6" w:space="0" w:color="auto"/>
              <w:right w:val="single" w:sz="6" w:space="0" w:color="auto"/>
            </w:tcBorders>
          </w:tcPr>
          <w:p w:rsidR="00B40966" w:rsidRDefault="00B40966">
            <w:pPr>
              <w:pStyle w:val="TableText"/>
              <w:rPr>
                <w:sz w:val="16"/>
              </w:rPr>
            </w:pPr>
            <w:r>
              <w:rPr>
                <w:sz w:val="16"/>
              </w:rPr>
              <w:t>.364</w:t>
            </w:r>
          </w:p>
        </w:tc>
        <w:tc>
          <w:tcPr>
            <w:tcW w:w="600" w:type="dxa"/>
          </w:tcPr>
          <w:p w:rsidR="00B40966" w:rsidRDefault="00B40966">
            <w:pPr>
              <w:pStyle w:val="TableText"/>
              <w:rPr>
                <w:sz w:val="16"/>
              </w:rPr>
            </w:pPr>
            <w:r>
              <w:rPr>
                <w:sz w:val="16"/>
              </w:rPr>
              <w:t>.355</w:t>
            </w:r>
          </w:p>
        </w:tc>
      </w:tr>
      <w:tr w:rsidR="00B40966">
        <w:trPr>
          <w:cantSplit/>
        </w:trPr>
        <w:tc>
          <w:tcPr>
            <w:tcW w:w="560" w:type="dxa"/>
          </w:tcPr>
          <w:p w:rsidR="00B40966" w:rsidRDefault="00B40966">
            <w:pPr>
              <w:pStyle w:val="TableText"/>
              <w:rPr>
                <w:sz w:val="16"/>
              </w:rPr>
            </w:pPr>
            <w:r>
              <w:rPr>
                <w:sz w:val="16"/>
              </w:rPr>
              <w:t>20</w:t>
            </w:r>
          </w:p>
        </w:tc>
        <w:tc>
          <w:tcPr>
            <w:tcW w:w="800" w:type="dxa"/>
            <w:tcBorders>
              <w:left w:val="single" w:sz="6" w:space="0" w:color="auto"/>
              <w:right w:val="single" w:sz="6" w:space="0" w:color="auto"/>
            </w:tcBorders>
          </w:tcPr>
          <w:p w:rsidR="00B40966" w:rsidRDefault="00B40966">
            <w:pPr>
              <w:pStyle w:val="TableText"/>
              <w:rPr>
                <w:sz w:val="16"/>
              </w:rPr>
            </w:pPr>
            <w:r>
              <w:rPr>
                <w:sz w:val="16"/>
              </w:rPr>
              <w:t>.283</w:t>
            </w:r>
          </w:p>
        </w:tc>
        <w:tc>
          <w:tcPr>
            <w:tcW w:w="700" w:type="dxa"/>
            <w:tcBorders>
              <w:left w:val="single" w:sz="6" w:space="0" w:color="auto"/>
              <w:right w:val="single" w:sz="6" w:space="0" w:color="auto"/>
            </w:tcBorders>
          </w:tcPr>
          <w:p w:rsidR="00B40966" w:rsidRDefault="00B40966">
            <w:pPr>
              <w:pStyle w:val="TableText"/>
              <w:rPr>
                <w:sz w:val="16"/>
              </w:rPr>
            </w:pPr>
            <w:r>
              <w:rPr>
                <w:sz w:val="16"/>
              </w:rPr>
              <w:t>.320</w:t>
            </w:r>
          </w:p>
        </w:tc>
        <w:tc>
          <w:tcPr>
            <w:tcW w:w="720" w:type="dxa"/>
            <w:tcBorders>
              <w:left w:val="single" w:sz="6" w:space="0" w:color="auto"/>
              <w:right w:val="single" w:sz="6" w:space="0" w:color="auto"/>
            </w:tcBorders>
          </w:tcPr>
          <w:p w:rsidR="00B40966" w:rsidRDefault="00B40966">
            <w:pPr>
              <w:pStyle w:val="TableText"/>
              <w:rPr>
                <w:sz w:val="16"/>
              </w:rPr>
            </w:pPr>
            <w:r>
              <w:rPr>
                <w:sz w:val="16"/>
              </w:rPr>
              <w:t>.393</w:t>
            </w:r>
          </w:p>
        </w:tc>
        <w:tc>
          <w:tcPr>
            <w:tcW w:w="540" w:type="dxa"/>
            <w:tcBorders>
              <w:left w:val="single" w:sz="6" w:space="0" w:color="auto"/>
              <w:right w:val="single" w:sz="6" w:space="0" w:color="auto"/>
            </w:tcBorders>
          </w:tcPr>
          <w:p w:rsidR="00B40966" w:rsidRDefault="00B40966">
            <w:pPr>
              <w:pStyle w:val="TableText"/>
              <w:rPr>
                <w:sz w:val="16"/>
              </w:rPr>
            </w:pPr>
            <w:r>
              <w:rPr>
                <w:sz w:val="16"/>
              </w:rPr>
              <w:t>.380</w:t>
            </w:r>
          </w:p>
        </w:tc>
        <w:tc>
          <w:tcPr>
            <w:tcW w:w="600" w:type="dxa"/>
            <w:tcBorders>
              <w:left w:val="single" w:sz="6" w:space="0" w:color="auto"/>
              <w:right w:val="single" w:sz="6" w:space="0" w:color="auto"/>
            </w:tcBorders>
          </w:tcPr>
          <w:p w:rsidR="00B40966" w:rsidRDefault="00B40966">
            <w:pPr>
              <w:pStyle w:val="TableText"/>
              <w:rPr>
                <w:sz w:val="16"/>
              </w:rPr>
            </w:pPr>
            <w:r>
              <w:rPr>
                <w:sz w:val="16"/>
              </w:rPr>
              <w:t>.425</w:t>
            </w:r>
          </w:p>
        </w:tc>
        <w:tc>
          <w:tcPr>
            <w:tcW w:w="60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Borders>
              <w:left w:val="single" w:sz="6" w:space="0" w:color="auto"/>
              <w:right w:val="single" w:sz="6" w:space="0" w:color="auto"/>
            </w:tcBorders>
          </w:tcPr>
          <w:p w:rsidR="00B40966" w:rsidRDefault="00B40966">
            <w:pPr>
              <w:pStyle w:val="TableText"/>
              <w:rPr>
                <w:sz w:val="16"/>
              </w:rPr>
            </w:pPr>
            <w:r>
              <w:rPr>
                <w:sz w:val="16"/>
              </w:rPr>
              <w:t>.390</w:t>
            </w:r>
          </w:p>
        </w:tc>
        <w:tc>
          <w:tcPr>
            <w:tcW w:w="600" w:type="dxa"/>
            <w:tcBorders>
              <w:left w:val="single" w:sz="6" w:space="0" w:color="auto"/>
              <w:right w:val="single" w:sz="6" w:space="0" w:color="auto"/>
            </w:tcBorders>
          </w:tcPr>
          <w:p w:rsidR="00B40966" w:rsidRDefault="00B40966">
            <w:pPr>
              <w:pStyle w:val="TableText"/>
              <w:rPr>
                <w:sz w:val="16"/>
              </w:rPr>
            </w:pPr>
            <w:r>
              <w:rPr>
                <w:sz w:val="16"/>
              </w:rPr>
              <w:t>.386</w:t>
            </w:r>
          </w:p>
        </w:tc>
        <w:tc>
          <w:tcPr>
            <w:tcW w:w="600" w:type="dxa"/>
            <w:tcBorders>
              <w:left w:val="single" w:sz="6" w:space="0" w:color="auto"/>
              <w:right w:val="single" w:sz="6" w:space="0" w:color="auto"/>
            </w:tcBorders>
          </w:tcPr>
          <w:p w:rsidR="00B40966" w:rsidRDefault="00B40966">
            <w:pPr>
              <w:pStyle w:val="TableText"/>
              <w:rPr>
                <w:sz w:val="16"/>
              </w:rPr>
            </w:pPr>
            <w:r>
              <w:rPr>
                <w:sz w:val="16"/>
              </w:rPr>
              <w:t>.371</w:t>
            </w:r>
          </w:p>
        </w:tc>
        <w:tc>
          <w:tcPr>
            <w:tcW w:w="600" w:type="dxa"/>
          </w:tcPr>
          <w:p w:rsidR="00B40966" w:rsidRDefault="00B40966">
            <w:pPr>
              <w:pStyle w:val="TableText"/>
              <w:rPr>
                <w:sz w:val="16"/>
              </w:rPr>
            </w:pPr>
            <w:r>
              <w:rPr>
                <w:sz w:val="16"/>
              </w:rPr>
              <w:t>.361</w:t>
            </w:r>
          </w:p>
        </w:tc>
      </w:tr>
      <w:tr w:rsidR="00B40966">
        <w:trPr>
          <w:cantSplit/>
        </w:trPr>
        <w:tc>
          <w:tcPr>
            <w:tcW w:w="560" w:type="dxa"/>
            <w:tcBorders>
              <w:top w:val="single" w:sz="6" w:space="0" w:color="auto"/>
            </w:tcBorders>
          </w:tcPr>
          <w:p w:rsidR="00B40966" w:rsidRDefault="00B40966">
            <w:pPr>
              <w:pStyle w:val="TableText"/>
              <w:rPr>
                <w:sz w:val="16"/>
              </w:rPr>
            </w:pPr>
            <w:r>
              <w:rPr>
                <w:sz w:val="16"/>
              </w:rPr>
              <w:t>21</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.289</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.326</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.399</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.386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.411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.396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.392</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.377</w:t>
            </w:r>
          </w:p>
        </w:tc>
        <w:tc>
          <w:tcPr>
            <w:tcW w:w="600" w:type="dxa"/>
            <w:tcBorders>
              <w:top w:val="single" w:sz="6" w:space="0" w:color="auto"/>
            </w:tcBorders>
          </w:tcPr>
          <w:p w:rsidR="00B40966" w:rsidRDefault="00B40966">
            <w:pPr>
              <w:pStyle w:val="TableText"/>
              <w:rPr>
                <w:sz w:val="16"/>
              </w:rPr>
            </w:pPr>
            <w:r>
              <w:rPr>
                <w:sz w:val="16"/>
              </w:rPr>
              <w:t>.366</w:t>
            </w:r>
          </w:p>
        </w:tc>
      </w:tr>
      <w:tr w:rsidR="00B40966">
        <w:trPr>
          <w:cantSplit/>
        </w:trPr>
        <w:tc>
          <w:tcPr>
            <w:tcW w:w="560" w:type="dxa"/>
          </w:tcPr>
          <w:p w:rsidR="00B40966" w:rsidRDefault="00B40966">
            <w:pPr>
              <w:pStyle w:val="TableText"/>
              <w:rPr>
                <w:sz w:val="16"/>
              </w:rPr>
            </w:pPr>
            <w:r>
              <w:rPr>
                <w:sz w:val="16"/>
              </w:rPr>
              <w:t>22</w:t>
            </w:r>
          </w:p>
        </w:tc>
        <w:tc>
          <w:tcPr>
            <w:tcW w:w="800" w:type="dxa"/>
            <w:tcBorders>
              <w:left w:val="single" w:sz="6" w:space="0" w:color="auto"/>
              <w:right w:val="single" w:sz="6" w:space="0" w:color="auto"/>
            </w:tcBorders>
          </w:tcPr>
          <w:p w:rsidR="00B40966" w:rsidRDefault="00B40966">
            <w:pPr>
              <w:pStyle w:val="TableText"/>
              <w:rPr>
                <w:sz w:val="16"/>
              </w:rPr>
            </w:pPr>
            <w:r>
              <w:rPr>
                <w:sz w:val="16"/>
              </w:rPr>
              <w:t>.292</w:t>
            </w:r>
          </w:p>
        </w:tc>
        <w:tc>
          <w:tcPr>
            <w:tcW w:w="700" w:type="dxa"/>
            <w:tcBorders>
              <w:left w:val="single" w:sz="6" w:space="0" w:color="auto"/>
              <w:right w:val="single" w:sz="6" w:space="0" w:color="auto"/>
            </w:tcBorders>
          </w:tcPr>
          <w:p w:rsidR="00B40966" w:rsidRDefault="00B40966">
            <w:pPr>
              <w:pStyle w:val="TableText"/>
              <w:rPr>
                <w:sz w:val="16"/>
              </w:rPr>
            </w:pPr>
            <w:r>
              <w:rPr>
                <w:sz w:val="16"/>
              </w:rPr>
              <w:t>.330</w:t>
            </w:r>
          </w:p>
        </w:tc>
        <w:tc>
          <w:tcPr>
            <w:tcW w:w="720" w:type="dxa"/>
            <w:tcBorders>
              <w:left w:val="single" w:sz="6" w:space="0" w:color="auto"/>
              <w:right w:val="single" w:sz="6" w:space="0" w:color="auto"/>
            </w:tcBorders>
          </w:tcPr>
          <w:p w:rsidR="00B40966" w:rsidRDefault="00B40966">
            <w:pPr>
              <w:pStyle w:val="TableText"/>
              <w:rPr>
                <w:sz w:val="16"/>
              </w:rPr>
            </w:pPr>
            <w:r>
              <w:rPr>
                <w:sz w:val="16"/>
              </w:rPr>
              <w:t>.404</w:t>
            </w:r>
          </w:p>
        </w:tc>
        <w:tc>
          <w:tcPr>
            <w:tcW w:w="540" w:type="dxa"/>
            <w:tcBorders>
              <w:left w:val="single" w:sz="6" w:space="0" w:color="auto"/>
              <w:right w:val="single" w:sz="6" w:space="0" w:color="auto"/>
            </w:tcBorders>
          </w:tcPr>
          <w:p w:rsidR="00B40966" w:rsidRDefault="00B40966">
            <w:pPr>
              <w:pStyle w:val="TableText"/>
              <w:rPr>
                <w:sz w:val="16"/>
              </w:rPr>
            </w:pPr>
            <w:r>
              <w:rPr>
                <w:sz w:val="16"/>
              </w:rPr>
              <w:t>.391</w:t>
            </w:r>
          </w:p>
        </w:tc>
        <w:tc>
          <w:tcPr>
            <w:tcW w:w="600" w:type="dxa"/>
            <w:tcBorders>
              <w:left w:val="single" w:sz="6" w:space="0" w:color="auto"/>
              <w:right w:val="single" w:sz="6" w:space="0" w:color="auto"/>
            </w:tcBorders>
          </w:tcPr>
          <w:p w:rsidR="00B40966" w:rsidRDefault="00B40966">
            <w:pPr>
              <w:pStyle w:val="TableText"/>
              <w:rPr>
                <w:sz w:val="16"/>
              </w:rPr>
            </w:pPr>
            <w:r>
              <w:rPr>
                <w:sz w:val="16"/>
              </w:rPr>
              <w:t>.436</w:t>
            </w:r>
          </w:p>
        </w:tc>
        <w:tc>
          <w:tcPr>
            <w:tcW w:w="600" w:type="dxa"/>
            <w:tcBorders>
              <w:left w:val="single" w:sz="6" w:space="0" w:color="auto"/>
              <w:right w:val="single" w:sz="6" w:space="0" w:color="auto"/>
            </w:tcBorders>
          </w:tcPr>
          <w:p w:rsidR="00B40966" w:rsidRDefault="00B40966">
            <w:pPr>
              <w:pStyle w:val="TableText"/>
              <w:rPr>
                <w:sz w:val="16"/>
              </w:rPr>
            </w:pPr>
            <w:r>
              <w:rPr>
                <w:sz w:val="16"/>
              </w:rPr>
              <w:t>.417</w:t>
            </w:r>
          </w:p>
        </w:tc>
        <w:tc>
          <w:tcPr>
            <w:tcW w:w="600" w:type="dxa"/>
            <w:tcBorders>
              <w:left w:val="single" w:sz="6" w:space="0" w:color="auto"/>
              <w:right w:val="single" w:sz="6" w:space="0" w:color="auto"/>
            </w:tcBorders>
          </w:tcPr>
          <w:p w:rsidR="00B40966" w:rsidRDefault="00B40966">
            <w:pPr>
              <w:pStyle w:val="TableText"/>
              <w:rPr>
                <w:sz w:val="16"/>
              </w:rPr>
            </w:pPr>
            <w:r>
              <w:rPr>
                <w:sz w:val="16"/>
              </w:rPr>
              <w:t>.417</w:t>
            </w:r>
          </w:p>
        </w:tc>
        <w:tc>
          <w:tcPr>
            <w:tcW w:w="600" w:type="dxa"/>
            <w:tcBorders>
              <w:left w:val="single" w:sz="6" w:space="0" w:color="auto"/>
              <w:right w:val="single" w:sz="6" w:space="0" w:color="auto"/>
            </w:tcBorders>
          </w:tcPr>
          <w:p w:rsidR="00B40966" w:rsidRDefault="00B40966">
            <w:pPr>
              <w:pStyle w:val="TableText"/>
              <w:rPr>
                <w:sz w:val="16"/>
              </w:rPr>
            </w:pPr>
            <w:r>
              <w:rPr>
                <w:sz w:val="16"/>
              </w:rPr>
              <w:t>.402</w:t>
            </w:r>
          </w:p>
        </w:tc>
        <w:tc>
          <w:tcPr>
            <w:tcW w:w="600" w:type="dxa"/>
            <w:tcBorders>
              <w:left w:val="single" w:sz="6" w:space="0" w:color="auto"/>
              <w:right w:val="single" w:sz="6" w:space="0" w:color="auto"/>
            </w:tcBorders>
          </w:tcPr>
          <w:p w:rsidR="00B40966" w:rsidRDefault="00B40966">
            <w:pPr>
              <w:pStyle w:val="TableText"/>
              <w:rPr>
                <w:sz w:val="16"/>
              </w:rPr>
            </w:pPr>
            <w:r>
              <w:rPr>
                <w:sz w:val="16"/>
              </w:rPr>
              <w:t>.397</w:t>
            </w:r>
          </w:p>
        </w:tc>
        <w:tc>
          <w:tcPr>
            <w:tcW w:w="600" w:type="dxa"/>
            <w:tcBorders>
              <w:left w:val="single" w:sz="6" w:space="0" w:color="auto"/>
              <w:right w:val="single" w:sz="6" w:space="0" w:color="auto"/>
            </w:tcBorders>
          </w:tcPr>
          <w:p w:rsidR="00B40966" w:rsidRDefault="00B40966">
            <w:pPr>
              <w:pStyle w:val="TableText"/>
              <w:rPr>
                <w:sz w:val="16"/>
              </w:rPr>
            </w:pPr>
            <w:r>
              <w:rPr>
                <w:sz w:val="16"/>
              </w:rPr>
              <w:t>.382</w:t>
            </w:r>
          </w:p>
        </w:tc>
        <w:tc>
          <w:tcPr>
            <w:tcW w:w="600" w:type="dxa"/>
          </w:tcPr>
          <w:p w:rsidR="00B40966" w:rsidRDefault="00B40966">
            <w:pPr>
              <w:pStyle w:val="TableText"/>
              <w:rPr>
                <w:sz w:val="16"/>
              </w:rPr>
            </w:pPr>
            <w:r>
              <w:rPr>
                <w:sz w:val="16"/>
              </w:rPr>
              <w:t>.371</w:t>
            </w:r>
          </w:p>
        </w:tc>
      </w:tr>
      <w:tr w:rsidR="00B40966">
        <w:trPr>
          <w:cantSplit/>
        </w:trPr>
        <w:tc>
          <w:tcPr>
            <w:tcW w:w="560" w:type="dxa"/>
          </w:tcPr>
          <w:p w:rsidR="00B40966" w:rsidRDefault="00B40966">
            <w:pPr>
              <w:pStyle w:val="TableText"/>
              <w:rPr>
                <w:sz w:val="16"/>
              </w:rPr>
            </w:pPr>
            <w:r>
              <w:rPr>
                <w:sz w:val="16"/>
              </w:rPr>
              <w:t>23</w:t>
            </w:r>
          </w:p>
        </w:tc>
        <w:tc>
          <w:tcPr>
            <w:tcW w:w="800" w:type="dxa"/>
            <w:tcBorders>
              <w:left w:val="single" w:sz="6" w:space="0" w:color="auto"/>
              <w:right w:val="single" w:sz="6" w:space="0" w:color="auto"/>
            </w:tcBorders>
          </w:tcPr>
          <w:p w:rsidR="00B40966" w:rsidRDefault="00B40966">
            <w:pPr>
              <w:pStyle w:val="TableText"/>
              <w:rPr>
                <w:sz w:val="16"/>
              </w:rPr>
            </w:pPr>
            <w:r>
              <w:rPr>
                <w:sz w:val="16"/>
              </w:rPr>
              <w:t>.296</w:t>
            </w:r>
          </w:p>
        </w:tc>
        <w:tc>
          <w:tcPr>
            <w:tcW w:w="700" w:type="dxa"/>
            <w:tcBorders>
              <w:left w:val="single" w:sz="6" w:space="0" w:color="auto"/>
              <w:right w:val="single" w:sz="6" w:space="0" w:color="auto"/>
            </w:tcBorders>
          </w:tcPr>
          <w:p w:rsidR="00B40966" w:rsidRDefault="00B40966">
            <w:pPr>
              <w:pStyle w:val="TableText"/>
              <w:rPr>
                <w:sz w:val="16"/>
              </w:rPr>
            </w:pPr>
            <w:r>
              <w:rPr>
                <w:sz w:val="16"/>
              </w:rPr>
              <w:t>.333</w:t>
            </w:r>
          </w:p>
        </w:tc>
        <w:tc>
          <w:tcPr>
            <w:tcW w:w="720" w:type="dxa"/>
            <w:tcBorders>
              <w:left w:val="single" w:sz="6" w:space="0" w:color="auto"/>
              <w:right w:val="single" w:sz="6" w:space="0" w:color="auto"/>
            </w:tcBorders>
          </w:tcPr>
          <w:p w:rsidR="00B40966" w:rsidRDefault="00B40966">
            <w:pPr>
              <w:pStyle w:val="TableText"/>
              <w:rPr>
                <w:sz w:val="16"/>
              </w:rPr>
            </w:pPr>
            <w:r>
              <w:rPr>
                <w:sz w:val="16"/>
              </w:rPr>
              <w:t>.408</w:t>
            </w:r>
          </w:p>
        </w:tc>
        <w:tc>
          <w:tcPr>
            <w:tcW w:w="540" w:type="dxa"/>
            <w:tcBorders>
              <w:left w:val="single" w:sz="6" w:space="0" w:color="auto"/>
              <w:right w:val="single" w:sz="6" w:space="0" w:color="auto"/>
            </w:tcBorders>
          </w:tcPr>
          <w:p w:rsidR="00B40966" w:rsidRDefault="00B40966">
            <w:pPr>
              <w:pStyle w:val="TableText"/>
              <w:rPr>
                <w:sz w:val="16"/>
              </w:rPr>
            </w:pPr>
            <w:r>
              <w:rPr>
                <w:sz w:val="16"/>
              </w:rPr>
              <w:t>.396</w:t>
            </w:r>
          </w:p>
        </w:tc>
        <w:tc>
          <w:tcPr>
            <w:tcW w:w="600" w:type="dxa"/>
            <w:tcBorders>
              <w:left w:val="single" w:sz="6" w:space="0" w:color="auto"/>
              <w:right w:val="single" w:sz="6" w:space="0" w:color="auto"/>
            </w:tcBorders>
          </w:tcPr>
          <w:p w:rsidR="00B40966" w:rsidRDefault="00B40966">
            <w:pPr>
              <w:pStyle w:val="TableText"/>
              <w:rPr>
                <w:sz w:val="16"/>
              </w:rPr>
            </w:pPr>
            <w:r>
              <w:rPr>
                <w:sz w:val="16"/>
              </w:rPr>
              <w:t>.441</w:t>
            </w:r>
          </w:p>
        </w:tc>
        <w:tc>
          <w:tcPr>
            <w:tcW w:w="600" w:type="dxa"/>
            <w:tcBorders>
              <w:left w:val="single" w:sz="6" w:space="0" w:color="auto"/>
              <w:right w:val="single" w:sz="6" w:space="0" w:color="auto"/>
            </w:tcBorders>
          </w:tcPr>
          <w:p w:rsidR="00B40966" w:rsidRDefault="00B40966">
            <w:pPr>
              <w:pStyle w:val="TableText"/>
              <w:rPr>
                <w:sz w:val="16"/>
              </w:rPr>
            </w:pPr>
            <w:r>
              <w:rPr>
                <w:sz w:val="16"/>
              </w:rPr>
              <w:t>.422</w:t>
            </w:r>
          </w:p>
        </w:tc>
        <w:tc>
          <w:tcPr>
            <w:tcW w:w="600" w:type="dxa"/>
            <w:tcBorders>
              <w:left w:val="single" w:sz="6" w:space="0" w:color="auto"/>
              <w:right w:val="single" w:sz="6" w:space="0" w:color="auto"/>
            </w:tcBorders>
          </w:tcPr>
          <w:p w:rsidR="00B40966" w:rsidRDefault="00B40966">
            <w:pPr>
              <w:pStyle w:val="TableText"/>
              <w:rPr>
                <w:sz w:val="16"/>
              </w:rPr>
            </w:pPr>
            <w:r>
              <w:rPr>
                <w:sz w:val="16"/>
              </w:rPr>
              <w:t>.422</w:t>
            </w:r>
          </w:p>
        </w:tc>
        <w:tc>
          <w:tcPr>
            <w:tcW w:w="600" w:type="dxa"/>
            <w:tcBorders>
              <w:left w:val="single" w:sz="6" w:space="0" w:color="auto"/>
              <w:right w:val="single" w:sz="6" w:space="0" w:color="auto"/>
            </w:tcBorders>
          </w:tcPr>
          <w:p w:rsidR="00B40966" w:rsidRDefault="00B40966">
            <w:pPr>
              <w:pStyle w:val="TableText"/>
              <w:rPr>
                <w:sz w:val="16"/>
              </w:rPr>
            </w:pPr>
            <w:r>
              <w:rPr>
                <w:sz w:val="16"/>
              </w:rPr>
              <w:t>.407</w:t>
            </w:r>
          </w:p>
        </w:tc>
        <w:tc>
          <w:tcPr>
            <w:tcW w:w="600" w:type="dxa"/>
            <w:tcBorders>
              <w:left w:val="single" w:sz="6" w:space="0" w:color="auto"/>
              <w:right w:val="single" w:sz="6" w:space="0" w:color="auto"/>
            </w:tcBorders>
          </w:tcPr>
          <w:p w:rsidR="00B40966" w:rsidRDefault="00B40966">
            <w:pPr>
              <w:pStyle w:val="TableText"/>
              <w:rPr>
                <w:sz w:val="16"/>
              </w:rPr>
            </w:pPr>
            <w:r>
              <w:rPr>
                <w:sz w:val="16"/>
              </w:rPr>
              <w:t>.402</w:t>
            </w:r>
          </w:p>
        </w:tc>
        <w:tc>
          <w:tcPr>
            <w:tcW w:w="600" w:type="dxa"/>
            <w:tcBorders>
              <w:left w:val="single" w:sz="6" w:space="0" w:color="auto"/>
              <w:right w:val="single" w:sz="6" w:space="0" w:color="auto"/>
            </w:tcBorders>
          </w:tcPr>
          <w:p w:rsidR="00B40966" w:rsidRDefault="00B40966">
            <w:pPr>
              <w:pStyle w:val="TableText"/>
              <w:rPr>
                <w:sz w:val="16"/>
              </w:rPr>
            </w:pPr>
            <w:r>
              <w:rPr>
                <w:sz w:val="16"/>
              </w:rPr>
              <w:t>.387</w:t>
            </w:r>
          </w:p>
        </w:tc>
        <w:tc>
          <w:tcPr>
            <w:tcW w:w="600" w:type="dxa"/>
          </w:tcPr>
          <w:p w:rsidR="00B40966" w:rsidRDefault="00B40966">
            <w:pPr>
              <w:pStyle w:val="TableText"/>
              <w:rPr>
                <w:sz w:val="16"/>
              </w:rPr>
            </w:pPr>
            <w:r>
              <w:rPr>
                <w:sz w:val="16"/>
              </w:rPr>
              <w:t>.377</w:t>
            </w:r>
          </w:p>
        </w:tc>
      </w:tr>
      <w:tr w:rsidR="00B40966">
        <w:trPr>
          <w:cantSplit/>
        </w:trPr>
        <w:tc>
          <w:tcPr>
            <w:tcW w:w="560" w:type="dxa"/>
          </w:tcPr>
          <w:p w:rsidR="00B40966" w:rsidRDefault="00B40966">
            <w:pPr>
              <w:pStyle w:val="TableText"/>
              <w:rPr>
                <w:sz w:val="16"/>
              </w:rPr>
            </w:pPr>
            <w:r>
              <w:rPr>
                <w:sz w:val="16"/>
              </w:rPr>
              <w:t>24</w:t>
            </w:r>
          </w:p>
        </w:tc>
        <w:tc>
          <w:tcPr>
            <w:tcW w:w="800" w:type="dxa"/>
            <w:tcBorders>
              <w:left w:val="single" w:sz="6" w:space="0" w:color="auto"/>
              <w:right w:val="single" w:sz="6" w:space="0" w:color="auto"/>
            </w:tcBorders>
          </w:tcPr>
          <w:p w:rsidR="00B40966" w:rsidRDefault="00B40966">
            <w:pPr>
              <w:pStyle w:val="TableText"/>
              <w:rPr>
                <w:sz w:val="16"/>
              </w:rPr>
            </w:pPr>
            <w:r>
              <w:rPr>
                <w:sz w:val="16"/>
              </w:rPr>
              <w:t>.302</w:t>
            </w:r>
          </w:p>
        </w:tc>
        <w:tc>
          <w:tcPr>
            <w:tcW w:w="700" w:type="dxa"/>
            <w:tcBorders>
              <w:left w:val="single" w:sz="6" w:space="0" w:color="auto"/>
              <w:right w:val="single" w:sz="6" w:space="0" w:color="auto"/>
            </w:tcBorders>
          </w:tcPr>
          <w:p w:rsidR="00B40966" w:rsidRDefault="00B40966">
            <w:pPr>
              <w:pStyle w:val="TableText"/>
              <w:rPr>
                <w:sz w:val="16"/>
              </w:rPr>
            </w:pPr>
            <w:r>
              <w:rPr>
                <w:sz w:val="16"/>
              </w:rPr>
              <w:t>.337</w:t>
            </w:r>
          </w:p>
        </w:tc>
        <w:tc>
          <w:tcPr>
            <w:tcW w:w="720" w:type="dxa"/>
            <w:tcBorders>
              <w:left w:val="single" w:sz="6" w:space="0" w:color="auto"/>
              <w:right w:val="single" w:sz="6" w:space="0" w:color="auto"/>
            </w:tcBorders>
          </w:tcPr>
          <w:p w:rsidR="00B40966" w:rsidRDefault="00B40966">
            <w:pPr>
              <w:pStyle w:val="TableText"/>
              <w:rPr>
                <w:sz w:val="16"/>
              </w:rPr>
            </w:pPr>
            <w:r>
              <w:rPr>
                <w:sz w:val="16"/>
              </w:rPr>
              <w:t>.411</w:t>
            </w:r>
          </w:p>
        </w:tc>
        <w:tc>
          <w:tcPr>
            <w:tcW w:w="540" w:type="dxa"/>
            <w:tcBorders>
              <w:left w:val="single" w:sz="6" w:space="0" w:color="auto"/>
              <w:right w:val="single" w:sz="6" w:space="0" w:color="auto"/>
            </w:tcBorders>
          </w:tcPr>
          <w:p w:rsidR="00B40966" w:rsidRDefault="00B40966">
            <w:pPr>
              <w:pStyle w:val="TableText"/>
              <w:rPr>
                <w:sz w:val="16"/>
              </w:rPr>
            </w:pPr>
            <w:r>
              <w:rPr>
                <w:sz w:val="16"/>
              </w:rPr>
              <w:t>.401</w:t>
            </w:r>
          </w:p>
        </w:tc>
        <w:tc>
          <w:tcPr>
            <w:tcW w:w="600" w:type="dxa"/>
            <w:tcBorders>
              <w:left w:val="single" w:sz="6" w:space="0" w:color="auto"/>
              <w:right w:val="single" w:sz="6" w:space="0" w:color="auto"/>
            </w:tcBorders>
          </w:tcPr>
          <w:p w:rsidR="00B40966" w:rsidRDefault="00B40966">
            <w:pPr>
              <w:pStyle w:val="TableText"/>
              <w:rPr>
                <w:sz w:val="16"/>
              </w:rPr>
            </w:pPr>
            <w:r>
              <w:rPr>
                <w:sz w:val="16"/>
              </w:rPr>
              <w:t>.446</w:t>
            </w:r>
          </w:p>
        </w:tc>
        <w:tc>
          <w:tcPr>
            <w:tcW w:w="600" w:type="dxa"/>
            <w:tcBorders>
              <w:left w:val="single" w:sz="6" w:space="0" w:color="auto"/>
              <w:right w:val="single" w:sz="6" w:space="0" w:color="auto"/>
            </w:tcBorders>
          </w:tcPr>
          <w:p w:rsidR="00B40966" w:rsidRDefault="00B40966">
            <w:pPr>
              <w:pStyle w:val="TableText"/>
              <w:rPr>
                <w:sz w:val="16"/>
              </w:rPr>
            </w:pPr>
            <w:r>
              <w:rPr>
                <w:sz w:val="16"/>
              </w:rPr>
              <w:t>.427</w:t>
            </w:r>
          </w:p>
        </w:tc>
        <w:tc>
          <w:tcPr>
            <w:tcW w:w="600" w:type="dxa"/>
            <w:tcBorders>
              <w:left w:val="single" w:sz="6" w:space="0" w:color="auto"/>
              <w:right w:val="single" w:sz="6" w:space="0" w:color="auto"/>
            </w:tcBorders>
          </w:tcPr>
          <w:p w:rsidR="00B40966" w:rsidRDefault="00B40966">
            <w:pPr>
              <w:pStyle w:val="TableText"/>
              <w:rPr>
                <w:sz w:val="16"/>
              </w:rPr>
            </w:pPr>
            <w:r>
              <w:rPr>
                <w:sz w:val="16"/>
              </w:rPr>
              <w:t>.427</w:t>
            </w:r>
          </w:p>
        </w:tc>
        <w:tc>
          <w:tcPr>
            <w:tcW w:w="600" w:type="dxa"/>
            <w:tcBorders>
              <w:left w:val="single" w:sz="6" w:space="0" w:color="auto"/>
              <w:right w:val="single" w:sz="6" w:space="0" w:color="auto"/>
            </w:tcBorders>
          </w:tcPr>
          <w:p w:rsidR="00B40966" w:rsidRDefault="00B40966">
            <w:pPr>
              <w:pStyle w:val="TableText"/>
              <w:rPr>
                <w:sz w:val="16"/>
              </w:rPr>
            </w:pPr>
            <w:r>
              <w:rPr>
                <w:sz w:val="16"/>
              </w:rPr>
              <w:t>.411</w:t>
            </w:r>
          </w:p>
        </w:tc>
        <w:tc>
          <w:tcPr>
            <w:tcW w:w="60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Borders>
              <w:left w:val="single" w:sz="6" w:space="0" w:color="auto"/>
              <w:right w:val="single" w:sz="6" w:space="0" w:color="auto"/>
            </w:tcBorders>
          </w:tcPr>
          <w:p w:rsidR="00B40966" w:rsidRDefault="00B40966">
            <w:pPr>
              <w:pStyle w:val="TableText"/>
              <w:rPr>
                <w:sz w:val="16"/>
              </w:rPr>
            </w:pPr>
            <w:r>
              <w:rPr>
                <w:sz w:val="16"/>
              </w:rPr>
              <w:t>.392</w:t>
            </w:r>
          </w:p>
        </w:tc>
        <w:tc>
          <w:tcPr>
            <w:tcW w:w="600" w:type="dxa"/>
          </w:tcPr>
          <w:p w:rsidR="00B40966" w:rsidRDefault="00B40966">
            <w:pPr>
              <w:pStyle w:val="TableText"/>
              <w:rPr>
                <w:sz w:val="16"/>
              </w:rPr>
            </w:pPr>
            <w:r>
              <w:rPr>
                <w:sz w:val="16"/>
              </w:rPr>
              <w:t>.381</w:t>
            </w:r>
          </w:p>
        </w:tc>
      </w:tr>
      <w:tr w:rsidR="00B40966">
        <w:trPr>
          <w:cantSplit/>
        </w:trPr>
        <w:tc>
          <w:tcPr>
            <w:tcW w:w="560" w:type="dxa"/>
          </w:tcPr>
          <w:p w:rsidR="00B40966" w:rsidRDefault="00B40966">
            <w:pPr>
              <w:pStyle w:val="TableText"/>
              <w:rPr>
                <w:sz w:val="16"/>
              </w:rPr>
            </w:pPr>
            <w:r>
              <w:rPr>
                <w:sz w:val="16"/>
              </w:rPr>
              <w:t>25</w:t>
            </w:r>
          </w:p>
        </w:tc>
        <w:tc>
          <w:tcPr>
            <w:tcW w:w="800" w:type="dxa"/>
            <w:tcBorders>
              <w:left w:val="single" w:sz="6" w:space="0" w:color="auto"/>
              <w:right w:val="single" w:sz="6" w:space="0" w:color="auto"/>
            </w:tcBorders>
          </w:tcPr>
          <w:p w:rsidR="00B40966" w:rsidRDefault="00B40966">
            <w:pPr>
              <w:pStyle w:val="TableText"/>
              <w:rPr>
                <w:sz w:val="16"/>
              </w:rPr>
            </w:pPr>
            <w:r>
              <w:rPr>
                <w:sz w:val="16"/>
              </w:rPr>
              <w:t>.305</w:t>
            </w:r>
          </w:p>
        </w:tc>
        <w:tc>
          <w:tcPr>
            <w:tcW w:w="700" w:type="dxa"/>
            <w:tcBorders>
              <w:left w:val="single" w:sz="6" w:space="0" w:color="auto"/>
              <w:right w:val="single" w:sz="6" w:space="0" w:color="auto"/>
            </w:tcBorders>
          </w:tcPr>
          <w:p w:rsidR="00B40966" w:rsidRDefault="00B40966">
            <w:pPr>
              <w:pStyle w:val="TableText"/>
              <w:rPr>
                <w:sz w:val="16"/>
              </w:rPr>
            </w:pPr>
            <w:r>
              <w:rPr>
                <w:sz w:val="16"/>
              </w:rPr>
              <w:t>.340</w:t>
            </w:r>
          </w:p>
        </w:tc>
        <w:tc>
          <w:tcPr>
            <w:tcW w:w="720" w:type="dxa"/>
            <w:tcBorders>
              <w:left w:val="single" w:sz="6" w:space="0" w:color="auto"/>
              <w:right w:val="single" w:sz="6" w:space="0" w:color="auto"/>
            </w:tcBorders>
          </w:tcPr>
          <w:p w:rsidR="00B40966" w:rsidRDefault="00B40966">
            <w:pPr>
              <w:pStyle w:val="TableText"/>
              <w:rPr>
                <w:sz w:val="16"/>
              </w:rPr>
            </w:pPr>
            <w:r>
              <w:rPr>
                <w:sz w:val="16"/>
              </w:rPr>
              <w:t>.416</w:t>
            </w:r>
          </w:p>
        </w:tc>
        <w:tc>
          <w:tcPr>
            <w:tcW w:w="54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Borders>
              <w:left w:val="single" w:sz="6" w:space="0" w:color="auto"/>
              <w:right w:val="single" w:sz="6" w:space="0" w:color="auto"/>
            </w:tcBorders>
          </w:tcPr>
          <w:p w:rsidR="00B40966" w:rsidRDefault="00B40966">
            <w:pPr>
              <w:pStyle w:val="TableText"/>
              <w:rPr>
                <w:sz w:val="16"/>
              </w:rPr>
            </w:pPr>
            <w:r>
              <w:rPr>
                <w:sz w:val="16"/>
              </w:rPr>
              <w:t>.449</w:t>
            </w:r>
          </w:p>
        </w:tc>
        <w:tc>
          <w:tcPr>
            <w:tcW w:w="600" w:type="dxa"/>
            <w:tcBorders>
              <w:left w:val="single" w:sz="6" w:space="0" w:color="auto"/>
              <w:right w:val="single" w:sz="6" w:space="0" w:color="auto"/>
            </w:tcBorders>
          </w:tcPr>
          <w:p w:rsidR="00B40966" w:rsidRDefault="00B40966">
            <w:pPr>
              <w:pStyle w:val="TableText"/>
              <w:rPr>
                <w:sz w:val="16"/>
              </w:rPr>
            </w:pPr>
            <w:r>
              <w:rPr>
                <w:sz w:val="16"/>
              </w:rPr>
              <w:t>.432</w:t>
            </w:r>
          </w:p>
        </w:tc>
        <w:tc>
          <w:tcPr>
            <w:tcW w:w="600" w:type="dxa"/>
            <w:tcBorders>
              <w:left w:val="single" w:sz="6" w:space="0" w:color="auto"/>
              <w:right w:val="single" w:sz="6" w:space="0" w:color="auto"/>
            </w:tcBorders>
          </w:tcPr>
          <w:p w:rsidR="00B40966" w:rsidRDefault="00B40966">
            <w:pPr>
              <w:pStyle w:val="TableText"/>
              <w:rPr>
                <w:sz w:val="16"/>
              </w:rPr>
            </w:pPr>
            <w:r>
              <w:rPr>
                <w:sz w:val="16"/>
              </w:rPr>
              <w:t>.432</w:t>
            </w:r>
          </w:p>
        </w:tc>
        <w:tc>
          <w:tcPr>
            <w:tcW w:w="600" w:type="dxa"/>
            <w:tcBorders>
              <w:left w:val="single" w:sz="6" w:space="0" w:color="auto"/>
              <w:right w:val="single" w:sz="6" w:space="0" w:color="auto"/>
            </w:tcBorders>
          </w:tcPr>
          <w:p w:rsidR="00B40966" w:rsidRDefault="00B40966">
            <w:pPr>
              <w:pStyle w:val="TableText"/>
              <w:rPr>
                <w:sz w:val="16"/>
              </w:rPr>
            </w:pPr>
            <w:r>
              <w:rPr>
                <w:sz w:val="16"/>
              </w:rPr>
              <w:t>.417</w:t>
            </w:r>
          </w:p>
        </w:tc>
        <w:tc>
          <w:tcPr>
            <w:tcW w:w="600" w:type="dxa"/>
            <w:tcBorders>
              <w:left w:val="single" w:sz="6" w:space="0" w:color="auto"/>
              <w:right w:val="single" w:sz="6" w:space="0" w:color="auto"/>
            </w:tcBorders>
          </w:tcPr>
          <w:p w:rsidR="00B40966" w:rsidRDefault="00B40966">
            <w:pPr>
              <w:pStyle w:val="TableText"/>
              <w:rPr>
                <w:sz w:val="16"/>
              </w:rPr>
            </w:pPr>
            <w:r>
              <w:rPr>
                <w:sz w:val="16"/>
              </w:rPr>
              <w:t>.409</w:t>
            </w:r>
          </w:p>
        </w:tc>
        <w:tc>
          <w:tcPr>
            <w:tcW w:w="600" w:type="dxa"/>
            <w:tcBorders>
              <w:left w:val="single" w:sz="6" w:space="0" w:color="auto"/>
              <w:right w:val="single" w:sz="6" w:space="0" w:color="auto"/>
            </w:tcBorders>
          </w:tcPr>
          <w:p w:rsidR="00B40966" w:rsidRDefault="00B40966">
            <w:pPr>
              <w:pStyle w:val="TableText"/>
              <w:rPr>
                <w:sz w:val="16"/>
              </w:rPr>
            </w:pPr>
            <w:r>
              <w:rPr>
                <w:sz w:val="16"/>
              </w:rPr>
              <w:t>.396</w:t>
            </w:r>
          </w:p>
        </w:tc>
        <w:tc>
          <w:tcPr>
            <w:tcW w:w="600" w:type="dxa"/>
          </w:tcPr>
          <w:p w:rsidR="00B40966" w:rsidRDefault="00B40966">
            <w:pPr>
              <w:pStyle w:val="TableText"/>
              <w:rPr>
                <w:sz w:val="16"/>
              </w:rPr>
            </w:pPr>
            <w:r>
              <w:rPr>
                <w:sz w:val="16"/>
              </w:rPr>
              <w:t>.386</w:t>
            </w:r>
          </w:p>
        </w:tc>
      </w:tr>
      <w:tr w:rsidR="00B40966">
        <w:trPr>
          <w:cantSplit/>
        </w:trPr>
        <w:tc>
          <w:tcPr>
            <w:tcW w:w="560" w:type="dxa"/>
            <w:tcBorders>
              <w:top w:val="single" w:sz="6" w:space="0" w:color="auto"/>
            </w:tcBorders>
          </w:tcPr>
          <w:p w:rsidR="00B40966" w:rsidRDefault="00B40966">
            <w:pPr>
              <w:pStyle w:val="TableText"/>
              <w:rPr>
                <w:sz w:val="16"/>
              </w:rPr>
            </w:pPr>
            <w:r>
              <w:rPr>
                <w:sz w:val="16"/>
              </w:rPr>
              <w:t>26</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.308</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.344</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.421</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.409</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.436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.421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.413</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.401</w:t>
            </w:r>
          </w:p>
        </w:tc>
        <w:tc>
          <w:tcPr>
            <w:tcW w:w="600" w:type="dxa"/>
            <w:tcBorders>
              <w:top w:val="single" w:sz="6" w:space="0" w:color="auto"/>
            </w:tcBorders>
          </w:tcPr>
          <w:p w:rsidR="00B40966" w:rsidRDefault="00B40966">
            <w:pPr>
              <w:pStyle w:val="TableText"/>
              <w:rPr>
                <w:sz w:val="16"/>
              </w:rPr>
            </w:pPr>
            <w:r>
              <w:rPr>
                <w:sz w:val="16"/>
              </w:rPr>
              <w:t>.389</w:t>
            </w:r>
          </w:p>
        </w:tc>
      </w:tr>
      <w:tr w:rsidR="00B40966">
        <w:trPr>
          <w:cantSplit/>
        </w:trPr>
        <w:tc>
          <w:tcPr>
            <w:tcW w:w="560" w:type="dxa"/>
          </w:tcPr>
          <w:p w:rsidR="00B40966" w:rsidRDefault="00B40966">
            <w:pPr>
              <w:pStyle w:val="TableText"/>
              <w:rPr>
                <w:sz w:val="16"/>
              </w:rPr>
            </w:pPr>
            <w:r>
              <w:rPr>
                <w:sz w:val="16"/>
              </w:rPr>
              <w:t>27</w:t>
            </w:r>
          </w:p>
        </w:tc>
        <w:tc>
          <w:tcPr>
            <w:tcW w:w="800" w:type="dxa"/>
            <w:tcBorders>
              <w:left w:val="single" w:sz="6" w:space="0" w:color="auto"/>
              <w:right w:val="single" w:sz="6" w:space="0" w:color="auto"/>
            </w:tcBorders>
          </w:tcPr>
          <w:p w:rsidR="00B40966" w:rsidRDefault="00B40966">
            <w:pPr>
              <w:pStyle w:val="TableText"/>
              <w:rPr>
                <w:sz w:val="16"/>
              </w:rPr>
            </w:pPr>
            <w:r>
              <w:rPr>
                <w:sz w:val="16"/>
              </w:rPr>
              <w:t>.311</w:t>
            </w:r>
          </w:p>
        </w:tc>
        <w:tc>
          <w:tcPr>
            <w:tcW w:w="700" w:type="dxa"/>
            <w:tcBorders>
              <w:left w:val="single" w:sz="6" w:space="0" w:color="auto"/>
              <w:right w:val="single" w:sz="6" w:space="0" w:color="auto"/>
            </w:tcBorders>
          </w:tcPr>
          <w:p w:rsidR="00B40966" w:rsidRDefault="00B40966">
            <w:pPr>
              <w:pStyle w:val="TableText"/>
              <w:rPr>
                <w:sz w:val="16"/>
              </w:rPr>
            </w:pPr>
            <w:r>
              <w:rPr>
                <w:sz w:val="16"/>
              </w:rPr>
              <w:t>.348</w:t>
            </w:r>
          </w:p>
        </w:tc>
        <w:tc>
          <w:tcPr>
            <w:tcW w:w="720" w:type="dxa"/>
            <w:tcBorders>
              <w:left w:val="single" w:sz="6" w:space="0" w:color="auto"/>
              <w:right w:val="single" w:sz="6" w:space="0" w:color="auto"/>
            </w:tcBorders>
          </w:tcPr>
          <w:p w:rsidR="00B40966" w:rsidRDefault="00B40966">
            <w:pPr>
              <w:pStyle w:val="TableText"/>
              <w:rPr>
                <w:sz w:val="16"/>
              </w:rPr>
            </w:pPr>
            <w:r>
              <w:rPr>
                <w:sz w:val="16"/>
              </w:rPr>
              <w:t>.426</w:t>
            </w:r>
          </w:p>
        </w:tc>
        <w:tc>
          <w:tcPr>
            <w:tcW w:w="540" w:type="dxa"/>
            <w:tcBorders>
              <w:left w:val="single" w:sz="6" w:space="0" w:color="auto"/>
              <w:right w:val="single" w:sz="6" w:space="0" w:color="auto"/>
            </w:tcBorders>
          </w:tcPr>
          <w:p w:rsidR="00B40966" w:rsidRDefault="00B40966">
            <w:pPr>
              <w:pStyle w:val="TableText"/>
              <w:rPr>
                <w:sz w:val="16"/>
              </w:rPr>
            </w:pPr>
            <w:r>
              <w:rPr>
                <w:sz w:val="16"/>
              </w:rPr>
              <w:t>.414</w:t>
            </w:r>
          </w:p>
        </w:tc>
        <w:tc>
          <w:tcPr>
            <w:tcW w:w="600" w:type="dxa"/>
            <w:tcBorders>
              <w:left w:val="single" w:sz="6" w:space="0" w:color="auto"/>
              <w:right w:val="single" w:sz="6" w:space="0" w:color="auto"/>
            </w:tcBorders>
          </w:tcPr>
          <w:p w:rsidR="00B40966" w:rsidRDefault="00B40966">
            <w:pPr>
              <w:pStyle w:val="TableText"/>
              <w:rPr>
                <w:sz w:val="16"/>
              </w:rPr>
            </w:pPr>
            <w:r>
              <w:rPr>
                <w:sz w:val="16"/>
              </w:rPr>
              <w:t>.458</w:t>
            </w:r>
          </w:p>
        </w:tc>
        <w:tc>
          <w:tcPr>
            <w:tcW w:w="600" w:type="dxa"/>
            <w:tcBorders>
              <w:left w:val="single" w:sz="6" w:space="0" w:color="auto"/>
              <w:right w:val="single" w:sz="6" w:space="0" w:color="auto"/>
            </w:tcBorders>
          </w:tcPr>
          <w:p w:rsidR="00B40966" w:rsidRDefault="00B40966">
            <w:pPr>
              <w:pStyle w:val="TableText"/>
              <w:rPr>
                <w:sz w:val="16"/>
              </w:rPr>
            </w:pPr>
            <w:r>
              <w:rPr>
                <w:sz w:val="16"/>
              </w:rPr>
              <w:t>.440</w:t>
            </w:r>
          </w:p>
        </w:tc>
        <w:tc>
          <w:tcPr>
            <w:tcW w:w="600" w:type="dxa"/>
            <w:tcBorders>
              <w:left w:val="single" w:sz="6" w:space="0" w:color="auto"/>
              <w:right w:val="single" w:sz="6" w:space="0" w:color="auto"/>
            </w:tcBorders>
          </w:tcPr>
          <w:p w:rsidR="00B40966" w:rsidRDefault="00B40966">
            <w:pPr>
              <w:pStyle w:val="TableText"/>
              <w:rPr>
                <w:sz w:val="16"/>
              </w:rPr>
            </w:pPr>
            <w:r>
              <w:rPr>
                <w:sz w:val="16"/>
              </w:rPr>
              <w:t>.440</w:t>
            </w:r>
          </w:p>
        </w:tc>
        <w:tc>
          <w:tcPr>
            <w:tcW w:w="600" w:type="dxa"/>
            <w:tcBorders>
              <w:left w:val="single" w:sz="6" w:space="0" w:color="auto"/>
              <w:right w:val="single" w:sz="6" w:space="0" w:color="auto"/>
            </w:tcBorders>
          </w:tcPr>
          <w:p w:rsidR="00B40966" w:rsidRDefault="00B40966">
            <w:pPr>
              <w:pStyle w:val="TableText"/>
              <w:rPr>
                <w:sz w:val="16"/>
              </w:rPr>
            </w:pPr>
            <w:r>
              <w:rPr>
                <w:sz w:val="16"/>
              </w:rPr>
              <w:t>.425</w:t>
            </w:r>
          </w:p>
        </w:tc>
        <w:tc>
          <w:tcPr>
            <w:tcW w:w="600" w:type="dxa"/>
            <w:tcBorders>
              <w:left w:val="single" w:sz="6" w:space="0" w:color="auto"/>
              <w:right w:val="single" w:sz="6" w:space="0" w:color="auto"/>
            </w:tcBorders>
          </w:tcPr>
          <w:p w:rsidR="00B40966" w:rsidRDefault="00B40966">
            <w:pPr>
              <w:pStyle w:val="TableText"/>
              <w:rPr>
                <w:sz w:val="16"/>
              </w:rPr>
            </w:pPr>
            <w:r>
              <w:rPr>
                <w:sz w:val="16"/>
              </w:rPr>
              <w:t>.417</w:t>
            </w:r>
          </w:p>
        </w:tc>
        <w:tc>
          <w:tcPr>
            <w:tcW w:w="600" w:type="dxa"/>
            <w:tcBorders>
              <w:left w:val="single" w:sz="6" w:space="0" w:color="auto"/>
              <w:right w:val="single" w:sz="6" w:space="0" w:color="auto"/>
            </w:tcBorders>
          </w:tcPr>
          <w:p w:rsidR="00B40966" w:rsidRDefault="00B40966">
            <w:pPr>
              <w:pStyle w:val="TableText"/>
              <w:rPr>
                <w:sz w:val="16"/>
              </w:rPr>
            </w:pPr>
            <w:r>
              <w:rPr>
                <w:sz w:val="16"/>
              </w:rPr>
              <w:t>.405</w:t>
            </w:r>
          </w:p>
        </w:tc>
        <w:tc>
          <w:tcPr>
            <w:tcW w:w="600" w:type="dxa"/>
          </w:tcPr>
          <w:p w:rsidR="00B40966" w:rsidRDefault="00B40966">
            <w:pPr>
              <w:pStyle w:val="TableText"/>
              <w:rPr>
                <w:sz w:val="16"/>
              </w:rPr>
            </w:pPr>
            <w:r>
              <w:rPr>
                <w:sz w:val="16"/>
              </w:rPr>
              <w:t>.392</w:t>
            </w:r>
          </w:p>
        </w:tc>
      </w:tr>
      <w:tr w:rsidR="00B40966">
        <w:trPr>
          <w:cantSplit/>
        </w:trPr>
        <w:tc>
          <w:tcPr>
            <w:tcW w:w="560" w:type="dxa"/>
          </w:tcPr>
          <w:p w:rsidR="00B40966" w:rsidRDefault="00B40966">
            <w:pPr>
              <w:pStyle w:val="TableText"/>
              <w:rPr>
                <w:sz w:val="16"/>
              </w:rPr>
            </w:pPr>
            <w:r>
              <w:rPr>
                <w:sz w:val="16"/>
              </w:rPr>
              <w:t>28</w:t>
            </w:r>
          </w:p>
        </w:tc>
        <w:tc>
          <w:tcPr>
            <w:tcW w:w="800" w:type="dxa"/>
            <w:tcBorders>
              <w:left w:val="single" w:sz="6" w:space="0" w:color="auto"/>
              <w:right w:val="single" w:sz="6" w:space="0" w:color="auto"/>
            </w:tcBorders>
          </w:tcPr>
          <w:p w:rsidR="00B40966" w:rsidRDefault="00B40966">
            <w:pPr>
              <w:pStyle w:val="TableText"/>
              <w:rPr>
                <w:sz w:val="16"/>
              </w:rPr>
            </w:pPr>
            <w:r>
              <w:rPr>
                <w:sz w:val="16"/>
              </w:rPr>
              <w:t>.314</w:t>
            </w:r>
          </w:p>
        </w:tc>
        <w:tc>
          <w:tcPr>
            <w:tcW w:w="700" w:type="dxa"/>
            <w:tcBorders>
              <w:left w:val="single" w:sz="6" w:space="0" w:color="auto"/>
              <w:right w:val="single" w:sz="6" w:space="0" w:color="auto"/>
            </w:tcBorders>
          </w:tcPr>
          <w:p w:rsidR="00B40966" w:rsidRDefault="00B40966">
            <w:pPr>
              <w:pStyle w:val="TableText"/>
              <w:rPr>
                <w:sz w:val="16"/>
              </w:rPr>
            </w:pPr>
            <w:r>
              <w:rPr>
                <w:sz w:val="16"/>
              </w:rPr>
              <w:t>.352</w:t>
            </w:r>
          </w:p>
        </w:tc>
        <w:tc>
          <w:tcPr>
            <w:tcW w:w="720" w:type="dxa"/>
            <w:tcBorders>
              <w:left w:val="single" w:sz="6" w:space="0" w:color="auto"/>
              <w:right w:val="single" w:sz="6" w:space="0" w:color="auto"/>
            </w:tcBorders>
          </w:tcPr>
          <w:p w:rsidR="00B40966" w:rsidRDefault="00B40966">
            <w:pPr>
              <w:pStyle w:val="TableText"/>
              <w:rPr>
                <w:sz w:val="16"/>
              </w:rPr>
            </w:pPr>
            <w:r>
              <w:rPr>
                <w:sz w:val="16"/>
              </w:rPr>
              <w:t>.430</w:t>
            </w:r>
          </w:p>
        </w:tc>
        <w:tc>
          <w:tcPr>
            <w:tcW w:w="540" w:type="dxa"/>
            <w:tcBorders>
              <w:left w:val="single" w:sz="6" w:space="0" w:color="auto"/>
              <w:right w:val="single" w:sz="6" w:space="0" w:color="auto"/>
            </w:tcBorders>
          </w:tcPr>
          <w:p w:rsidR="00B40966" w:rsidRDefault="00B40966">
            <w:pPr>
              <w:pStyle w:val="TableText"/>
              <w:rPr>
                <w:sz w:val="16"/>
              </w:rPr>
            </w:pPr>
            <w:r>
              <w:rPr>
                <w:sz w:val="16"/>
              </w:rPr>
              <w:t>.417</w:t>
            </w:r>
          </w:p>
        </w:tc>
        <w:tc>
          <w:tcPr>
            <w:tcW w:w="600" w:type="dxa"/>
            <w:tcBorders>
              <w:left w:val="single" w:sz="6" w:space="0" w:color="auto"/>
              <w:right w:val="single" w:sz="6" w:space="0" w:color="auto"/>
            </w:tcBorders>
          </w:tcPr>
          <w:p w:rsidR="00B40966" w:rsidRDefault="00B40966">
            <w:pPr>
              <w:pStyle w:val="TableText"/>
              <w:rPr>
                <w:sz w:val="16"/>
              </w:rPr>
            </w:pPr>
            <w:r>
              <w:rPr>
                <w:sz w:val="16"/>
              </w:rPr>
              <w:t>.461</w:t>
            </w:r>
          </w:p>
        </w:tc>
        <w:tc>
          <w:tcPr>
            <w:tcW w:w="600" w:type="dxa"/>
            <w:tcBorders>
              <w:left w:val="single" w:sz="6" w:space="0" w:color="auto"/>
              <w:right w:val="single" w:sz="6" w:space="0" w:color="auto"/>
            </w:tcBorders>
          </w:tcPr>
          <w:p w:rsidR="00B40966" w:rsidRDefault="00B40966">
            <w:pPr>
              <w:pStyle w:val="TableText"/>
              <w:rPr>
                <w:sz w:val="16"/>
              </w:rPr>
            </w:pPr>
            <w:r>
              <w:rPr>
                <w:sz w:val="16"/>
              </w:rPr>
              <w:t>.443</w:t>
            </w:r>
          </w:p>
        </w:tc>
        <w:tc>
          <w:tcPr>
            <w:tcW w:w="600" w:type="dxa"/>
            <w:tcBorders>
              <w:left w:val="single" w:sz="6" w:space="0" w:color="auto"/>
              <w:right w:val="single" w:sz="6" w:space="0" w:color="auto"/>
            </w:tcBorders>
          </w:tcPr>
          <w:p w:rsidR="00B40966" w:rsidRDefault="00B40966">
            <w:pPr>
              <w:pStyle w:val="TableText"/>
              <w:rPr>
                <w:sz w:val="16"/>
              </w:rPr>
            </w:pPr>
            <w:r>
              <w:rPr>
                <w:sz w:val="16"/>
              </w:rPr>
              <w:t>.444</w:t>
            </w:r>
          </w:p>
        </w:tc>
        <w:tc>
          <w:tcPr>
            <w:tcW w:w="600" w:type="dxa"/>
            <w:tcBorders>
              <w:left w:val="single" w:sz="6" w:space="0" w:color="auto"/>
              <w:right w:val="single" w:sz="6" w:space="0" w:color="auto"/>
            </w:tcBorders>
          </w:tcPr>
          <w:p w:rsidR="00B40966" w:rsidRDefault="00B40966">
            <w:pPr>
              <w:pStyle w:val="TableText"/>
              <w:rPr>
                <w:sz w:val="16"/>
              </w:rPr>
            </w:pPr>
            <w:r>
              <w:rPr>
                <w:sz w:val="16"/>
              </w:rPr>
              <w:t>.427</w:t>
            </w:r>
          </w:p>
        </w:tc>
        <w:tc>
          <w:tcPr>
            <w:tcW w:w="600" w:type="dxa"/>
            <w:tcBorders>
              <w:left w:val="single" w:sz="6" w:space="0" w:color="auto"/>
              <w:right w:val="single" w:sz="6" w:space="0" w:color="auto"/>
            </w:tcBorders>
          </w:tcPr>
          <w:p w:rsidR="00B40966" w:rsidRDefault="00B40966">
            <w:pPr>
              <w:pStyle w:val="TableText"/>
              <w:rPr>
                <w:sz w:val="16"/>
              </w:rPr>
            </w:pPr>
            <w:r>
              <w:rPr>
                <w:sz w:val="16"/>
              </w:rPr>
              <w:t>.421</w:t>
            </w:r>
          </w:p>
        </w:tc>
        <w:tc>
          <w:tcPr>
            <w:tcW w:w="600" w:type="dxa"/>
            <w:tcBorders>
              <w:left w:val="single" w:sz="6" w:space="0" w:color="auto"/>
              <w:right w:val="single" w:sz="6" w:space="0" w:color="auto"/>
            </w:tcBorders>
          </w:tcPr>
          <w:p w:rsidR="00B40966" w:rsidRDefault="00B40966">
            <w:pPr>
              <w:pStyle w:val="TableText"/>
              <w:rPr>
                <w:sz w:val="16"/>
              </w:rPr>
            </w:pPr>
            <w:r>
              <w:rPr>
                <w:sz w:val="16"/>
              </w:rPr>
              <w:t>.409</w:t>
            </w:r>
          </w:p>
        </w:tc>
        <w:tc>
          <w:tcPr>
            <w:tcW w:w="600" w:type="dxa"/>
          </w:tcPr>
          <w:p w:rsidR="00B40966" w:rsidRDefault="00B40966">
            <w:pPr>
              <w:pStyle w:val="TableText"/>
              <w:rPr>
                <w:sz w:val="16"/>
              </w:rPr>
            </w:pPr>
            <w:r>
              <w:rPr>
                <w:sz w:val="16"/>
              </w:rPr>
              <w:t>.396</w:t>
            </w:r>
          </w:p>
        </w:tc>
      </w:tr>
      <w:tr w:rsidR="00B40966">
        <w:trPr>
          <w:cantSplit/>
        </w:trPr>
        <w:tc>
          <w:tcPr>
            <w:tcW w:w="560" w:type="dxa"/>
          </w:tcPr>
          <w:p w:rsidR="00B40966" w:rsidRDefault="00B40966">
            <w:pPr>
              <w:pStyle w:val="TableText"/>
              <w:rPr>
                <w:sz w:val="16"/>
              </w:rPr>
            </w:pPr>
            <w:r>
              <w:rPr>
                <w:sz w:val="16"/>
              </w:rPr>
              <w:t>29</w:t>
            </w:r>
          </w:p>
        </w:tc>
        <w:tc>
          <w:tcPr>
            <w:tcW w:w="800" w:type="dxa"/>
            <w:tcBorders>
              <w:left w:val="single" w:sz="6" w:space="0" w:color="auto"/>
              <w:right w:val="single" w:sz="6" w:space="0" w:color="auto"/>
            </w:tcBorders>
          </w:tcPr>
          <w:p w:rsidR="00B40966" w:rsidRDefault="00B40966">
            <w:pPr>
              <w:pStyle w:val="TableText"/>
              <w:rPr>
                <w:sz w:val="16"/>
              </w:rPr>
            </w:pPr>
            <w:r>
              <w:rPr>
                <w:sz w:val="16"/>
              </w:rPr>
              <w:t>.316</w:t>
            </w:r>
          </w:p>
        </w:tc>
        <w:tc>
          <w:tcPr>
            <w:tcW w:w="700" w:type="dxa"/>
            <w:tcBorders>
              <w:left w:val="single" w:sz="6" w:space="0" w:color="auto"/>
              <w:right w:val="single" w:sz="6" w:space="0" w:color="auto"/>
            </w:tcBorders>
          </w:tcPr>
          <w:p w:rsidR="00B40966" w:rsidRDefault="00B40966">
            <w:pPr>
              <w:pStyle w:val="TableText"/>
              <w:rPr>
                <w:sz w:val="16"/>
              </w:rPr>
            </w:pPr>
            <w:r>
              <w:rPr>
                <w:sz w:val="16"/>
              </w:rPr>
              <w:t>.355</w:t>
            </w:r>
          </w:p>
        </w:tc>
        <w:tc>
          <w:tcPr>
            <w:tcW w:w="720" w:type="dxa"/>
            <w:tcBorders>
              <w:left w:val="single" w:sz="6" w:space="0" w:color="auto"/>
              <w:right w:val="single" w:sz="6" w:space="0" w:color="auto"/>
            </w:tcBorders>
          </w:tcPr>
          <w:p w:rsidR="00B40966" w:rsidRDefault="00B40966">
            <w:pPr>
              <w:pStyle w:val="TableText"/>
              <w:rPr>
                <w:sz w:val="16"/>
              </w:rPr>
            </w:pPr>
            <w:r>
              <w:rPr>
                <w:sz w:val="16"/>
              </w:rPr>
              <w:t>.434</w:t>
            </w:r>
          </w:p>
        </w:tc>
        <w:tc>
          <w:tcPr>
            <w:tcW w:w="540" w:type="dxa"/>
            <w:tcBorders>
              <w:left w:val="single" w:sz="6" w:space="0" w:color="auto"/>
              <w:right w:val="single" w:sz="6" w:space="0" w:color="auto"/>
            </w:tcBorders>
          </w:tcPr>
          <w:p w:rsidR="00B40966" w:rsidRDefault="00B40966">
            <w:pPr>
              <w:pStyle w:val="TableText"/>
              <w:rPr>
                <w:sz w:val="16"/>
              </w:rPr>
            </w:pPr>
            <w:r>
              <w:rPr>
                <w:sz w:val="16"/>
              </w:rPr>
              <w:t>.421</w:t>
            </w:r>
          </w:p>
        </w:tc>
        <w:tc>
          <w:tcPr>
            <w:tcW w:w="600" w:type="dxa"/>
            <w:tcBorders>
              <w:left w:val="single" w:sz="6" w:space="0" w:color="auto"/>
              <w:right w:val="single" w:sz="6" w:space="0" w:color="auto"/>
            </w:tcBorders>
          </w:tcPr>
          <w:p w:rsidR="00B40966" w:rsidRDefault="00B40966">
            <w:pPr>
              <w:pStyle w:val="TableText"/>
              <w:rPr>
                <w:sz w:val="16"/>
              </w:rPr>
            </w:pPr>
            <w:r>
              <w:rPr>
                <w:sz w:val="16"/>
              </w:rPr>
              <w:t>.465</w:t>
            </w:r>
          </w:p>
        </w:tc>
        <w:tc>
          <w:tcPr>
            <w:tcW w:w="600" w:type="dxa"/>
            <w:tcBorders>
              <w:left w:val="single" w:sz="6" w:space="0" w:color="auto"/>
              <w:right w:val="single" w:sz="6" w:space="0" w:color="auto"/>
            </w:tcBorders>
          </w:tcPr>
          <w:p w:rsidR="00B40966" w:rsidRDefault="00B40966">
            <w:pPr>
              <w:pStyle w:val="TableText"/>
              <w:rPr>
                <w:sz w:val="16"/>
              </w:rPr>
            </w:pPr>
            <w:r>
              <w:rPr>
                <w:sz w:val="16"/>
              </w:rPr>
              <w:t>.446</w:t>
            </w:r>
          </w:p>
        </w:tc>
        <w:tc>
          <w:tcPr>
            <w:tcW w:w="600" w:type="dxa"/>
            <w:tcBorders>
              <w:left w:val="single" w:sz="6" w:space="0" w:color="auto"/>
              <w:right w:val="single" w:sz="6" w:space="0" w:color="auto"/>
            </w:tcBorders>
          </w:tcPr>
          <w:p w:rsidR="00B40966" w:rsidRDefault="00B40966">
            <w:pPr>
              <w:pStyle w:val="TableText"/>
              <w:rPr>
                <w:sz w:val="16"/>
              </w:rPr>
            </w:pPr>
            <w:r>
              <w:rPr>
                <w:sz w:val="16"/>
              </w:rPr>
              <w:t>.448</w:t>
            </w:r>
          </w:p>
        </w:tc>
        <w:tc>
          <w:tcPr>
            <w:tcW w:w="600" w:type="dxa"/>
            <w:tcBorders>
              <w:left w:val="single" w:sz="6" w:space="0" w:color="auto"/>
              <w:right w:val="single" w:sz="6" w:space="0" w:color="auto"/>
            </w:tcBorders>
          </w:tcPr>
          <w:p w:rsidR="00B40966" w:rsidRDefault="00B40966">
            <w:pPr>
              <w:pStyle w:val="TableText"/>
              <w:rPr>
                <w:sz w:val="16"/>
              </w:rPr>
            </w:pPr>
            <w:r>
              <w:rPr>
                <w:sz w:val="16"/>
              </w:rPr>
              <w:t>.430</w:t>
            </w:r>
          </w:p>
        </w:tc>
        <w:tc>
          <w:tcPr>
            <w:tcW w:w="600" w:type="dxa"/>
            <w:tcBorders>
              <w:left w:val="single" w:sz="6" w:space="0" w:color="auto"/>
              <w:right w:val="single" w:sz="6" w:space="0" w:color="auto"/>
            </w:tcBorders>
          </w:tcPr>
          <w:p w:rsidR="00B40966" w:rsidRDefault="00B40966">
            <w:pPr>
              <w:pStyle w:val="TableText"/>
              <w:rPr>
                <w:sz w:val="16"/>
              </w:rPr>
            </w:pPr>
            <w:r>
              <w:rPr>
                <w:sz w:val="16"/>
              </w:rPr>
              <w:t>.424</w:t>
            </w:r>
          </w:p>
        </w:tc>
        <w:tc>
          <w:tcPr>
            <w:tcW w:w="600" w:type="dxa"/>
            <w:tcBorders>
              <w:left w:val="single" w:sz="6" w:space="0" w:color="auto"/>
              <w:right w:val="single" w:sz="6" w:space="0" w:color="auto"/>
            </w:tcBorders>
          </w:tcPr>
          <w:p w:rsidR="00B40966" w:rsidRDefault="00B40966">
            <w:pPr>
              <w:pStyle w:val="TableText"/>
              <w:rPr>
                <w:sz w:val="16"/>
              </w:rPr>
            </w:pPr>
            <w:r>
              <w:rPr>
                <w:sz w:val="16"/>
              </w:rPr>
              <w:t>.412</w:t>
            </w:r>
          </w:p>
        </w:tc>
        <w:tc>
          <w:tcPr>
            <w:tcW w:w="600" w:type="dxa"/>
          </w:tcPr>
          <w:p w:rsidR="00B40966" w:rsidRDefault="00B40966">
            <w:pPr>
              <w:pStyle w:val="TableText"/>
              <w:rPr>
                <w:sz w:val="16"/>
              </w:rPr>
            </w:pPr>
            <w:r>
              <w:rPr>
                <w:sz w:val="16"/>
              </w:rPr>
              <w:t>.399</w:t>
            </w:r>
          </w:p>
        </w:tc>
      </w:tr>
      <w:tr w:rsidR="00B40966">
        <w:trPr>
          <w:cantSplit/>
        </w:trPr>
        <w:tc>
          <w:tcPr>
            <w:tcW w:w="560" w:type="dxa"/>
          </w:tcPr>
          <w:p w:rsidR="00B40966" w:rsidRDefault="00B40966">
            <w:pPr>
              <w:pStyle w:val="TableText"/>
              <w:rPr>
                <w:sz w:val="16"/>
              </w:rPr>
            </w:pPr>
            <w:r>
              <w:rPr>
                <w:sz w:val="16"/>
              </w:rPr>
              <w:t>30</w:t>
            </w:r>
          </w:p>
        </w:tc>
        <w:tc>
          <w:tcPr>
            <w:tcW w:w="800" w:type="dxa"/>
            <w:tcBorders>
              <w:left w:val="single" w:sz="6" w:space="0" w:color="auto"/>
              <w:right w:val="single" w:sz="6" w:space="0" w:color="auto"/>
            </w:tcBorders>
          </w:tcPr>
          <w:p w:rsidR="00B40966" w:rsidRDefault="00B40966">
            <w:pPr>
              <w:pStyle w:val="TableText"/>
              <w:rPr>
                <w:sz w:val="16"/>
              </w:rPr>
            </w:pPr>
            <w:r>
              <w:rPr>
                <w:sz w:val="16"/>
              </w:rPr>
              <w:t>.318</w:t>
            </w:r>
          </w:p>
        </w:tc>
        <w:tc>
          <w:tcPr>
            <w:tcW w:w="700" w:type="dxa"/>
            <w:tcBorders>
              <w:left w:val="single" w:sz="6" w:space="0" w:color="auto"/>
              <w:right w:val="single" w:sz="6" w:space="0" w:color="auto"/>
            </w:tcBorders>
          </w:tcPr>
          <w:p w:rsidR="00B40966" w:rsidRDefault="00B40966">
            <w:pPr>
              <w:pStyle w:val="TableText"/>
              <w:rPr>
                <w:sz w:val="16"/>
              </w:rPr>
            </w:pPr>
            <w:r>
              <w:rPr>
                <w:sz w:val="16"/>
              </w:rPr>
              <w:t>.358</w:t>
            </w:r>
          </w:p>
        </w:tc>
        <w:tc>
          <w:tcPr>
            <w:tcW w:w="720" w:type="dxa"/>
            <w:tcBorders>
              <w:left w:val="single" w:sz="6" w:space="0" w:color="auto"/>
              <w:right w:val="single" w:sz="6" w:space="0" w:color="auto"/>
            </w:tcBorders>
          </w:tcPr>
          <w:p w:rsidR="00B40966" w:rsidRDefault="00B40966">
            <w:pPr>
              <w:pStyle w:val="TableText"/>
              <w:rPr>
                <w:sz w:val="16"/>
              </w:rPr>
            </w:pPr>
            <w:r>
              <w:rPr>
                <w:sz w:val="16"/>
              </w:rPr>
              <w:t>.437</w:t>
            </w:r>
          </w:p>
        </w:tc>
        <w:tc>
          <w:tcPr>
            <w:tcW w:w="540" w:type="dxa"/>
            <w:tcBorders>
              <w:left w:val="single" w:sz="6" w:space="0" w:color="auto"/>
              <w:right w:val="single" w:sz="6" w:space="0" w:color="auto"/>
            </w:tcBorders>
          </w:tcPr>
          <w:p w:rsidR="00B40966" w:rsidRDefault="00B40966">
            <w:pPr>
              <w:pStyle w:val="TableText"/>
              <w:rPr>
                <w:sz w:val="16"/>
              </w:rPr>
            </w:pPr>
            <w:r>
              <w:rPr>
                <w:sz w:val="16"/>
              </w:rPr>
              <w:t>.425</w:t>
            </w:r>
          </w:p>
        </w:tc>
        <w:tc>
          <w:tcPr>
            <w:tcW w:w="600" w:type="dxa"/>
            <w:tcBorders>
              <w:left w:val="single" w:sz="6" w:space="0" w:color="auto"/>
              <w:right w:val="single" w:sz="6" w:space="0" w:color="auto"/>
            </w:tcBorders>
          </w:tcPr>
          <w:p w:rsidR="00B40966" w:rsidRDefault="00B40966">
            <w:pPr>
              <w:pStyle w:val="TableText"/>
              <w:rPr>
                <w:sz w:val="16"/>
              </w:rPr>
            </w:pPr>
            <w:r>
              <w:rPr>
                <w:sz w:val="16"/>
              </w:rPr>
              <w:t>.468</w:t>
            </w:r>
          </w:p>
        </w:tc>
        <w:tc>
          <w:tcPr>
            <w:tcW w:w="600" w:type="dxa"/>
            <w:tcBorders>
              <w:left w:val="single" w:sz="6" w:space="0" w:color="auto"/>
              <w:right w:val="single" w:sz="6" w:space="0" w:color="auto"/>
            </w:tcBorders>
          </w:tcPr>
          <w:p w:rsidR="00B40966" w:rsidRDefault="00B40966">
            <w:pPr>
              <w:pStyle w:val="TableText"/>
              <w:rPr>
                <w:sz w:val="16"/>
              </w:rPr>
            </w:pPr>
            <w:r>
              <w:rPr>
                <w:sz w:val="16"/>
              </w:rPr>
              <w:t>.449</w:t>
            </w:r>
          </w:p>
        </w:tc>
        <w:tc>
          <w:tcPr>
            <w:tcW w:w="600" w:type="dxa"/>
            <w:tcBorders>
              <w:left w:val="single" w:sz="6" w:space="0" w:color="auto"/>
              <w:right w:val="single" w:sz="6" w:space="0" w:color="auto"/>
            </w:tcBorders>
          </w:tcPr>
          <w:p w:rsidR="00B40966" w:rsidRDefault="00B40966">
            <w:pPr>
              <w:pStyle w:val="TableText"/>
              <w:rPr>
                <w:sz w:val="16"/>
              </w:rPr>
            </w:pPr>
            <w:r>
              <w:rPr>
                <w:sz w:val="16"/>
              </w:rPr>
              <w:t>.452</w:t>
            </w:r>
          </w:p>
        </w:tc>
        <w:tc>
          <w:tcPr>
            <w:tcW w:w="600" w:type="dxa"/>
            <w:tcBorders>
              <w:left w:val="single" w:sz="6" w:space="0" w:color="auto"/>
              <w:right w:val="single" w:sz="6" w:space="0" w:color="auto"/>
            </w:tcBorders>
          </w:tcPr>
          <w:p w:rsidR="00B40966" w:rsidRDefault="00B40966">
            <w:pPr>
              <w:pStyle w:val="TableText"/>
              <w:rPr>
                <w:sz w:val="16"/>
              </w:rPr>
            </w:pPr>
            <w:r>
              <w:rPr>
                <w:sz w:val="16"/>
              </w:rPr>
              <w:t>.433</w:t>
            </w:r>
          </w:p>
        </w:tc>
        <w:tc>
          <w:tcPr>
            <w:tcW w:w="600" w:type="dxa"/>
            <w:tcBorders>
              <w:left w:val="single" w:sz="6" w:space="0" w:color="auto"/>
              <w:right w:val="single" w:sz="6" w:space="0" w:color="auto"/>
            </w:tcBorders>
          </w:tcPr>
          <w:p w:rsidR="00B40966" w:rsidRDefault="00B40966">
            <w:pPr>
              <w:pStyle w:val="TableText"/>
              <w:rPr>
                <w:sz w:val="16"/>
              </w:rPr>
            </w:pPr>
            <w:r>
              <w:rPr>
                <w:sz w:val="16"/>
              </w:rPr>
              <w:t>.427</w:t>
            </w:r>
          </w:p>
        </w:tc>
        <w:tc>
          <w:tcPr>
            <w:tcW w:w="600" w:type="dxa"/>
            <w:tcBorders>
              <w:left w:val="single" w:sz="6" w:space="0" w:color="auto"/>
              <w:right w:val="single" w:sz="6" w:space="0" w:color="auto"/>
            </w:tcBorders>
          </w:tcPr>
          <w:p w:rsidR="00B40966" w:rsidRDefault="00B40966">
            <w:pPr>
              <w:pStyle w:val="TableText"/>
              <w:rPr>
                <w:sz w:val="16"/>
              </w:rPr>
            </w:pPr>
            <w:r>
              <w:rPr>
                <w:sz w:val="16"/>
              </w:rPr>
              <w:t>.415</w:t>
            </w:r>
          </w:p>
        </w:tc>
        <w:tc>
          <w:tcPr>
            <w:tcW w:w="600" w:type="dxa"/>
          </w:tcPr>
          <w:p w:rsidR="00B40966" w:rsidRDefault="00B40966">
            <w:pPr>
              <w:pStyle w:val="TableText"/>
              <w:rPr>
                <w:sz w:val="16"/>
              </w:rPr>
            </w:pPr>
            <w:r>
              <w:rPr>
                <w:sz w:val="16"/>
              </w:rPr>
              <w:t>.402</w:t>
            </w:r>
          </w:p>
        </w:tc>
      </w:tr>
      <w:tr w:rsidR="00B40966">
        <w:trPr>
          <w:cantSplit/>
        </w:trPr>
        <w:tc>
          <w:tcPr>
            <w:tcW w:w="560" w:type="dxa"/>
            <w:tcBorders>
              <w:top w:val="single" w:sz="6" w:space="0" w:color="auto"/>
            </w:tcBorders>
          </w:tcPr>
          <w:p w:rsidR="00B40966" w:rsidRDefault="00B40966">
            <w:pPr>
              <w:pStyle w:val="TableText"/>
              <w:rPr>
                <w:sz w:val="16"/>
              </w:rPr>
            </w:pPr>
            <w:r>
              <w:rPr>
                <w:sz w:val="16"/>
              </w:rPr>
              <w:t>32</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.322</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.364</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.443</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.430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.471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.458</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.440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.431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.419</w:t>
            </w:r>
          </w:p>
        </w:tc>
        <w:tc>
          <w:tcPr>
            <w:tcW w:w="600" w:type="dxa"/>
            <w:tcBorders>
              <w:top w:val="single" w:sz="6" w:space="0" w:color="auto"/>
            </w:tcBorders>
          </w:tcPr>
          <w:p w:rsidR="00B40966" w:rsidRDefault="00B40966">
            <w:pPr>
              <w:pStyle w:val="TableText"/>
              <w:rPr>
                <w:sz w:val="16"/>
              </w:rPr>
            </w:pPr>
            <w:r>
              <w:rPr>
                <w:sz w:val="16"/>
              </w:rPr>
              <w:t>.408</w:t>
            </w:r>
          </w:p>
        </w:tc>
      </w:tr>
      <w:tr w:rsidR="00B40966">
        <w:trPr>
          <w:cantSplit/>
        </w:trPr>
        <w:tc>
          <w:tcPr>
            <w:tcW w:w="560" w:type="dxa"/>
          </w:tcPr>
          <w:p w:rsidR="00B40966" w:rsidRDefault="00B40966">
            <w:pPr>
              <w:pStyle w:val="TableText"/>
              <w:rPr>
                <w:sz w:val="16"/>
              </w:rPr>
            </w:pPr>
            <w:r>
              <w:rPr>
                <w:sz w:val="16"/>
              </w:rPr>
              <w:t>33</w:t>
            </w:r>
          </w:p>
        </w:tc>
        <w:tc>
          <w:tcPr>
            <w:tcW w:w="800" w:type="dxa"/>
            <w:tcBorders>
              <w:left w:val="single" w:sz="6" w:space="0" w:color="auto"/>
              <w:right w:val="single" w:sz="6" w:space="0" w:color="auto"/>
            </w:tcBorders>
          </w:tcPr>
          <w:p w:rsidR="00B40966" w:rsidRDefault="00B40966">
            <w:pPr>
              <w:pStyle w:val="TableText"/>
              <w:rPr>
                <w:sz w:val="16"/>
              </w:rPr>
            </w:pPr>
            <w:r>
              <w:rPr>
                <w:sz w:val="16"/>
              </w:rPr>
              <w:t>.324</w:t>
            </w:r>
          </w:p>
        </w:tc>
        <w:tc>
          <w:tcPr>
            <w:tcW w:w="700" w:type="dxa"/>
            <w:tcBorders>
              <w:left w:val="single" w:sz="6" w:space="0" w:color="auto"/>
              <w:right w:val="single" w:sz="6" w:space="0" w:color="auto"/>
            </w:tcBorders>
          </w:tcPr>
          <w:p w:rsidR="00B40966" w:rsidRDefault="00B40966">
            <w:pPr>
              <w:pStyle w:val="TableText"/>
              <w:rPr>
                <w:sz w:val="16"/>
              </w:rPr>
            </w:pPr>
            <w:r>
              <w:rPr>
                <w:sz w:val="16"/>
              </w:rPr>
              <w:t>.367</w:t>
            </w:r>
          </w:p>
        </w:tc>
        <w:tc>
          <w:tcPr>
            <w:tcW w:w="720" w:type="dxa"/>
            <w:tcBorders>
              <w:left w:val="single" w:sz="6" w:space="0" w:color="auto"/>
              <w:right w:val="single" w:sz="6" w:space="0" w:color="auto"/>
            </w:tcBorders>
          </w:tcPr>
          <w:p w:rsidR="00B40966" w:rsidRDefault="00B40966">
            <w:pPr>
              <w:pStyle w:val="TableText"/>
              <w:rPr>
                <w:sz w:val="16"/>
              </w:rPr>
            </w:pPr>
            <w:r>
              <w:rPr>
                <w:sz w:val="16"/>
              </w:rPr>
              <w:t>.445</w:t>
            </w:r>
          </w:p>
        </w:tc>
        <w:tc>
          <w:tcPr>
            <w:tcW w:w="540" w:type="dxa"/>
            <w:tcBorders>
              <w:left w:val="single" w:sz="6" w:space="0" w:color="auto"/>
              <w:right w:val="single" w:sz="6" w:space="0" w:color="auto"/>
            </w:tcBorders>
          </w:tcPr>
          <w:p w:rsidR="00B40966" w:rsidRDefault="00B40966">
            <w:pPr>
              <w:pStyle w:val="TableText"/>
              <w:rPr>
                <w:sz w:val="16"/>
              </w:rPr>
            </w:pPr>
            <w:r>
              <w:rPr>
                <w:sz w:val="16"/>
              </w:rPr>
              <w:t>.432</w:t>
            </w:r>
          </w:p>
        </w:tc>
        <w:tc>
          <w:tcPr>
            <w:tcW w:w="600" w:type="dxa"/>
            <w:tcBorders>
              <w:left w:val="single" w:sz="6" w:space="0" w:color="auto"/>
              <w:right w:val="single" w:sz="6" w:space="0" w:color="auto"/>
            </w:tcBorders>
          </w:tcPr>
          <w:p w:rsidR="00B40966" w:rsidRDefault="00B40966">
            <w:pPr>
              <w:pStyle w:val="TableText"/>
              <w:rPr>
                <w:sz w:val="16"/>
              </w:rPr>
            </w:pPr>
            <w:r>
              <w:rPr>
                <w:sz w:val="16"/>
              </w:rPr>
              <w:t>.474</w:t>
            </w:r>
          </w:p>
        </w:tc>
        <w:tc>
          <w:tcPr>
            <w:tcW w:w="600" w:type="dxa"/>
            <w:tcBorders>
              <w:left w:val="single" w:sz="6" w:space="0" w:color="auto"/>
              <w:right w:val="single" w:sz="6" w:space="0" w:color="auto"/>
            </w:tcBorders>
          </w:tcPr>
          <w:p w:rsidR="00B40966" w:rsidRDefault="00B40966">
            <w:pPr>
              <w:pStyle w:val="TableText"/>
              <w:rPr>
                <w:sz w:val="16"/>
              </w:rPr>
            </w:pPr>
            <w:r>
              <w:rPr>
                <w:sz w:val="16"/>
              </w:rPr>
              <w:t>.458</w:t>
            </w:r>
          </w:p>
        </w:tc>
        <w:tc>
          <w:tcPr>
            <w:tcW w:w="600" w:type="dxa"/>
            <w:tcBorders>
              <w:left w:val="single" w:sz="6" w:space="0" w:color="auto"/>
              <w:right w:val="single" w:sz="6" w:space="0" w:color="auto"/>
            </w:tcBorders>
          </w:tcPr>
          <w:p w:rsidR="00B40966" w:rsidRDefault="00B40966">
            <w:pPr>
              <w:pStyle w:val="TableText"/>
              <w:rPr>
                <w:sz w:val="16"/>
              </w:rPr>
            </w:pPr>
            <w:r>
              <w:rPr>
                <w:sz w:val="16"/>
              </w:rPr>
              <w:t>.460</w:t>
            </w:r>
          </w:p>
        </w:tc>
        <w:tc>
          <w:tcPr>
            <w:tcW w:w="600" w:type="dxa"/>
            <w:tcBorders>
              <w:left w:val="single" w:sz="6" w:space="0" w:color="auto"/>
              <w:right w:val="single" w:sz="6" w:space="0" w:color="auto"/>
            </w:tcBorders>
          </w:tcPr>
          <w:p w:rsidR="00B40966" w:rsidRDefault="00B40966">
            <w:pPr>
              <w:pStyle w:val="TableText"/>
              <w:rPr>
                <w:sz w:val="16"/>
              </w:rPr>
            </w:pPr>
            <w:r>
              <w:rPr>
                <w:sz w:val="16"/>
              </w:rPr>
              <w:t>.443</w:t>
            </w:r>
          </w:p>
        </w:tc>
        <w:tc>
          <w:tcPr>
            <w:tcW w:w="600" w:type="dxa"/>
            <w:tcBorders>
              <w:left w:val="single" w:sz="6" w:space="0" w:color="auto"/>
              <w:right w:val="single" w:sz="6" w:space="0" w:color="auto"/>
            </w:tcBorders>
          </w:tcPr>
          <w:p w:rsidR="00B40966" w:rsidRDefault="00B40966">
            <w:pPr>
              <w:pStyle w:val="TableText"/>
              <w:rPr>
                <w:sz w:val="16"/>
              </w:rPr>
            </w:pPr>
            <w:r>
              <w:rPr>
                <w:sz w:val="16"/>
              </w:rPr>
              <w:t>.432</w:t>
            </w:r>
          </w:p>
        </w:tc>
        <w:tc>
          <w:tcPr>
            <w:tcW w:w="600" w:type="dxa"/>
            <w:tcBorders>
              <w:left w:val="single" w:sz="6" w:space="0" w:color="auto"/>
              <w:right w:val="single" w:sz="6" w:space="0" w:color="auto"/>
            </w:tcBorders>
          </w:tcPr>
          <w:p w:rsidR="00B40966" w:rsidRDefault="00B40966">
            <w:pPr>
              <w:pStyle w:val="TableText"/>
              <w:rPr>
                <w:sz w:val="16"/>
              </w:rPr>
            </w:pPr>
            <w:r>
              <w:rPr>
                <w:sz w:val="16"/>
              </w:rPr>
              <w:t>.422</w:t>
            </w:r>
          </w:p>
        </w:tc>
        <w:tc>
          <w:tcPr>
            <w:tcW w:w="600" w:type="dxa"/>
          </w:tcPr>
          <w:p w:rsidR="00B40966" w:rsidRDefault="00B40966">
            <w:pPr>
              <w:pStyle w:val="TableText"/>
              <w:rPr>
                <w:sz w:val="16"/>
              </w:rPr>
            </w:pPr>
            <w:r>
              <w:rPr>
                <w:sz w:val="16"/>
              </w:rPr>
              <w:t>.411</w:t>
            </w:r>
          </w:p>
        </w:tc>
      </w:tr>
      <w:tr w:rsidR="00B40966">
        <w:trPr>
          <w:cantSplit/>
        </w:trPr>
        <w:tc>
          <w:tcPr>
            <w:tcW w:w="560" w:type="dxa"/>
            <w:tcBorders>
              <w:bottom w:val="single" w:sz="6" w:space="0" w:color="auto"/>
            </w:tcBorders>
          </w:tcPr>
          <w:p w:rsidR="00B40966" w:rsidRDefault="00B40966">
            <w:pPr>
              <w:pStyle w:val="TableText"/>
              <w:rPr>
                <w:sz w:val="16"/>
              </w:rPr>
            </w:pPr>
            <w:r>
              <w:rPr>
                <w:sz w:val="16"/>
              </w:rPr>
              <w:t>35</w:t>
            </w:r>
          </w:p>
        </w:tc>
        <w:tc>
          <w:tcPr>
            <w:tcW w:w="8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.327</w:t>
            </w:r>
          </w:p>
        </w:tc>
        <w:tc>
          <w:tcPr>
            <w:tcW w:w="7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.373</w:t>
            </w:r>
          </w:p>
        </w:tc>
        <w:tc>
          <w:tcPr>
            <w:tcW w:w="72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.449</w:t>
            </w:r>
          </w:p>
        </w:tc>
        <w:tc>
          <w:tcPr>
            <w:tcW w:w="54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.436</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.480</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.463</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.465</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.449</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.438</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.427</w:t>
            </w:r>
          </w:p>
        </w:tc>
        <w:tc>
          <w:tcPr>
            <w:tcW w:w="600" w:type="dxa"/>
            <w:tcBorders>
              <w:bottom w:val="single" w:sz="6" w:space="0" w:color="auto"/>
            </w:tcBorders>
          </w:tcPr>
          <w:p w:rsidR="00B40966" w:rsidRDefault="00B40966">
            <w:pPr>
              <w:pStyle w:val="TableText"/>
              <w:rPr>
                <w:sz w:val="16"/>
              </w:rPr>
            </w:pPr>
            <w:r>
              <w:rPr>
                <w:sz w:val="16"/>
              </w:rPr>
              <w:t>.415</w:t>
            </w:r>
          </w:p>
        </w:tc>
      </w:tr>
      <w:tr w:rsidR="00B40966">
        <w:trPr>
          <w:cantSplit/>
        </w:trPr>
        <w:tc>
          <w:tcPr>
            <w:tcW w:w="560" w:type="dxa"/>
          </w:tcPr>
          <w:p w:rsidR="00B40966" w:rsidRDefault="00B40966">
            <w:pPr>
              <w:pStyle w:val="TableText"/>
              <w:rPr>
                <w:sz w:val="16"/>
              </w:rPr>
            </w:pPr>
            <w:r>
              <w:rPr>
                <w:sz w:val="16"/>
              </w:rPr>
              <w:t>37</w:t>
            </w:r>
          </w:p>
        </w:tc>
        <w:tc>
          <w:tcPr>
            <w:tcW w:w="800" w:type="dxa"/>
            <w:tcBorders>
              <w:left w:val="single" w:sz="6" w:space="0" w:color="auto"/>
              <w:right w:val="single" w:sz="6" w:space="0" w:color="auto"/>
            </w:tcBorders>
          </w:tcPr>
          <w:p w:rsidR="00B40966" w:rsidRDefault="00B40966">
            <w:pPr>
              <w:pStyle w:val="TableText"/>
              <w:rPr>
                <w:sz w:val="16"/>
              </w:rPr>
            </w:pPr>
            <w:r>
              <w:rPr>
                <w:sz w:val="16"/>
              </w:rPr>
              <w:t>.330</w:t>
            </w:r>
          </w:p>
        </w:tc>
        <w:tc>
          <w:tcPr>
            <w:tcW w:w="700" w:type="dxa"/>
            <w:tcBorders>
              <w:left w:val="single" w:sz="6" w:space="0" w:color="auto"/>
              <w:right w:val="single" w:sz="6" w:space="0" w:color="auto"/>
            </w:tcBorders>
          </w:tcPr>
          <w:p w:rsidR="00B40966" w:rsidRDefault="00B40966">
            <w:pPr>
              <w:pStyle w:val="TableText"/>
              <w:rPr>
                <w:sz w:val="16"/>
              </w:rPr>
            </w:pPr>
            <w:r>
              <w:rPr>
                <w:sz w:val="16"/>
              </w:rPr>
              <w:t>.380</w:t>
            </w:r>
          </w:p>
        </w:tc>
        <w:tc>
          <w:tcPr>
            <w:tcW w:w="720" w:type="dxa"/>
            <w:tcBorders>
              <w:left w:val="single" w:sz="6" w:space="0" w:color="auto"/>
              <w:right w:val="single" w:sz="6" w:space="0" w:color="auto"/>
            </w:tcBorders>
          </w:tcPr>
          <w:p w:rsidR="00B40966" w:rsidRDefault="00B40966">
            <w:pPr>
              <w:pStyle w:val="TableText"/>
              <w:rPr>
                <w:sz w:val="16"/>
              </w:rPr>
            </w:pPr>
            <w:r>
              <w:rPr>
                <w:sz w:val="16"/>
              </w:rPr>
              <w:t>.454</w:t>
            </w:r>
          </w:p>
        </w:tc>
        <w:tc>
          <w:tcPr>
            <w:tcW w:w="540" w:type="dxa"/>
            <w:tcBorders>
              <w:left w:val="single" w:sz="6" w:space="0" w:color="auto"/>
              <w:right w:val="single" w:sz="6" w:space="0" w:color="auto"/>
            </w:tcBorders>
          </w:tcPr>
          <w:p w:rsidR="00B40966" w:rsidRDefault="00B40966">
            <w:pPr>
              <w:pStyle w:val="TableText"/>
              <w:rPr>
                <w:sz w:val="16"/>
              </w:rPr>
            </w:pPr>
            <w:r>
              <w:rPr>
                <w:sz w:val="16"/>
              </w:rPr>
              <w:t>.440</w:t>
            </w:r>
          </w:p>
        </w:tc>
        <w:tc>
          <w:tcPr>
            <w:tcW w:w="600" w:type="dxa"/>
            <w:tcBorders>
              <w:left w:val="single" w:sz="6" w:space="0" w:color="auto"/>
              <w:right w:val="single" w:sz="6" w:space="0" w:color="auto"/>
            </w:tcBorders>
          </w:tcPr>
          <w:p w:rsidR="00B40966" w:rsidRDefault="00B40966">
            <w:pPr>
              <w:pStyle w:val="TableText"/>
              <w:rPr>
                <w:sz w:val="16"/>
              </w:rPr>
            </w:pPr>
            <w:r>
              <w:rPr>
                <w:sz w:val="16"/>
              </w:rPr>
              <w:t>.484</w:t>
            </w:r>
          </w:p>
        </w:tc>
        <w:tc>
          <w:tcPr>
            <w:tcW w:w="600" w:type="dxa"/>
            <w:tcBorders>
              <w:left w:val="single" w:sz="6" w:space="0" w:color="auto"/>
              <w:right w:val="single" w:sz="6" w:space="0" w:color="auto"/>
            </w:tcBorders>
          </w:tcPr>
          <w:p w:rsidR="00B40966" w:rsidRDefault="00B40966">
            <w:pPr>
              <w:pStyle w:val="TableText"/>
              <w:rPr>
                <w:sz w:val="16"/>
              </w:rPr>
            </w:pPr>
            <w:r>
              <w:rPr>
                <w:sz w:val="16"/>
              </w:rPr>
              <w:t>.468</w:t>
            </w:r>
          </w:p>
        </w:tc>
        <w:tc>
          <w:tcPr>
            <w:tcW w:w="600" w:type="dxa"/>
            <w:tcBorders>
              <w:left w:val="single" w:sz="6" w:space="0" w:color="auto"/>
              <w:right w:val="single" w:sz="6" w:space="0" w:color="auto"/>
            </w:tcBorders>
          </w:tcPr>
          <w:p w:rsidR="00B40966" w:rsidRDefault="00B40966">
            <w:pPr>
              <w:pStyle w:val="TableText"/>
              <w:rPr>
                <w:sz w:val="16"/>
              </w:rPr>
            </w:pPr>
            <w:r>
              <w:rPr>
                <w:sz w:val="16"/>
              </w:rPr>
              <w:t>.468</w:t>
            </w:r>
          </w:p>
        </w:tc>
        <w:tc>
          <w:tcPr>
            <w:tcW w:w="600" w:type="dxa"/>
            <w:tcBorders>
              <w:left w:val="single" w:sz="6" w:space="0" w:color="auto"/>
              <w:right w:val="single" w:sz="6" w:space="0" w:color="auto"/>
            </w:tcBorders>
          </w:tcPr>
          <w:p w:rsidR="00B40966" w:rsidRDefault="00B40966">
            <w:pPr>
              <w:pStyle w:val="TableText"/>
              <w:rPr>
                <w:sz w:val="16"/>
              </w:rPr>
            </w:pPr>
            <w:r>
              <w:rPr>
                <w:sz w:val="16"/>
              </w:rPr>
              <w:t>.453</w:t>
            </w:r>
          </w:p>
        </w:tc>
        <w:tc>
          <w:tcPr>
            <w:tcW w:w="600" w:type="dxa"/>
            <w:tcBorders>
              <w:left w:val="single" w:sz="6" w:space="0" w:color="auto"/>
              <w:right w:val="single" w:sz="6" w:space="0" w:color="auto"/>
            </w:tcBorders>
          </w:tcPr>
          <w:p w:rsidR="00B40966" w:rsidRDefault="00B40966">
            <w:pPr>
              <w:pStyle w:val="TableText"/>
              <w:rPr>
                <w:sz w:val="16"/>
              </w:rPr>
            </w:pPr>
            <w:r>
              <w:rPr>
                <w:sz w:val="16"/>
              </w:rPr>
              <w:t>.442</w:t>
            </w:r>
          </w:p>
        </w:tc>
        <w:tc>
          <w:tcPr>
            <w:tcW w:w="600" w:type="dxa"/>
            <w:tcBorders>
              <w:left w:val="single" w:sz="6" w:space="0" w:color="auto"/>
              <w:right w:val="single" w:sz="6" w:space="0" w:color="auto"/>
            </w:tcBorders>
          </w:tcPr>
          <w:p w:rsidR="00B40966" w:rsidRDefault="00B40966">
            <w:pPr>
              <w:pStyle w:val="TableText"/>
              <w:rPr>
                <w:sz w:val="16"/>
              </w:rPr>
            </w:pPr>
            <w:r>
              <w:rPr>
                <w:sz w:val="16"/>
              </w:rPr>
              <w:t>.433</w:t>
            </w:r>
          </w:p>
        </w:tc>
        <w:tc>
          <w:tcPr>
            <w:tcW w:w="600" w:type="dxa"/>
          </w:tcPr>
          <w:p w:rsidR="00B40966" w:rsidRDefault="00B40966">
            <w:pPr>
              <w:pStyle w:val="TableText"/>
              <w:rPr>
                <w:sz w:val="16"/>
              </w:rPr>
            </w:pPr>
            <w:r>
              <w:rPr>
                <w:sz w:val="16"/>
              </w:rPr>
              <w:t>.419</w:t>
            </w:r>
          </w:p>
        </w:tc>
      </w:tr>
      <w:tr w:rsidR="00B40966">
        <w:trPr>
          <w:cantSplit/>
        </w:trPr>
        <w:tc>
          <w:tcPr>
            <w:tcW w:w="560" w:type="dxa"/>
          </w:tcPr>
          <w:p w:rsidR="00B40966" w:rsidRDefault="00B40966">
            <w:pPr>
              <w:pStyle w:val="TableText"/>
              <w:rPr>
                <w:sz w:val="16"/>
              </w:rPr>
            </w:pPr>
            <w:r>
              <w:rPr>
                <w:sz w:val="16"/>
              </w:rPr>
              <w:t>39</w:t>
            </w:r>
          </w:p>
        </w:tc>
        <w:tc>
          <w:tcPr>
            <w:tcW w:w="800" w:type="dxa"/>
            <w:tcBorders>
              <w:left w:val="single" w:sz="6" w:space="0" w:color="auto"/>
              <w:right w:val="single" w:sz="6" w:space="0" w:color="auto"/>
            </w:tcBorders>
          </w:tcPr>
          <w:p w:rsidR="00B40966" w:rsidRDefault="00B40966">
            <w:pPr>
              <w:pStyle w:val="TableText"/>
              <w:rPr>
                <w:sz w:val="16"/>
              </w:rPr>
            </w:pPr>
            <w:r>
              <w:rPr>
                <w:sz w:val="16"/>
              </w:rPr>
              <w:t>.335</w:t>
            </w:r>
          </w:p>
        </w:tc>
        <w:tc>
          <w:tcPr>
            <w:tcW w:w="700" w:type="dxa"/>
            <w:tcBorders>
              <w:left w:val="single" w:sz="6" w:space="0" w:color="auto"/>
              <w:right w:val="single" w:sz="6" w:space="0" w:color="auto"/>
            </w:tcBorders>
          </w:tcPr>
          <w:p w:rsidR="00B40966" w:rsidRDefault="00B40966">
            <w:pPr>
              <w:pStyle w:val="TableText"/>
              <w:rPr>
                <w:sz w:val="16"/>
              </w:rPr>
            </w:pPr>
            <w:r>
              <w:rPr>
                <w:sz w:val="16"/>
              </w:rPr>
              <w:t>.386</w:t>
            </w:r>
          </w:p>
        </w:tc>
        <w:tc>
          <w:tcPr>
            <w:tcW w:w="720" w:type="dxa"/>
            <w:tcBorders>
              <w:left w:val="single" w:sz="6" w:space="0" w:color="auto"/>
              <w:right w:val="single" w:sz="6" w:space="0" w:color="auto"/>
            </w:tcBorders>
          </w:tcPr>
          <w:p w:rsidR="00B40966" w:rsidRDefault="00B40966">
            <w:pPr>
              <w:pStyle w:val="TableText"/>
              <w:rPr>
                <w:sz w:val="16"/>
              </w:rPr>
            </w:pPr>
            <w:r>
              <w:rPr>
                <w:sz w:val="16"/>
              </w:rPr>
              <w:t>.457</w:t>
            </w:r>
          </w:p>
        </w:tc>
        <w:tc>
          <w:tcPr>
            <w:tcW w:w="540" w:type="dxa"/>
            <w:tcBorders>
              <w:left w:val="single" w:sz="6" w:space="0" w:color="auto"/>
              <w:right w:val="single" w:sz="6" w:space="0" w:color="auto"/>
            </w:tcBorders>
          </w:tcPr>
          <w:p w:rsidR="00B40966" w:rsidRDefault="00B40966">
            <w:pPr>
              <w:pStyle w:val="TableText"/>
              <w:rPr>
                <w:sz w:val="16"/>
              </w:rPr>
            </w:pPr>
            <w:r>
              <w:rPr>
                <w:sz w:val="16"/>
              </w:rPr>
              <w:t>.443</w:t>
            </w:r>
          </w:p>
        </w:tc>
        <w:tc>
          <w:tcPr>
            <w:tcW w:w="600" w:type="dxa"/>
            <w:tcBorders>
              <w:left w:val="single" w:sz="6" w:space="0" w:color="auto"/>
              <w:right w:val="single" w:sz="6" w:space="0" w:color="auto"/>
            </w:tcBorders>
          </w:tcPr>
          <w:p w:rsidR="00B40966" w:rsidRDefault="00B40966">
            <w:pPr>
              <w:pStyle w:val="TableText"/>
              <w:rPr>
                <w:sz w:val="16"/>
              </w:rPr>
            </w:pPr>
            <w:r>
              <w:rPr>
                <w:sz w:val="16"/>
              </w:rPr>
              <w:t>.488</w:t>
            </w:r>
          </w:p>
        </w:tc>
        <w:tc>
          <w:tcPr>
            <w:tcW w:w="600" w:type="dxa"/>
            <w:tcBorders>
              <w:left w:val="single" w:sz="6" w:space="0" w:color="auto"/>
              <w:right w:val="single" w:sz="6" w:space="0" w:color="auto"/>
            </w:tcBorders>
          </w:tcPr>
          <w:p w:rsidR="00B40966" w:rsidRDefault="00B40966">
            <w:pPr>
              <w:pStyle w:val="TableText"/>
              <w:rPr>
                <w:sz w:val="16"/>
              </w:rPr>
            </w:pPr>
            <w:r>
              <w:rPr>
                <w:sz w:val="16"/>
              </w:rPr>
              <w:t>.471</w:t>
            </w:r>
          </w:p>
        </w:tc>
        <w:tc>
          <w:tcPr>
            <w:tcW w:w="600" w:type="dxa"/>
            <w:tcBorders>
              <w:left w:val="single" w:sz="6" w:space="0" w:color="auto"/>
              <w:right w:val="single" w:sz="6" w:space="0" w:color="auto"/>
            </w:tcBorders>
          </w:tcPr>
          <w:p w:rsidR="00B40966" w:rsidRDefault="00B40966">
            <w:pPr>
              <w:pStyle w:val="TableText"/>
              <w:rPr>
                <w:sz w:val="16"/>
              </w:rPr>
            </w:pPr>
            <w:r>
              <w:rPr>
                <w:sz w:val="16"/>
              </w:rPr>
              <w:t>.472</w:t>
            </w:r>
          </w:p>
        </w:tc>
        <w:tc>
          <w:tcPr>
            <w:tcW w:w="600" w:type="dxa"/>
            <w:tcBorders>
              <w:left w:val="single" w:sz="6" w:space="0" w:color="auto"/>
              <w:right w:val="single" w:sz="6" w:space="0" w:color="auto"/>
            </w:tcBorders>
          </w:tcPr>
          <w:p w:rsidR="00B40966" w:rsidRDefault="00B40966">
            <w:pPr>
              <w:pStyle w:val="TableText"/>
              <w:rPr>
                <w:sz w:val="16"/>
              </w:rPr>
            </w:pPr>
            <w:r>
              <w:rPr>
                <w:sz w:val="16"/>
              </w:rPr>
              <w:t>.456</w:t>
            </w:r>
          </w:p>
        </w:tc>
        <w:tc>
          <w:tcPr>
            <w:tcW w:w="600" w:type="dxa"/>
            <w:tcBorders>
              <w:left w:val="single" w:sz="6" w:space="0" w:color="auto"/>
              <w:right w:val="single" w:sz="6" w:space="0" w:color="auto"/>
            </w:tcBorders>
          </w:tcPr>
          <w:p w:rsidR="00B40966" w:rsidRDefault="00B40966">
            <w:pPr>
              <w:pStyle w:val="TableText"/>
              <w:rPr>
                <w:sz w:val="16"/>
              </w:rPr>
            </w:pPr>
            <w:r>
              <w:rPr>
                <w:sz w:val="16"/>
              </w:rPr>
              <w:t>.445</w:t>
            </w:r>
          </w:p>
        </w:tc>
        <w:tc>
          <w:tcPr>
            <w:tcW w:w="600" w:type="dxa"/>
            <w:tcBorders>
              <w:left w:val="single" w:sz="6" w:space="0" w:color="auto"/>
              <w:right w:val="single" w:sz="6" w:space="0" w:color="auto"/>
            </w:tcBorders>
          </w:tcPr>
          <w:p w:rsidR="00B40966" w:rsidRDefault="00B40966">
            <w:pPr>
              <w:pStyle w:val="TableText"/>
              <w:rPr>
                <w:sz w:val="16"/>
              </w:rPr>
            </w:pPr>
            <w:r>
              <w:rPr>
                <w:sz w:val="16"/>
              </w:rPr>
              <w:t>.438</w:t>
            </w:r>
          </w:p>
        </w:tc>
        <w:tc>
          <w:tcPr>
            <w:tcW w:w="600" w:type="dxa"/>
          </w:tcPr>
          <w:p w:rsidR="00B40966" w:rsidRDefault="00B40966">
            <w:pPr>
              <w:pStyle w:val="TableText"/>
              <w:rPr>
                <w:sz w:val="16"/>
              </w:rPr>
            </w:pPr>
            <w:r>
              <w:rPr>
                <w:sz w:val="16"/>
              </w:rPr>
              <w:t>.423</w:t>
            </w:r>
          </w:p>
        </w:tc>
      </w:tr>
      <w:tr w:rsidR="00B40966">
        <w:trPr>
          <w:cantSplit/>
        </w:trPr>
        <w:tc>
          <w:tcPr>
            <w:tcW w:w="560" w:type="dxa"/>
          </w:tcPr>
          <w:p w:rsidR="00B40966" w:rsidRDefault="00B40966">
            <w:pPr>
              <w:pStyle w:val="TableText"/>
              <w:rPr>
                <w:sz w:val="16"/>
              </w:rPr>
            </w:pPr>
            <w:r>
              <w:rPr>
                <w:sz w:val="16"/>
              </w:rPr>
              <w:t>40</w:t>
            </w:r>
          </w:p>
        </w:tc>
        <w:tc>
          <w:tcPr>
            <w:tcW w:w="800" w:type="dxa"/>
            <w:tcBorders>
              <w:left w:val="single" w:sz="6" w:space="0" w:color="auto"/>
              <w:right w:val="single" w:sz="6" w:space="0" w:color="auto"/>
            </w:tcBorders>
          </w:tcPr>
          <w:p w:rsidR="00B40966" w:rsidRDefault="00B40966">
            <w:pPr>
              <w:pStyle w:val="TableText"/>
              <w:rPr>
                <w:sz w:val="16"/>
              </w:rPr>
            </w:pPr>
            <w:r>
              <w:rPr>
                <w:sz w:val="16"/>
              </w:rPr>
              <w:t>.336</w:t>
            </w:r>
          </w:p>
        </w:tc>
        <w:tc>
          <w:tcPr>
            <w:tcW w:w="700" w:type="dxa"/>
            <w:tcBorders>
              <w:left w:val="single" w:sz="6" w:space="0" w:color="auto"/>
              <w:right w:val="single" w:sz="6" w:space="0" w:color="auto"/>
            </w:tcBorders>
          </w:tcPr>
          <w:p w:rsidR="00B40966" w:rsidRDefault="00B40966">
            <w:pPr>
              <w:pStyle w:val="TableText"/>
              <w:rPr>
                <w:sz w:val="16"/>
              </w:rPr>
            </w:pPr>
            <w:r>
              <w:rPr>
                <w:sz w:val="16"/>
              </w:rPr>
              <w:t>.389</w:t>
            </w:r>
          </w:p>
        </w:tc>
        <w:tc>
          <w:tcPr>
            <w:tcW w:w="720" w:type="dxa"/>
            <w:tcBorders>
              <w:left w:val="single" w:sz="6" w:space="0" w:color="auto"/>
              <w:right w:val="single" w:sz="6" w:space="0" w:color="auto"/>
            </w:tcBorders>
          </w:tcPr>
          <w:p w:rsidR="00B40966" w:rsidRDefault="00B40966">
            <w:pPr>
              <w:pStyle w:val="TableText"/>
              <w:rPr>
                <w:sz w:val="16"/>
              </w:rPr>
            </w:pPr>
            <w:r>
              <w:rPr>
                <w:sz w:val="16"/>
              </w:rPr>
              <w:t>.459</w:t>
            </w:r>
          </w:p>
        </w:tc>
        <w:tc>
          <w:tcPr>
            <w:tcW w:w="540" w:type="dxa"/>
            <w:tcBorders>
              <w:left w:val="single" w:sz="6" w:space="0" w:color="auto"/>
              <w:right w:val="single" w:sz="6" w:space="0" w:color="auto"/>
            </w:tcBorders>
          </w:tcPr>
          <w:p w:rsidR="00B40966" w:rsidRDefault="00B40966">
            <w:pPr>
              <w:pStyle w:val="TableText"/>
              <w:rPr>
                <w:sz w:val="16"/>
              </w:rPr>
            </w:pPr>
            <w:r>
              <w:rPr>
                <w:sz w:val="16"/>
              </w:rPr>
              <w:t>.446</w:t>
            </w:r>
          </w:p>
        </w:tc>
        <w:tc>
          <w:tcPr>
            <w:tcW w:w="600" w:type="dxa"/>
            <w:tcBorders>
              <w:left w:val="single" w:sz="6" w:space="0" w:color="auto"/>
              <w:right w:val="single" w:sz="6" w:space="0" w:color="auto"/>
            </w:tcBorders>
          </w:tcPr>
          <w:p w:rsidR="00B40966" w:rsidRDefault="00B40966">
            <w:pPr>
              <w:pStyle w:val="TableText"/>
              <w:rPr>
                <w:sz w:val="16"/>
              </w:rPr>
            </w:pPr>
            <w:r>
              <w:rPr>
                <w:sz w:val="16"/>
              </w:rPr>
              <w:t>.490</w:t>
            </w:r>
          </w:p>
        </w:tc>
        <w:tc>
          <w:tcPr>
            <w:tcW w:w="600" w:type="dxa"/>
            <w:tcBorders>
              <w:left w:val="single" w:sz="6" w:space="0" w:color="auto"/>
              <w:right w:val="single" w:sz="6" w:space="0" w:color="auto"/>
            </w:tcBorders>
          </w:tcPr>
          <w:p w:rsidR="00B40966" w:rsidRDefault="00B40966">
            <w:pPr>
              <w:pStyle w:val="TableText"/>
              <w:rPr>
                <w:sz w:val="16"/>
              </w:rPr>
            </w:pPr>
            <w:r>
              <w:rPr>
                <w:sz w:val="16"/>
              </w:rPr>
              <w:t>.475</w:t>
            </w:r>
          </w:p>
        </w:tc>
        <w:tc>
          <w:tcPr>
            <w:tcW w:w="600" w:type="dxa"/>
            <w:tcBorders>
              <w:left w:val="single" w:sz="6" w:space="0" w:color="auto"/>
              <w:right w:val="single" w:sz="6" w:space="0" w:color="auto"/>
            </w:tcBorders>
          </w:tcPr>
          <w:p w:rsidR="00B40966" w:rsidRDefault="00B40966">
            <w:pPr>
              <w:pStyle w:val="TableText"/>
              <w:rPr>
                <w:sz w:val="16"/>
              </w:rPr>
            </w:pPr>
            <w:r>
              <w:rPr>
                <w:sz w:val="16"/>
              </w:rPr>
              <w:t>.474</w:t>
            </w:r>
          </w:p>
        </w:tc>
        <w:tc>
          <w:tcPr>
            <w:tcW w:w="600" w:type="dxa"/>
            <w:tcBorders>
              <w:left w:val="single" w:sz="6" w:space="0" w:color="auto"/>
              <w:right w:val="single" w:sz="6" w:space="0" w:color="auto"/>
            </w:tcBorders>
          </w:tcPr>
          <w:p w:rsidR="00B40966" w:rsidRDefault="00B40966">
            <w:pPr>
              <w:pStyle w:val="TableText"/>
              <w:rPr>
                <w:sz w:val="16"/>
              </w:rPr>
            </w:pPr>
            <w:r>
              <w:rPr>
                <w:sz w:val="16"/>
              </w:rPr>
              <w:t>.458</w:t>
            </w:r>
          </w:p>
        </w:tc>
        <w:tc>
          <w:tcPr>
            <w:tcW w:w="600" w:type="dxa"/>
            <w:tcBorders>
              <w:left w:val="single" w:sz="6" w:space="0" w:color="auto"/>
              <w:right w:val="single" w:sz="6" w:space="0" w:color="auto"/>
            </w:tcBorders>
          </w:tcPr>
          <w:p w:rsidR="00B40966" w:rsidRDefault="00B40966">
            <w:pPr>
              <w:pStyle w:val="TableText"/>
              <w:rPr>
                <w:sz w:val="16"/>
              </w:rPr>
            </w:pPr>
            <w:r>
              <w:rPr>
                <w:sz w:val="16"/>
              </w:rPr>
              <w:t>.446</w:t>
            </w:r>
          </w:p>
        </w:tc>
        <w:tc>
          <w:tcPr>
            <w:tcW w:w="600" w:type="dxa"/>
            <w:tcBorders>
              <w:left w:val="single" w:sz="6" w:space="0" w:color="auto"/>
              <w:right w:val="single" w:sz="6" w:space="0" w:color="auto"/>
            </w:tcBorders>
          </w:tcPr>
          <w:p w:rsidR="00B40966" w:rsidRDefault="00B40966">
            <w:pPr>
              <w:pStyle w:val="TableText"/>
              <w:rPr>
                <w:sz w:val="16"/>
              </w:rPr>
            </w:pPr>
            <w:r>
              <w:rPr>
                <w:sz w:val="16"/>
              </w:rPr>
              <w:t>.440</w:t>
            </w:r>
          </w:p>
        </w:tc>
        <w:tc>
          <w:tcPr>
            <w:tcW w:w="600" w:type="dxa"/>
          </w:tcPr>
          <w:p w:rsidR="00B40966" w:rsidRDefault="00B40966">
            <w:pPr>
              <w:pStyle w:val="TableText"/>
              <w:rPr>
                <w:sz w:val="16"/>
              </w:rPr>
            </w:pPr>
            <w:r>
              <w:rPr>
                <w:sz w:val="16"/>
              </w:rPr>
              <w:t>.425</w:t>
            </w:r>
          </w:p>
        </w:tc>
      </w:tr>
      <w:tr w:rsidR="00B40966">
        <w:trPr>
          <w:cantSplit/>
        </w:trPr>
        <w:tc>
          <w:tcPr>
            <w:tcW w:w="560" w:type="dxa"/>
            <w:tcBorders>
              <w:top w:val="single" w:sz="6" w:space="0" w:color="auto"/>
            </w:tcBorders>
          </w:tcPr>
          <w:p w:rsidR="00B40966" w:rsidRDefault="00B40966">
            <w:pPr>
              <w:pStyle w:val="TableText"/>
              <w:rPr>
                <w:sz w:val="16"/>
              </w:rPr>
            </w:pPr>
            <w:r>
              <w:rPr>
                <w:sz w:val="16"/>
              </w:rPr>
              <w:t>45</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.340</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.399</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.468</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.500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.484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.464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.455</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.446</w:t>
            </w:r>
          </w:p>
        </w:tc>
        <w:tc>
          <w:tcPr>
            <w:tcW w:w="600" w:type="dxa"/>
            <w:tcBorders>
              <w:top w:val="single" w:sz="6" w:space="0" w:color="auto"/>
            </w:tcBorders>
          </w:tcPr>
          <w:p w:rsidR="00B40966" w:rsidRDefault="00B40966">
            <w:pPr>
              <w:pStyle w:val="TableText"/>
              <w:rPr>
                <w:sz w:val="16"/>
              </w:rPr>
            </w:pPr>
            <w:r>
              <w:rPr>
                <w:sz w:val="16"/>
              </w:rPr>
              <w:t>.433</w:t>
            </w:r>
          </w:p>
        </w:tc>
      </w:tr>
      <w:tr w:rsidR="00B40966">
        <w:trPr>
          <w:cantSplit/>
        </w:trPr>
        <w:tc>
          <w:tcPr>
            <w:tcW w:w="560" w:type="dxa"/>
          </w:tcPr>
          <w:p w:rsidR="00B40966" w:rsidRDefault="00B40966">
            <w:pPr>
              <w:pStyle w:val="TableText"/>
              <w:rPr>
                <w:sz w:val="16"/>
              </w:rPr>
            </w:pPr>
            <w:r>
              <w:rPr>
                <w:sz w:val="16"/>
              </w:rPr>
              <w:t>50</w:t>
            </w:r>
          </w:p>
        </w:tc>
        <w:tc>
          <w:tcPr>
            <w:tcW w:w="800" w:type="dxa"/>
            <w:tcBorders>
              <w:left w:val="single" w:sz="6" w:space="0" w:color="auto"/>
              <w:right w:val="single" w:sz="6" w:space="0" w:color="auto"/>
            </w:tcBorders>
          </w:tcPr>
          <w:p w:rsidR="00B40966" w:rsidRDefault="00B40966">
            <w:pPr>
              <w:pStyle w:val="TableText"/>
              <w:rPr>
                <w:sz w:val="16"/>
              </w:rPr>
            </w:pPr>
            <w:r>
              <w:rPr>
                <w:sz w:val="16"/>
              </w:rPr>
              <w:t>.346</w:t>
            </w:r>
          </w:p>
        </w:tc>
        <w:tc>
          <w:tcPr>
            <w:tcW w:w="700" w:type="dxa"/>
            <w:tcBorders>
              <w:left w:val="single" w:sz="6" w:space="0" w:color="auto"/>
              <w:right w:val="single" w:sz="6" w:space="0" w:color="auto"/>
            </w:tcBorders>
          </w:tcPr>
          <w:p w:rsidR="00B40966" w:rsidRDefault="00B40966">
            <w:pPr>
              <w:pStyle w:val="TableText"/>
              <w:rPr>
                <w:sz w:val="16"/>
              </w:rPr>
            </w:pPr>
            <w:r>
              <w:rPr>
                <w:sz w:val="16"/>
              </w:rPr>
              <w:t>.408</w:t>
            </w:r>
          </w:p>
        </w:tc>
        <w:tc>
          <w:tcPr>
            <w:tcW w:w="720" w:type="dxa"/>
            <w:tcBorders>
              <w:left w:val="single" w:sz="6" w:space="0" w:color="auto"/>
              <w:right w:val="single" w:sz="6" w:space="0" w:color="auto"/>
            </w:tcBorders>
          </w:tcPr>
          <w:p w:rsidR="00B40966" w:rsidRDefault="00B40966">
            <w:pPr>
              <w:pStyle w:val="TableText"/>
              <w:rPr>
                <w:sz w:val="16"/>
              </w:rPr>
            </w:pPr>
            <w:r>
              <w:rPr>
                <w:sz w:val="16"/>
              </w:rPr>
              <w:t>.474</w:t>
            </w:r>
          </w:p>
        </w:tc>
        <w:tc>
          <w:tcPr>
            <w:tcW w:w="540" w:type="dxa"/>
            <w:tcBorders>
              <w:left w:val="single" w:sz="6" w:space="0" w:color="auto"/>
              <w:right w:val="single" w:sz="6" w:space="0" w:color="auto"/>
            </w:tcBorders>
          </w:tcPr>
          <w:p w:rsidR="00B40966" w:rsidRDefault="00B40966">
            <w:pPr>
              <w:pStyle w:val="TableText"/>
              <w:rPr>
                <w:sz w:val="16"/>
              </w:rPr>
            </w:pPr>
            <w:r>
              <w:rPr>
                <w:sz w:val="16"/>
              </w:rPr>
              <w:t>.461</w:t>
            </w:r>
          </w:p>
        </w:tc>
        <w:tc>
          <w:tcPr>
            <w:tcW w:w="600" w:type="dxa"/>
            <w:tcBorders>
              <w:left w:val="single" w:sz="6" w:space="0" w:color="auto"/>
              <w:right w:val="single" w:sz="6" w:space="0" w:color="auto"/>
            </w:tcBorders>
          </w:tcPr>
          <w:p w:rsidR="00B40966" w:rsidRDefault="00B40966">
            <w:pPr>
              <w:pStyle w:val="TableText"/>
              <w:rPr>
                <w:sz w:val="16"/>
              </w:rPr>
            </w:pPr>
            <w:r>
              <w:rPr>
                <w:sz w:val="16"/>
              </w:rPr>
              <w:t>.506</w:t>
            </w:r>
          </w:p>
        </w:tc>
        <w:tc>
          <w:tcPr>
            <w:tcW w:w="600" w:type="dxa"/>
            <w:tcBorders>
              <w:left w:val="single" w:sz="6" w:space="0" w:color="auto"/>
              <w:right w:val="single" w:sz="6" w:space="0" w:color="auto"/>
            </w:tcBorders>
          </w:tcPr>
          <w:p w:rsidR="00B40966" w:rsidRDefault="00B40966">
            <w:pPr>
              <w:pStyle w:val="TableText"/>
              <w:rPr>
                <w:sz w:val="16"/>
              </w:rPr>
            </w:pPr>
            <w:r>
              <w:rPr>
                <w:sz w:val="16"/>
              </w:rPr>
              <w:t>.490</w:t>
            </w:r>
          </w:p>
        </w:tc>
        <w:tc>
          <w:tcPr>
            <w:tcW w:w="600" w:type="dxa"/>
            <w:tcBorders>
              <w:left w:val="single" w:sz="6" w:space="0" w:color="auto"/>
              <w:right w:val="single" w:sz="6" w:space="0" w:color="auto"/>
            </w:tcBorders>
          </w:tcPr>
          <w:p w:rsidR="00B40966" w:rsidRDefault="00B40966">
            <w:pPr>
              <w:pStyle w:val="TableText"/>
              <w:rPr>
                <w:sz w:val="16"/>
              </w:rPr>
            </w:pPr>
            <w:r>
              <w:rPr>
                <w:sz w:val="16"/>
              </w:rPr>
              <w:t>.490</w:t>
            </w:r>
          </w:p>
        </w:tc>
        <w:tc>
          <w:tcPr>
            <w:tcW w:w="600" w:type="dxa"/>
            <w:tcBorders>
              <w:left w:val="single" w:sz="6" w:space="0" w:color="auto"/>
              <w:right w:val="single" w:sz="6" w:space="0" w:color="auto"/>
            </w:tcBorders>
          </w:tcPr>
          <w:p w:rsidR="00B40966" w:rsidRDefault="00B40966">
            <w:pPr>
              <w:pStyle w:val="TableText"/>
              <w:rPr>
                <w:sz w:val="16"/>
              </w:rPr>
            </w:pPr>
            <w:r>
              <w:rPr>
                <w:sz w:val="16"/>
              </w:rPr>
              <w:t>.471</w:t>
            </w:r>
          </w:p>
        </w:tc>
        <w:tc>
          <w:tcPr>
            <w:tcW w:w="600" w:type="dxa"/>
            <w:tcBorders>
              <w:left w:val="single" w:sz="6" w:space="0" w:color="auto"/>
              <w:right w:val="single" w:sz="6" w:space="0" w:color="auto"/>
            </w:tcBorders>
          </w:tcPr>
          <w:p w:rsidR="00B40966" w:rsidRDefault="00B40966">
            <w:pPr>
              <w:pStyle w:val="TableText"/>
              <w:rPr>
                <w:sz w:val="16"/>
              </w:rPr>
            </w:pPr>
            <w:r>
              <w:rPr>
                <w:sz w:val="16"/>
              </w:rPr>
              <w:t>.461</w:t>
            </w:r>
          </w:p>
        </w:tc>
        <w:tc>
          <w:tcPr>
            <w:tcW w:w="600" w:type="dxa"/>
            <w:tcBorders>
              <w:left w:val="single" w:sz="6" w:space="0" w:color="auto"/>
              <w:right w:val="single" w:sz="6" w:space="0" w:color="auto"/>
            </w:tcBorders>
          </w:tcPr>
          <w:p w:rsidR="00B40966" w:rsidRDefault="00B40966">
            <w:pPr>
              <w:pStyle w:val="TableText"/>
              <w:rPr>
                <w:sz w:val="16"/>
              </w:rPr>
            </w:pPr>
            <w:r>
              <w:rPr>
                <w:sz w:val="16"/>
              </w:rPr>
              <w:t>.452</w:t>
            </w:r>
          </w:p>
        </w:tc>
        <w:tc>
          <w:tcPr>
            <w:tcW w:w="600" w:type="dxa"/>
          </w:tcPr>
          <w:p w:rsidR="00B40966" w:rsidRDefault="00B40966">
            <w:pPr>
              <w:pStyle w:val="TableText"/>
              <w:rPr>
                <w:sz w:val="16"/>
              </w:rPr>
            </w:pPr>
            <w:r>
              <w:rPr>
                <w:sz w:val="16"/>
              </w:rPr>
              <w:t>.439</w:t>
            </w:r>
          </w:p>
        </w:tc>
      </w:tr>
      <w:tr w:rsidR="00B40966">
        <w:trPr>
          <w:cantSplit/>
        </w:trPr>
        <w:tc>
          <w:tcPr>
            <w:tcW w:w="560" w:type="dxa"/>
          </w:tcPr>
          <w:p w:rsidR="00B40966" w:rsidRDefault="00B40966">
            <w:pPr>
              <w:pStyle w:val="TableText"/>
              <w:rPr>
                <w:sz w:val="16"/>
              </w:rPr>
            </w:pPr>
            <w:r>
              <w:rPr>
                <w:sz w:val="16"/>
              </w:rPr>
              <w:t>55</w:t>
            </w:r>
          </w:p>
        </w:tc>
        <w:tc>
          <w:tcPr>
            <w:tcW w:w="800" w:type="dxa"/>
            <w:tcBorders>
              <w:left w:val="single" w:sz="6" w:space="0" w:color="auto"/>
              <w:right w:val="single" w:sz="6" w:space="0" w:color="auto"/>
            </w:tcBorders>
          </w:tcPr>
          <w:p w:rsidR="00B40966" w:rsidRDefault="00B40966">
            <w:pPr>
              <w:pStyle w:val="TableText"/>
              <w:rPr>
                <w:sz w:val="16"/>
              </w:rPr>
            </w:pPr>
            <w:r>
              <w:rPr>
                <w:sz w:val="16"/>
              </w:rPr>
              <w:t>.352</w:t>
            </w:r>
          </w:p>
        </w:tc>
        <w:tc>
          <w:tcPr>
            <w:tcW w:w="700" w:type="dxa"/>
            <w:tcBorders>
              <w:left w:val="single" w:sz="6" w:space="0" w:color="auto"/>
              <w:right w:val="single" w:sz="6" w:space="0" w:color="auto"/>
            </w:tcBorders>
          </w:tcPr>
          <w:p w:rsidR="00B40966" w:rsidRDefault="00B40966">
            <w:pPr>
              <w:pStyle w:val="TableText"/>
              <w:rPr>
                <w:sz w:val="16"/>
              </w:rPr>
            </w:pPr>
            <w:r>
              <w:rPr>
                <w:sz w:val="16"/>
              </w:rPr>
              <w:t>.415</w:t>
            </w:r>
          </w:p>
        </w:tc>
        <w:tc>
          <w:tcPr>
            <w:tcW w:w="720" w:type="dxa"/>
            <w:tcBorders>
              <w:left w:val="single" w:sz="6" w:space="0" w:color="auto"/>
              <w:right w:val="single" w:sz="6" w:space="0" w:color="auto"/>
            </w:tcBorders>
          </w:tcPr>
          <w:p w:rsidR="00B40966" w:rsidRDefault="00B40966">
            <w:pPr>
              <w:pStyle w:val="TableText"/>
              <w:rPr>
                <w:sz w:val="16"/>
              </w:rPr>
            </w:pPr>
            <w:r>
              <w:rPr>
                <w:sz w:val="16"/>
              </w:rPr>
              <w:t>.480</w:t>
            </w:r>
          </w:p>
        </w:tc>
        <w:tc>
          <w:tcPr>
            <w:tcW w:w="540" w:type="dxa"/>
            <w:tcBorders>
              <w:left w:val="single" w:sz="6" w:space="0" w:color="auto"/>
              <w:right w:val="single" w:sz="6" w:space="0" w:color="auto"/>
            </w:tcBorders>
          </w:tcPr>
          <w:p w:rsidR="00B40966" w:rsidRDefault="00B40966">
            <w:pPr>
              <w:pStyle w:val="TableText"/>
              <w:rPr>
                <w:sz w:val="16"/>
              </w:rPr>
            </w:pPr>
            <w:r>
              <w:rPr>
                <w:sz w:val="16"/>
              </w:rPr>
              <w:t>.465</w:t>
            </w:r>
          </w:p>
        </w:tc>
        <w:tc>
          <w:tcPr>
            <w:tcW w:w="600" w:type="dxa"/>
            <w:tcBorders>
              <w:left w:val="single" w:sz="6" w:space="0" w:color="auto"/>
              <w:right w:val="single" w:sz="6" w:space="0" w:color="auto"/>
            </w:tcBorders>
          </w:tcPr>
          <w:p w:rsidR="00B40966" w:rsidRDefault="00B40966">
            <w:pPr>
              <w:pStyle w:val="TableText"/>
              <w:rPr>
                <w:sz w:val="16"/>
              </w:rPr>
            </w:pPr>
            <w:r>
              <w:rPr>
                <w:sz w:val="16"/>
              </w:rPr>
              <w:t>.510</w:t>
            </w:r>
          </w:p>
        </w:tc>
        <w:tc>
          <w:tcPr>
            <w:tcW w:w="600" w:type="dxa"/>
            <w:tcBorders>
              <w:left w:val="single" w:sz="6" w:space="0" w:color="auto"/>
              <w:right w:val="single" w:sz="6" w:space="0" w:color="auto"/>
            </w:tcBorders>
          </w:tcPr>
          <w:p w:rsidR="00B40966" w:rsidRDefault="00B40966">
            <w:pPr>
              <w:pStyle w:val="TableText"/>
              <w:rPr>
                <w:sz w:val="16"/>
              </w:rPr>
            </w:pPr>
            <w:r>
              <w:rPr>
                <w:sz w:val="16"/>
              </w:rPr>
              <w:t>.495</w:t>
            </w:r>
          </w:p>
        </w:tc>
        <w:tc>
          <w:tcPr>
            <w:tcW w:w="600" w:type="dxa"/>
            <w:tcBorders>
              <w:left w:val="single" w:sz="6" w:space="0" w:color="auto"/>
              <w:right w:val="single" w:sz="6" w:space="0" w:color="auto"/>
            </w:tcBorders>
          </w:tcPr>
          <w:p w:rsidR="00B40966" w:rsidRDefault="00B40966">
            <w:pPr>
              <w:pStyle w:val="TableText"/>
              <w:rPr>
                <w:sz w:val="16"/>
              </w:rPr>
            </w:pPr>
            <w:r>
              <w:rPr>
                <w:sz w:val="16"/>
              </w:rPr>
              <w:t>.496</w:t>
            </w:r>
          </w:p>
        </w:tc>
        <w:tc>
          <w:tcPr>
            <w:tcW w:w="600" w:type="dxa"/>
            <w:tcBorders>
              <w:left w:val="single" w:sz="6" w:space="0" w:color="auto"/>
              <w:right w:val="single" w:sz="6" w:space="0" w:color="auto"/>
            </w:tcBorders>
          </w:tcPr>
          <w:p w:rsidR="00B40966" w:rsidRDefault="00B40966">
            <w:pPr>
              <w:pStyle w:val="TableText"/>
              <w:rPr>
                <w:sz w:val="16"/>
              </w:rPr>
            </w:pPr>
            <w:r>
              <w:rPr>
                <w:sz w:val="16"/>
              </w:rPr>
              <w:t>.477</w:t>
            </w:r>
          </w:p>
        </w:tc>
        <w:tc>
          <w:tcPr>
            <w:tcW w:w="600" w:type="dxa"/>
            <w:tcBorders>
              <w:left w:val="single" w:sz="6" w:space="0" w:color="auto"/>
              <w:right w:val="single" w:sz="6" w:space="0" w:color="auto"/>
            </w:tcBorders>
          </w:tcPr>
          <w:p w:rsidR="00B40966" w:rsidRDefault="00B40966">
            <w:pPr>
              <w:pStyle w:val="TableText"/>
              <w:rPr>
                <w:sz w:val="16"/>
              </w:rPr>
            </w:pPr>
            <w:r>
              <w:rPr>
                <w:sz w:val="16"/>
              </w:rPr>
              <w:t>.467</w:t>
            </w:r>
          </w:p>
        </w:tc>
        <w:tc>
          <w:tcPr>
            <w:tcW w:w="600" w:type="dxa"/>
            <w:tcBorders>
              <w:left w:val="single" w:sz="6" w:space="0" w:color="auto"/>
              <w:right w:val="single" w:sz="6" w:space="0" w:color="auto"/>
            </w:tcBorders>
          </w:tcPr>
          <w:p w:rsidR="00B40966" w:rsidRDefault="00B40966">
            <w:pPr>
              <w:pStyle w:val="TableText"/>
              <w:rPr>
                <w:sz w:val="16"/>
              </w:rPr>
            </w:pPr>
            <w:r>
              <w:rPr>
                <w:sz w:val="16"/>
              </w:rPr>
              <w:t>.458</w:t>
            </w:r>
          </w:p>
        </w:tc>
        <w:tc>
          <w:tcPr>
            <w:tcW w:w="600" w:type="dxa"/>
          </w:tcPr>
          <w:p w:rsidR="00B40966" w:rsidRDefault="00B40966">
            <w:pPr>
              <w:pStyle w:val="TableText"/>
              <w:rPr>
                <w:sz w:val="16"/>
              </w:rPr>
            </w:pPr>
            <w:r>
              <w:rPr>
                <w:sz w:val="16"/>
              </w:rPr>
              <w:t>.444</w:t>
            </w:r>
          </w:p>
        </w:tc>
      </w:tr>
      <w:tr w:rsidR="00B40966">
        <w:trPr>
          <w:cantSplit/>
        </w:trPr>
        <w:tc>
          <w:tcPr>
            <w:tcW w:w="560" w:type="dxa"/>
          </w:tcPr>
          <w:p w:rsidR="00B40966" w:rsidRDefault="00B40966">
            <w:pPr>
              <w:pStyle w:val="TableText"/>
              <w:rPr>
                <w:sz w:val="16"/>
              </w:rPr>
            </w:pPr>
            <w:r>
              <w:rPr>
                <w:sz w:val="16"/>
              </w:rPr>
              <w:t>60</w:t>
            </w:r>
          </w:p>
        </w:tc>
        <w:tc>
          <w:tcPr>
            <w:tcW w:w="800" w:type="dxa"/>
            <w:tcBorders>
              <w:left w:val="single" w:sz="6" w:space="0" w:color="auto"/>
              <w:right w:val="single" w:sz="6" w:space="0" w:color="auto"/>
            </w:tcBorders>
          </w:tcPr>
          <w:p w:rsidR="00B40966" w:rsidRDefault="00B40966">
            <w:pPr>
              <w:pStyle w:val="TableText"/>
              <w:rPr>
                <w:sz w:val="16"/>
              </w:rPr>
            </w:pPr>
            <w:r>
              <w:rPr>
                <w:sz w:val="16"/>
              </w:rPr>
              <w:t>.355</w:t>
            </w:r>
          </w:p>
        </w:tc>
        <w:tc>
          <w:tcPr>
            <w:tcW w:w="700" w:type="dxa"/>
            <w:tcBorders>
              <w:left w:val="single" w:sz="6" w:space="0" w:color="auto"/>
              <w:right w:val="single" w:sz="6" w:space="0" w:color="auto"/>
            </w:tcBorders>
          </w:tcPr>
          <w:p w:rsidR="00B40966" w:rsidRDefault="00B40966">
            <w:pPr>
              <w:pStyle w:val="TableText"/>
              <w:rPr>
                <w:sz w:val="16"/>
              </w:rPr>
            </w:pPr>
            <w:r>
              <w:rPr>
                <w:sz w:val="16"/>
              </w:rPr>
              <w:t>.421</w:t>
            </w:r>
          </w:p>
        </w:tc>
        <w:tc>
          <w:tcPr>
            <w:tcW w:w="720" w:type="dxa"/>
            <w:tcBorders>
              <w:left w:val="single" w:sz="6" w:space="0" w:color="auto"/>
              <w:right w:val="single" w:sz="6" w:space="0" w:color="auto"/>
            </w:tcBorders>
          </w:tcPr>
          <w:p w:rsidR="00B40966" w:rsidRDefault="00B40966">
            <w:pPr>
              <w:pStyle w:val="TableText"/>
              <w:rPr>
                <w:sz w:val="16"/>
              </w:rPr>
            </w:pPr>
            <w:r>
              <w:rPr>
                <w:sz w:val="16"/>
              </w:rPr>
              <w:t>.484</w:t>
            </w:r>
          </w:p>
        </w:tc>
        <w:tc>
          <w:tcPr>
            <w:tcW w:w="540" w:type="dxa"/>
            <w:tcBorders>
              <w:left w:val="single" w:sz="6" w:space="0" w:color="auto"/>
              <w:right w:val="single" w:sz="6" w:space="0" w:color="auto"/>
            </w:tcBorders>
          </w:tcPr>
          <w:p w:rsidR="00B40966" w:rsidRDefault="00B40966">
            <w:pPr>
              <w:pStyle w:val="TableText"/>
              <w:rPr>
                <w:sz w:val="16"/>
              </w:rPr>
            </w:pPr>
            <w:r>
              <w:rPr>
                <w:sz w:val="16"/>
              </w:rPr>
              <w:t>.471</w:t>
            </w:r>
          </w:p>
        </w:tc>
        <w:tc>
          <w:tcPr>
            <w:tcW w:w="600" w:type="dxa"/>
            <w:tcBorders>
              <w:left w:val="single" w:sz="6" w:space="0" w:color="auto"/>
              <w:right w:val="single" w:sz="6" w:space="0" w:color="auto"/>
            </w:tcBorders>
          </w:tcPr>
          <w:p w:rsidR="00B40966" w:rsidRDefault="00B40966">
            <w:pPr>
              <w:pStyle w:val="TableText"/>
              <w:rPr>
                <w:sz w:val="16"/>
              </w:rPr>
            </w:pPr>
            <w:r>
              <w:rPr>
                <w:sz w:val="16"/>
              </w:rPr>
              <w:t>.515</w:t>
            </w:r>
          </w:p>
        </w:tc>
        <w:tc>
          <w:tcPr>
            <w:tcW w:w="600" w:type="dxa"/>
            <w:tcBorders>
              <w:left w:val="single" w:sz="6" w:space="0" w:color="auto"/>
              <w:right w:val="single" w:sz="6" w:space="0" w:color="auto"/>
            </w:tcBorders>
          </w:tcPr>
          <w:p w:rsidR="00B40966" w:rsidRDefault="00B40966">
            <w:pPr>
              <w:pStyle w:val="TableText"/>
              <w:rPr>
                <w:sz w:val="16"/>
              </w:rPr>
            </w:pPr>
            <w:r>
              <w:rPr>
                <w:sz w:val="16"/>
              </w:rPr>
              <w:t>.500</w:t>
            </w:r>
          </w:p>
        </w:tc>
        <w:tc>
          <w:tcPr>
            <w:tcW w:w="600" w:type="dxa"/>
            <w:tcBorders>
              <w:left w:val="single" w:sz="6" w:space="0" w:color="auto"/>
              <w:right w:val="single" w:sz="6" w:space="0" w:color="auto"/>
            </w:tcBorders>
          </w:tcPr>
          <w:p w:rsidR="00B40966" w:rsidRDefault="00B40966">
            <w:pPr>
              <w:pStyle w:val="TableText"/>
              <w:rPr>
                <w:sz w:val="16"/>
              </w:rPr>
            </w:pPr>
            <w:r>
              <w:rPr>
                <w:sz w:val="16"/>
              </w:rPr>
              <w:t>.500</w:t>
            </w:r>
          </w:p>
        </w:tc>
        <w:tc>
          <w:tcPr>
            <w:tcW w:w="600" w:type="dxa"/>
            <w:tcBorders>
              <w:left w:val="single" w:sz="6" w:space="0" w:color="auto"/>
              <w:right w:val="single" w:sz="6" w:space="0" w:color="auto"/>
            </w:tcBorders>
          </w:tcPr>
          <w:p w:rsidR="00B40966" w:rsidRDefault="00B40966">
            <w:pPr>
              <w:pStyle w:val="TableText"/>
              <w:rPr>
                <w:sz w:val="16"/>
              </w:rPr>
            </w:pPr>
            <w:r>
              <w:rPr>
                <w:sz w:val="16"/>
              </w:rPr>
              <w:t>.483</w:t>
            </w:r>
          </w:p>
        </w:tc>
        <w:tc>
          <w:tcPr>
            <w:tcW w:w="600" w:type="dxa"/>
            <w:tcBorders>
              <w:left w:val="single" w:sz="6" w:space="0" w:color="auto"/>
              <w:right w:val="single" w:sz="6" w:space="0" w:color="auto"/>
            </w:tcBorders>
          </w:tcPr>
          <w:p w:rsidR="00B40966" w:rsidRDefault="00B40966">
            <w:pPr>
              <w:pStyle w:val="TableText"/>
              <w:rPr>
                <w:sz w:val="16"/>
              </w:rPr>
            </w:pPr>
            <w:r>
              <w:rPr>
                <w:sz w:val="16"/>
              </w:rPr>
              <w:t>.471</w:t>
            </w:r>
          </w:p>
        </w:tc>
        <w:tc>
          <w:tcPr>
            <w:tcW w:w="600" w:type="dxa"/>
            <w:tcBorders>
              <w:left w:val="single" w:sz="6" w:space="0" w:color="auto"/>
              <w:right w:val="single" w:sz="6" w:space="0" w:color="auto"/>
            </w:tcBorders>
          </w:tcPr>
          <w:p w:rsidR="00B40966" w:rsidRDefault="00B40966">
            <w:pPr>
              <w:pStyle w:val="TableText"/>
              <w:rPr>
                <w:sz w:val="16"/>
              </w:rPr>
            </w:pPr>
            <w:r>
              <w:rPr>
                <w:sz w:val="16"/>
              </w:rPr>
              <w:t>.465</w:t>
            </w:r>
          </w:p>
        </w:tc>
        <w:tc>
          <w:tcPr>
            <w:tcW w:w="600" w:type="dxa"/>
          </w:tcPr>
          <w:p w:rsidR="00B40966" w:rsidRDefault="00B40966">
            <w:pPr>
              <w:pStyle w:val="TableText"/>
              <w:rPr>
                <w:sz w:val="16"/>
              </w:rPr>
            </w:pPr>
            <w:r>
              <w:rPr>
                <w:sz w:val="16"/>
              </w:rPr>
              <w:t>.449</w:t>
            </w:r>
          </w:p>
        </w:tc>
      </w:tr>
      <w:tr w:rsidR="00B40966">
        <w:trPr>
          <w:cantSplit/>
        </w:trPr>
        <w:tc>
          <w:tcPr>
            <w:tcW w:w="560" w:type="dxa"/>
            <w:tcBorders>
              <w:top w:val="single" w:sz="6" w:space="0" w:color="auto"/>
            </w:tcBorders>
          </w:tcPr>
          <w:p w:rsidR="00B40966" w:rsidRDefault="00B40966">
            <w:pPr>
              <w:pStyle w:val="TableText"/>
              <w:rPr>
                <w:sz w:val="16"/>
              </w:rPr>
            </w:pPr>
            <w:r>
              <w:rPr>
                <w:sz w:val="16"/>
              </w:rPr>
              <w:t>65</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.358</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.425</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.488</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.476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.518</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.487</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.474</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.468</w:t>
            </w:r>
          </w:p>
        </w:tc>
        <w:tc>
          <w:tcPr>
            <w:tcW w:w="600" w:type="dxa"/>
            <w:tcBorders>
              <w:top w:val="single" w:sz="6" w:space="0" w:color="auto"/>
            </w:tcBorders>
          </w:tcPr>
          <w:p w:rsidR="00B40966" w:rsidRDefault="00B40966">
            <w:pPr>
              <w:pStyle w:val="TableText"/>
              <w:rPr>
                <w:sz w:val="16"/>
              </w:rPr>
            </w:pPr>
            <w:r>
              <w:rPr>
                <w:sz w:val="16"/>
              </w:rPr>
              <w:t>.452</w:t>
            </w:r>
          </w:p>
        </w:tc>
      </w:tr>
      <w:tr w:rsidR="00B40966">
        <w:trPr>
          <w:cantSplit/>
        </w:trPr>
        <w:tc>
          <w:tcPr>
            <w:tcW w:w="560" w:type="dxa"/>
          </w:tcPr>
          <w:p w:rsidR="00B40966" w:rsidRDefault="00B40966">
            <w:pPr>
              <w:pStyle w:val="TableText"/>
              <w:rPr>
                <w:sz w:val="16"/>
              </w:rPr>
            </w:pPr>
            <w:r>
              <w:rPr>
                <w:sz w:val="16"/>
              </w:rPr>
              <w:t>70</w:t>
            </w:r>
          </w:p>
        </w:tc>
        <w:tc>
          <w:tcPr>
            <w:tcW w:w="800" w:type="dxa"/>
            <w:tcBorders>
              <w:left w:val="single" w:sz="6" w:space="0" w:color="auto"/>
              <w:right w:val="single" w:sz="6" w:space="0" w:color="auto"/>
            </w:tcBorders>
          </w:tcPr>
          <w:p w:rsidR="00B40966" w:rsidRDefault="00B40966">
            <w:pPr>
              <w:pStyle w:val="TableText"/>
              <w:rPr>
                <w:sz w:val="16"/>
              </w:rPr>
            </w:pPr>
            <w:r>
              <w:rPr>
                <w:sz w:val="16"/>
              </w:rPr>
              <w:t>.360</w:t>
            </w:r>
          </w:p>
        </w:tc>
        <w:tc>
          <w:tcPr>
            <w:tcW w:w="700" w:type="dxa"/>
            <w:tcBorders>
              <w:left w:val="single" w:sz="6" w:space="0" w:color="auto"/>
              <w:right w:val="single" w:sz="6" w:space="0" w:color="auto"/>
            </w:tcBorders>
          </w:tcPr>
          <w:p w:rsidR="00B40966" w:rsidRDefault="00B40966">
            <w:pPr>
              <w:pStyle w:val="TableText"/>
              <w:rPr>
                <w:sz w:val="16"/>
              </w:rPr>
            </w:pPr>
            <w:r>
              <w:rPr>
                <w:sz w:val="16"/>
              </w:rPr>
              <w:t>.429</w:t>
            </w:r>
          </w:p>
        </w:tc>
        <w:tc>
          <w:tcPr>
            <w:tcW w:w="720" w:type="dxa"/>
            <w:tcBorders>
              <w:left w:val="single" w:sz="6" w:space="0" w:color="auto"/>
              <w:right w:val="single" w:sz="6" w:space="0" w:color="auto"/>
            </w:tcBorders>
          </w:tcPr>
          <w:p w:rsidR="00B40966" w:rsidRDefault="00B40966">
            <w:pPr>
              <w:pStyle w:val="TableText"/>
              <w:rPr>
                <w:sz w:val="16"/>
              </w:rPr>
            </w:pPr>
            <w:r>
              <w:rPr>
                <w:sz w:val="16"/>
              </w:rPr>
              <w:t>.493</w:t>
            </w:r>
          </w:p>
        </w:tc>
        <w:tc>
          <w:tcPr>
            <w:tcW w:w="540" w:type="dxa"/>
            <w:tcBorders>
              <w:left w:val="single" w:sz="6" w:space="0" w:color="auto"/>
              <w:right w:val="single" w:sz="6" w:space="0" w:color="auto"/>
            </w:tcBorders>
          </w:tcPr>
          <w:p w:rsidR="00B40966" w:rsidRDefault="00B40966">
            <w:pPr>
              <w:pStyle w:val="TableText"/>
              <w:rPr>
                <w:sz w:val="16"/>
              </w:rPr>
            </w:pPr>
            <w:r>
              <w:rPr>
                <w:sz w:val="16"/>
              </w:rPr>
              <w:t>.480</w:t>
            </w:r>
          </w:p>
        </w:tc>
        <w:tc>
          <w:tcPr>
            <w:tcW w:w="600" w:type="dxa"/>
            <w:tcBorders>
              <w:left w:val="single" w:sz="6" w:space="0" w:color="auto"/>
              <w:right w:val="single" w:sz="6" w:space="0" w:color="auto"/>
            </w:tcBorders>
          </w:tcPr>
          <w:p w:rsidR="00B40966" w:rsidRDefault="00B40966">
            <w:pPr>
              <w:pStyle w:val="TableText"/>
              <w:rPr>
                <w:sz w:val="16"/>
              </w:rPr>
            </w:pPr>
            <w:r>
              <w:rPr>
                <w:sz w:val="16"/>
              </w:rPr>
              <w:t>.521</w:t>
            </w:r>
          </w:p>
        </w:tc>
        <w:tc>
          <w:tcPr>
            <w:tcW w:w="600" w:type="dxa"/>
            <w:tcBorders>
              <w:left w:val="single" w:sz="6" w:space="0" w:color="auto"/>
              <w:right w:val="single" w:sz="6" w:space="0" w:color="auto"/>
            </w:tcBorders>
          </w:tcPr>
          <w:p w:rsidR="00B40966" w:rsidRDefault="00B40966">
            <w:pPr>
              <w:pStyle w:val="TableText"/>
              <w:rPr>
                <w:sz w:val="16"/>
              </w:rPr>
            </w:pPr>
            <w:r>
              <w:rPr>
                <w:sz w:val="16"/>
              </w:rPr>
              <w:t>.506</w:t>
            </w:r>
          </w:p>
        </w:tc>
        <w:tc>
          <w:tcPr>
            <w:tcW w:w="600" w:type="dxa"/>
            <w:tcBorders>
              <w:left w:val="single" w:sz="6" w:space="0" w:color="auto"/>
              <w:right w:val="single" w:sz="6" w:space="0" w:color="auto"/>
            </w:tcBorders>
          </w:tcPr>
          <w:p w:rsidR="00B40966" w:rsidRDefault="00B40966">
            <w:pPr>
              <w:pStyle w:val="TableText"/>
              <w:rPr>
                <w:sz w:val="16"/>
              </w:rPr>
            </w:pPr>
            <w:r>
              <w:rPr>
                <w:sz w:val="16"/>
              </w:rPr>
              <w:t>.506</w:t>
            </w:r>
          </w:p>
        </w:tc>
        <w:tc>
          <w:tcPr>
            <w:tcW w:w="600" w:type="dxa"/>
            <w:tcBorders>
              <w:left w:val="single" w:sz="6" w:space="0" w:color="auto"/>
              <w:right w:val="single" w:sz="6" w:space="0" w:color="auto"/>
            </w:tcBorders>
          </w:tcPr>
          <w:p w:rsidR="00B40966" w:rsidRDefault="00B40966">
            <w:pPr>
              <w:pStyle w:val="TableText"/>
              <w:rPr>
                <w:sz w:val="16"/>
              </w:rPr>
            </w:pPr>
            <w:r>
              <w:rPr>
                <w:sz w:val="16"/>
              </w:rPr>
              <w:t>.490</w:t>
            </w:r>
          </w:p>
        </w:tc>
        <w:tc>
          <w:tcPr>
            <w:tcW w:w="600" w:type="dxa"/>
            <w:tcBorders>
              <w:left w:val="single" w:sz="6" w:space="0" w:color="auto"/>
              <w:right w:val="single" w:sz="6" w:space="0" w:color="auto"/>
            </w:tcBorders>
          </w:tcPr>
          <w:p w:rsidR="00B40966" w:rsidRDefault="00B40966">
            <w:pPr>
              <w:pStyle w:val="TableText"/>
              <w:rPr>
                <w:sz w:val="16"/>
              </w:rPr>
            </w:pPr>
            <w:r>
              <w:rPr>
                <w:sz w:val="16"/>
              </w:rPr>
              <w:t>.477</w:t>
            </w:r>
          </w:p>
        </w:tc>
        <w:tc>
          <w:tcPr>
            <w:tcW w:w="600" w:type="dxa"/>
            <w:tcBorders>
              <w:left w:val="single" w:sz="6" w:space="0" w:color="auto"/>
              <w:right w:val="single" w:sz="6" w:space="0" w:color="auto"/>
            </w:tcBorders>
          </w:tcPr>
          <w:p w:rsidR="00B40966" w:rsidRDefault="00B40966">
            <w:pPr>
              <w:pStyle w:val="TableText"/>
              <w:rPr>
                <w:sz w:val="16"/>
              </w:rPr>
            </w:pPr>
            <w:r>
              <w:rPr>
                <w:sz w:val="16"/>
              </w:rPr>
              <w:t>.471</w:t>
            </w:r>
          </w:p>
        </w:tc>
        <w:tc>
          <w:tcPr>
            <w:tcW w:w="600" w:type="dxa"/>
          </w:tcPr>
          <w:p w:rsidR="00B40966" w:rsidRDefault="00B40966">
            <w:pPr>
              <w:pStyle w:val="TableText"/>
              <w:rPr>
                <w:sz w:val="16"/>
              </w:rPr>
            </w:pPr>
            <w:r>
              <w:rPr>
                <w:sz w:val="16"/>
              </w:rPr>
              <w:t>.455</w:t>
            </w:r>
          </w:p>
        </w:tc>
      </w:tr>
      <w:tr w:rsidR="00B40966">
        <w:trPr>
          <w:cantSplit/>
        </w:trPr>
        <w:tc>
          <w:tcPr>
            <w:tcW w:w="560" w:type="dxa"/>
          </w:tcPr>
          <w:p w:rsidR="00B40966" w:rsidRDefault="00B40966">
            <w:pPr>
              <w:pStyle w:val="TableText"/>
              <w:rPr>
                <w:sz w:val="16"/>
              </w:rPr>
            </w:pPr>
            <w:r>
              <w:rPr>
                <w:sz w:val="16"/>
              </w:rPr>
              <w:t>75</w:t>
            </w:r>
          </w:p>
        </w:tc>
        <w:tc>
          <w:tcPr>
            <w:tcW w:w="800" w:type="dxa"/>
            <w:tcBorders>
              <w:left w:val="single" w:sz="6" w:space="0" w:color="auto"/>
              <w:right w:val="single" w:sz="6" w:space="0" w:color="auto"/>
            </w:tcBorders>
          </w:tcPr>
          <w:p w:rsidR="00B40966" w:rsidRDefault="00B40966">
            <w:pPr>
              <w:pStyle w:val="TableText"/>
              <w:rPr>
                <w:sz w:val="16"/>
              </w:rPr>
            </w:pPr>
            <w:r>
              <w:rPr>
                <w:sz w:val="16"/>
              </w:rPr>
              <w:t>.361</w:t>
            </w:r>
          </w:p>
        </w:tc>
        <w:tc>
          <w:tcPr>
            <w:tcW w:w="700" w:type="dxa"/>
            <w:tcBorders>
              <w:left w:val="single" w:sz="6" w:space="0" w:color="auto"/>
              <w:right w:val="single" w:sz="6" w:space="0" w:color="auto"/>
            </w:tcBorders>
          </w:tcPr>
          <w:p w:rsidR="00B40966" w:rsidRDefault="00B40966">
            <w:pPr>
              <w:pStyle w:val="TableText"/>
              <w:rPr>
                <w:sz w:val="16"/>
              </w:rPr>
            </w:pPr>
            <w:r>
              <w:rPr>
                <w:sz w:val="16"/>
              </w:rPr>
              <w:t>.433</w:t>
            </w:r>
          </w:p>
        </w:tc>
        <w:tc>
          <w:tcPr>
            <w:tcW w:w="720" w:type="dxa"/>
            <w:tcBorders>
              <w:left w:val="single" w:sz="6" w:space="0" w:color="auto"/>
              <w:right w:val="single" w:sz="6" w:space="0" w:color="auto"/>
            </w:tcBorders>
          </w:tcPr>
          <w:p w:rsidR="00B40966" w:rsidRDefault="00B40966">
            <w:pPr>
              <w:pStyle w:val="TableText"/>
              <w:rPr>
                <w:sz w:val="16"/>
              </w:rPr>
            </w:pPr>
            <w:r>
              <w:rPr>
                <w:sz w:val="16"/>
              </w:rPr>
              <w:t>.496</w:t>
            </w:r>
          </w:p>
        </w:tc>
        <w:tc>
          <w:tcPr>
            <w:tcW w:w="540" w:type="dxa"/>
            <w:tcBorders>
              <w:left w:val="single" w:sz="6" w:space="0" w:color="auto"/>
              <w:right w:val="single" w:sz="6" w:space="0" w:color="auto"/>
            </w:tcBorders>
          </w:tcPr>
          <w:p w:rsidR="00B40966" w:rsidRDefault="00B40966">
            <w:pPr>
              <w:pStyle w:val="TableText"/>
              <w:rPr>
                <w:sz w:val="16"/>
              </w:rPr>
            </w:pPr>
            <w:r>
              <w:rPr>
                <w:sz w:val="16"/>
              </w:rPr>
              <w:t>.484</w:t>
            </w:r>
          </w:p>
        </w:tc>
        <w:tc>
          <w:tcPr>
            <w:tcW w:w="600" w:type="dxa"/>
            <w:tcBorders>
              <w:left w:val="single" w:sz="6" w:space="0" w:color="auto"/>
              <w:right w:val="single" w:sz="6" w:space="0" w:color="auto"/>
            </w:tcBorders>
          </w:tcPr>
          <w:p w:rsidR="00B40966" w:rsidRDefault="00B40966">
            <w:pPr>
              <w:pStyle w:val="TableText"/>
              <w:rPr>
                <w:sz w:val="16"/>
              </w:rPr>
            </w:pPr>
            <w:r>
              <w:rPr>
                <w:sz w:val="16"/>
              </w:rPr>
              <w:t>.525</w:t>
            </w:r>
          </w:p>
        </w:tc>
        <w:tc>
          <w:tcPr>
            <w:tcW w:w="600" w:type="dxa"/>
            <w:tcBorders>
              <w:left w:val="single" w:sz="6" w:space="0" w:color="auto"/>
              <w:right w:val="single" w:sz="6" w:space="0" w:color="auto"/>
            </w:tcBorders>
          </w:tcPr>
          <w:p w:rsidR="00B40966" w:rsidRDefault="00B40966">
            <w:pPr>
              <w:pStyle w:val="TableText"/>
              <w:rPr>
                <w:sz w:val="16"/>
              </w:rPr>
            </w:pPr>
            <w:r>
              <w:rPr>
                <w:sz w:val="16"/>
              </w:rPr>
              <w:t>.509</w:t>
            </w:r>
          </w:p>
        </w:tc>
        <w:tc>
          <w:tcPr>
            <w:tcW w:w="600" w:type="dxa"/>
            <w:tcBorders>
              <w:left w:val="single" w:sz="6" w:space="0" w:color="auto"/>
              <w:right w:val="single" w:sz="6" w:space="0" w:color="auto"/>
            </w:tcBorders>
          </w:tcPr>
          <w:p w:rsidR="00B40966" w:rsidRDefault="00B40966">
            <w:pPr>
              <w:pStyle w:val="TableText"/>
              <w:rPr>
                <w:sz w:val="16"/>
              </w:rPr>
            </w:pPr>
            <w:r>
              <w:rPr>
                <w:sz w:val="16"/>
              </w:rPr>
              <w:t>.509</w:t>
            </w:r>
          </w:p>
        </w:tc>
        <w:tc>
          <w:tcPr>
            <w:tcW w:w="600" w:type="dxa"/>
            <w:tcBorders>
              <w:left w:val="single" w:sz="6" w:space="0" w:color="auto"/>
              <w:right w:val="single" w:sz="6" w:space="0" w:color="auto"/>
            </w:tcBorders>
          </w:tcPr>
          <w:p w:rsidR="00B40966" w:rsidRDefault="00B40966">
            <w:pPr>
              <w:pStyle w:val="TableText"/>
              <w:rPr>
                <w:sz w:val="16"/>
              </w:rPr>
            </w:pPr>
            <w:r>
              <w:rPr>
                <w:sz w:val="16"/>
              </w:rPr>
              <w:t>.493</w:t>
            </w:r>
          </w:p>
        </w:tc>
        <w:tc>
          <w:tcPr>
            <w:tcW w:w="600" w:type="dxa"/>
            <w:tcBorders>
              <w:left w:val="single" w:sz="6" w:space="0" w:color="auto"/>
              <w:right w:val="single" w:sz="6" w:space="0" w:color="auto"/>
            </w:tcBorders>
          </w:tcPr>
          <w:p w:rsidR="00B40966" w:rsidRDefault="00B40966">
            <w:pPr>
              <w:pStyle w:val="TableText"/>
              <w:rPr>
                <w:sz w:val="16"/>
              </w:rPr>
            </w:pPr>
            <w:r>
              <w:rPr>
                <w:sz w:val="16"/>
              </w:rPr>
              <w:t>.480</w:t>
            </w:r>
          </w:p>
        </w:tc>
        <w:tc>
          <w:tcPr>
            <w:tcW w:w="600" w:type="dxa"/>
            <w:tcBorders>
              <w:left w:val="single" w:sz="6" w:space="0" w:color="auto"/>
              <w:right w:val="single" w:sz="6" w:space="0" w:color="auto"/>
            </w:tcBorders>
          </w:tcPr>
          <w:p w:rsidR="00B40966" w:rsidRDefault="00B40966">
            <w:pPr>
              <w:pStyle w:val="TableText"/>
              <w:rPr>
                <w:sz w:val="16"/>
              </w:rPr>
            </w:pPr>
            <w:r>
              <w:rPr>
                <w:sz w:val="16"/>
              </w:rPr>
              <w:t>.474</w:t>
            </w:r>
          </w:p>
        </w:tc>
        <w:tc>
          <w:tcPr>
            <w:tcW w:w="600" w:type="dxa"/>
          </w:tcPr>
          <w:p w:rsidR="00B40966" w:rsidRDefault="00B40966">
            <w:pPr>
              <w:pStyle w:val="TableText"/>
              <w:rPr>
                <w:sz w:val="16"/>
              </w:rPr>
            </w:pPr>
            <w:r>
              <w:rPr>
                <w:sz w:val="16"/>
              </w:rPr>
              <w:t>.458</w:t>
            </w:r>
          </w:p>
        </w:tc>
      </w:tr>
      <w:tr w:rsidR="00B40966">
        <w:trPr>
          <w:cantSplit/>
        </w:trPr>
        <w:tc>
          <w:tcPr>
            <w:tcW w:w="560" w:type="dxa"/>
          </w:tcPr>
          <w:p w:rsidR="00B40966" w:rsidRDefault="00B40966">
            <w:pPr>
              <w:pStyle w:val="TableText"/>
              <w:rPr>
                <w:sz w:val="16"/>
              </w:rPr>
            </w:pPr>
            <w:r>
              <w:rPr>
                <w:sz w:val="16"/>
              </w:rPr>
              <w:t>80</w:t>
            </w:r>
          </w:p>
        </w:tc>
        <w:tc>
          <w:tcPr>
            <w:tcW w:w="800" w:type="dxa"/>
            <w:tcBorders>
              <w:left w:val="single" w:sz="6" w:space="0" w:color="auto"/>
              <w:right w:val="single" w:sz="6" w:space="0" w:color="auto"/>
            </w:tcBorders>
          </w:tcPr>
          <w:p w:rsidR="00B40966" w:rsidRDefault="00B40966">
            <w:pPr>
              <w:pStyle w:val="TableText"/>
              <w:rPr>
                <w:sz w:val="16"/>
              </w:rPr>
            </w:pPr>
            <w:r>
              <w:rPr>
                <w:sz w:val="16"/>
              </w:rPr>
              <w:t>.363</w:t>
            </w:r>
          </w:p>
        </w:tc>
        <w:tc>
          <w:tcPr>
            <w:tcW w:w="700" w:type="dxa"/>
            <w:tcBorders>
              <w:left w:val="single" w:sz="6" w:space="0" w:color="auto"/>
              <w:right w:val="single" w:sz="6" w:space="0" w:color="auto"/>
            </w:tcBorders>
          </w:tcPr>
          <w:p w:rsidR="00B40966" w:rsidRDefault="00B40966">
            <w:pPr>
              <w:pStyle w:val="TableText"/>
              <w:rPr>
                <w:sz w:val="16"/>
              </w:rPr>
            </w:pPr>
            <w:r>
              <w:rPr>
                <w:sz w:val="16"/>
              </w:rPr>
              <w:t>.436</w:t>
            </w:r>
          </w:p>
        </w:tc>
        <w:tc>
          <w:tcPr>
            <w:tcW w:w="720" w:type="dxa"/>
            <w:tcBorders>
              <w:left w:val="single" w:sz="6" w:space="0" w:color="auto"/>
              <w:right w:val="single" w:sz="6" w:space="0" w:color="auto"/>
            </w:tcBorders>
          </w:tcPr>
          <w:p w:rsidR="00B40966" w:rsidRDefault="00B40966">
            <w:pPr>
              <w:pStyle w:val="TableText"/>
              <w:rPr>
                <w:sz w:val="16"/>
              </w:rPr>
            </w:pPr>
            <w:r>
              <w:rPr>
                <w:sz w:val="16"/>
              </w:rPr>
              <w:t>.499</w:t>
            </w:r>
          </w:p>
        </w:tc>
        <w:tc>
          <w:tcPr>
            <w:tcW w:w="540" w:type="dxa"/>
            <w:tcBorders>
              <w:left w:val="single" w:sz="6" w:space="0" w:color="auto"/>
              <w:right w:val="single" w:sz="6" w:space="0" w:color="auto"/>
            </w:tcBorders>
          </w:tcPr>
          <w:p w:rsidR="00B40966" w:rsidRDefault="00B40966">
            <w:pPr>
              <w:pStyle w:val="TableText"/>
              <w:rPr>
                <w:sz w:val="16"/>
              </w:rPr>
            </w:pPr>
            <w:r>
              <w:rPr>
                <w:sz w:val="16"/>
              </w:rPr>
              <w:t>.488</w:t>
            </w:r>
          </w:p>
        </w:tc>
        <w:tc>
          <w:tcPr>
            <w:tcW w:w="600" w:type="dxa"/>
            <w:tcBorders>
              <w:left w:val="single" w:sz="6" w:space="0" w:color="auto"/>
              <w:right w:val="single" w:sz="6" w:space="0" w:color="auto"/>
            </w:tcBorders>
          </w:tcPr>
          <w:p w:rsidR="00B40966" w:rsidRDefault="00B40966">
            <w:pPr>
              <w:pStyle w:val="TableText"/>
              <w:rPr>
                <w:sz w:val="16"/>
              </w:rPr>
            </w:pPr>
            <w:r>
              <w:rPr>
                <w:sz w:val="16"/>
              </w:rPr>
              <w:t>.528</w:t>
            </w:r>
          </w:p>
        </w:tc>
        <w:tc>
          <w:tcPr>
            <w:tcW w:w="600" w:type="dxa"/>
            <w:tcBorders>
              <w:left w:val="single" w:sz="6" w:space="0" w:color="auto"/>
              <w:right w:val="single" w:sz="6" w:space="0" w:color="auto"/>
            </w:tcBorders>
          </w:tcPr>
          <w:p w:rsidR="00B40966" w:rsidRDefault="00B40966">
            <w:pPr>
              <w:pStyle w:val="TableText"/>
              <w:rPr>
                <w:sz w:val="16"/>
              </w:rPr>
            </w:pPr>
            <w:r>
              <w:rPr>
                <w:sz w:val="16"/>
              </w:rPr>
              <w:t>.512</w:t>
            </w:r>
          </w:p>
        </w:tc>
        <w:tc>
          <w:tcPr>
            <w:tcW w:w="600" w:type="dxa"/>
            <w:tcBorders>
              <w:left w:val="single" w:sz="6" w:space="0" w:color="auto"/>
              <w:right w:val="single" w:sz="6" w:space="0" w:color="auto"/>
            </w:tcBorders>
          </w:tcPr>
          <w:p w:rsidR="00B40966" w:rsidRDefault="00B40966">
            <w:pPr>
              <w:pStyle w:val="TableText"/>
              <w:rPr>
                <w:sz w:val="16"/>
              </w:rPr>
            </w:pPr>
            <w:r>
              <w:rPr>
                <w:sz w:val="16"/>
              </w:rPr>
              <w:t>.512</w:t>
            </w:r>
          </w:p>
        </w:tc>
        <w:tc>
          <w:tcPr>
            <w:tcW w:w="600" w:type="dxa"/>
            <w:tcBorders>
              <w:left w:val="single" w:sz="6" w:space="0" w:color="auto"/>
              <w:right w:val="single" w:sz="6" w:space="0" w:color="auto"/>
            </w:tcBorders>
          </w:tcPr>
          <w:p w:rsidR="00B40966" w:rsidRDefault="00B40966">
            <w:pPr>
              <w:pStyle w:val="TableText"/>
              <w:rPr>
                <w:sz w:val="16"/>
              </w:rPr>
            </w:pPr>
            <w:r>
              <w:rPr>
                <w:sz w:val="16"/>
              </w:rPr>
              <w:t>.496</w:t>
            </w:r>
          </w:p>
        </w:tc>
        <w:tc>
          <w:tcPr>
            <w:tcW w:w="600" w:type="dxa"/>
            <w:tcBorders>
              <w:left w:val="single" w:sz="6" w:space="0" w:color="auto"/>
              <w:right w:val="single" w:sz="6" w:space="0" w:color="auto"/>
            </w:tcBorders>
          </w:tcPr>
          <w:p w:rsidR="00B40966" w:rsidRDefault="00B40966">
            <w:pPr>
              <w:pStyle w:val="TableText"/>
              <w:rPr>
                <w:sz w:val="16"/>
              </w:rPr>
            </w:pPr>
            <w:r>
              <w:rPr>
                <w:sz w:val="16"/>
              </w:rPr>
              <w:t>.483</w:t>
            </w:r>
          </w:p>
        </w:tc>
        <w:tc>
          <w:tcPr>
            <w:tcW w:w="600" w:type="dxa"/>
            <w:tcBorders>
              <w:left w:val="single" w:sz="6" w:space="0" w:color="auto"/>
              <w:right w:val="single" w:sz="6" w:space="0" w:color="auto"/>
            </w:tcBorders>
          </w:tcPr>
          <w:p w:rsidR="00B40966" w:rsidRDefault="00B40966">
            <w:pPr>
              <w:pStyle w:val="TableText"/>
              <w:rPr>
                <w:sz w:val="16"/>
              </w:rPr>
            </w:pPr>
            <w:r>
              <w:rPr>
                <w:sz w:val="16"/>
              </w:rPr>
              <w:t>.477</w:t>
            </w:r>
          </w:p>
        </w:tc>
        <w:tc>
          <w:tcPr>
            <w:tcW w:w="600" w:type="dxa"/>
          </w:tcPr>
          <w:p w:rsidR="00B40966" w:rsidRDefault="00B40966">
            <w:pPr>
              <w:pStyle w:val="TableText"/>
              <w:rPr>
                <w:sz w:val="16"/>
              </w:rPr>
            </w:pPr>
            <w:r>
              <w:rPr>
                <w:sz w:val="16"/>
              </w:rPr>
              <w:t>.461</w:t>
            </w:r>
          </w:p>
        </w:tc>
      </w:tr>
      <w:tr w:rsidR="00B40966">
        <w:trPr>
          <w:cantSplit/>
        </w:trPr>
        <w:tc>
          <w:tcPr>
            <w:tcW w:w="560" w:type="dxa"/>
          </w:tcPr>
          <w:p w:rsidR="00B40966" w:rsidRDefault="00B40966">
            <w:pPr>
              <w:pStyle w:val="TableText"/>
              <w:rPr>
                <w:sz w:val="16"/>
              </w:rPr>
            </w:pPr>
            <w:r>
              <w:rPr>
                <w:sz w:val="16"/>
              </w:rPr>
              <w:t>90</w:t>
            </w:r>
          </w:p>
        </w:tc>
        <w:tc>
          <w:tcPr>
            <w:tcW w:w="800" w:type="dxa"/>
            <w:tcBorders>
              <w:left w:val="single" w:sz="6" w:space="0" w:color="auto"/>
              <w:right w:val="single" w:sz="6" w:space="0" w:color="auto"/>
            </w:tcBorders>
          </w:tcPr>
          <w:p w:rsidR="00B40966" w:rsidRDefault="00B40966">
            <w:pPr>
              <w:pStyle w:val="TableText"/>
              <w:rPr>
                <w:sz w:val="16"/>
              </w:rPr>
            </w:pPr>
            <w:r>
              <w:rPr>
                <w:sz w:val="16"/>
              </w:rPr>
              <w:t>.366</w:t>
            </w:r>
          </w:p>
        </w:tc>
        <w:tc>
          <w:tcPr>
            <w:tcW w:w="700" w:type="dxa"/>
            <w:tcBorders>
              <w:left w:val="single" w:sz="6" w:space="0" w:color="auto"/>
              <w:right w:val="single" w:sz="6" w:space="0" w:color="auto"/>
            </w:tcBorders>
          </w:tcPr>
          <w:p w:rsidR="00B40966" w:rsidRDefault="00B40966">
            <w:pPr>
              <w:pStyle w:val="TableText"/>
              <w:rPr>
                <w:sz w:val="16"/>
              </w:rPr>
            </w:pPr>
            <w:r>
              <w:rPr>
                <w:sz w:val="16"/>
              </w:rPr>
              <w:t>.442</w:t>
            </w:r>
          </w:p>
        </w:tc>
        <w:tc>
          <w:tcPr>
            <w:tcW w:w="720" w:type="dxa"/>
            <w:tcBorders>
              <w:left w:val="single" w:sz="6" w:space="0" w:color="auto"/>
              <w:right w:val="single" w:sz="6" w:space="0" w:color="auto"/>
            </w:tcBorders>
          </w:tcPr>
          <w:p w:rsidR="00B40966" w:rsidRDefault="00B40966">
            <w:pPr>
              <w:pStyle w:val="TableText"/>
              <w:rPr>
                <w:sz w:val="16"/>
              </w:rPr>
            </w:pPr>
            <w:r>
              <w:rPr>
                <w:sz w:val="16"/>
              </w:rPr>
              <w:t>.503</w:t>
            </w:r>
          </w:p>
        </w:tc>
        <w:tc>
          <w:tcPr>
            <w:tcW w:w="540" w:type="dxa"/>
            <w:tcBorders>
              <w:left w:val="single" w:sz="6" w:space="0" w:color="auto"/>
              <w:right w:val="single" w:sz="6" w:space="0" w:color="auto"/>
            </w:tcBorders>
          </w:tcPr>
          <w:p w:rsidR="00B40966" w:rsidRDefault="00B40966">
            <w:pPr>
              <w:pStyle w:val="TableText"/>
              <w:rPr>
                <w:sz w:val="16"/>
              </w:rPr>
            </w:pPr>
            <w:r>
              <w:rPr>
                <w:sz w:val="16"/>
              </w:rPr>
              <w:t>.492</w:t>
            </w:r>
          </w:p>
        </w:tc>
        <w:tc>
          <w:tcPr>
            <w:tcW w:w="600" w:type="dxa"/>
            <w:tcBorders>
              <w:left w:val="single" w:sz="6" w:space="0" w:color="auto"/>
              <w:right w:val="single" w:sz="6" w:space="0" w:color="auto"/>
            </w:tcBorders>
          </w:tcPr>
          <w:p w:rsidR="00B40966" w:rsidRDefault="00B40966">
            <w:pPr>
              <w:pStyle w:val="TableText"/>
              <w:rPr>
                <w:sz w:val="16"/>
              </w:rPr>
            </w:pPr>
            <w:r>
              <w:rPr>
                <w:sz w:val="16"/>
              </w:rPr>
              <w:t>.532</w:t>
            </w:r>
          </w:p>
        </w:tc>
        <w:tc>
          <w:tcPr>
            <w:tcW w:w="600" w:type="dxa"/>
            <w:tcBorders>
              <w:left w:val="single" w:sz="6" w:space="0" w:color="auto"/>
              <w:right w:val="single" w:sz="6" w:space="0" w:color="auto"/>
            </w:tcBorders>
          </w:tcPr>
          <w:p w:rsidR="00B40966" w:rsidRDefault="00B40966">
            <w:pPr>
              <w:pStyle w:val="TableText"/>
              <w:rPr>
                <w:sz w:val="16"/>
              </w:rPr>
            </w:pPr>
            <w:r>
              <w:rPr>
                <w:sz w:val="16"/>
              </w:rPr>
              <w:t>.517</w:t>
            </w:r>
          </w:p>
        </w:tc>
        <w:tc>
          <w:tcPr>
            <w:tcW w:w="600" w:type="dxa"/>
            <w:tcBorders>
              <w:left w:val="single" w:sz="6" w:space="0" w:color="auto"/>
              <w:right w:val="single" w:sz="6" w:space="0" w:color="auto"/>
            </w:tcBorders>
          </w:tcPr>
          <w:p w:rsidR="00B40966" w:rsidRDefault="00B40966">
            <w:pPr>
              <w:pStyle w:val="TableText"/>
              <w:rPr>
                <w:sz w:val="16"/>
              </w:rPr>
            </w:pPr>
            <w:r>
              <w:rPr>
                <w:sz w:val="16"/>
              </w:rPr>
              <w:t>.516</w:t>
            </w:r>
          </w:p>
        </w:tc>
        <w:tc>
          <w:tcPr>
            <w:tcW w:w="600" w:type="dxa"/>
            <w:tcBorders>
              <w:left w:val="single" w:sz="6" w:space="0" w:color="auto"/>
              <w:right w:val="single" w:sz="6" w:space="0" w:color="auto"/>
            </w:tcBorders>
          </w:tcPr>
          <w:p w:rsidR="00B40966" w:rsidRDefault="00B40966">
            <w:pPr>
              <w:pStyle w:val="TableText"/>
              <w:rPr>
                <w:sz w:val="16"/>
              </w:rPr>
            </w:pPr>
            <w:r>
              <w:rPr>
                <w:sz w:val="16"/>
              </w:rPr>
              <w:t>.499</w:t>
            </w:r>
          </w:p>
        </w:tc>
        <w:tc>
          <w:tcPr>
            <w:tcW w:w="600" w:type="dxa"/>
            <w:tcBorders>
              <w:left w:val="single" w:sz="6" w:space="0" w:color="auto"/>
              <w:right w:val="single" w:sz="6" w:space="0" w:color="auto"/>
            </w:tcBorders>
          </w:tcPr>
          <w:p w:rsidR="00B40966" w:rsidRDefault="00B40966">
            <w:pPr>
              <w:pStyle w:val="TableText"/>
              <w:rPr>
                <w:sz w:val="16"/>
              </w:rPr>
            </w:pPr>
            <w:r>
              <w:rPr>
                <w:sz w:val="16"/>
              </w:rPr>
              <w:t>.487</w:t>
            </w:r>
          </w:p>
        </w:tc>
        <w:tc>
          <w:tcPr>
            <w:tcW w:w="600" w:type="dxa"/>
            <w:tcBorders>
              <w:left w:val="single" w:sz="6" w:space="0" w:color="auto"/>
              <w:right w:val="single" w:sz="6" w:space="0" w:color="auto"/>
            </w:tcBorders>
          </w:tcPr>
          <w:p w:rsidR="00B40966" w:rsidRDefault="00B40966">
            <w:pPr>
              <w:pStyle w:val="TableText"/>
              <w:rPr>
                <w:sz w:val="16"/>
              </w:rPr>
            </w:pPr>
            <w:r>
              <w:rPr>
                <w:sz w:val="16"/>
              </w:rPr>
              <w:t>.481</w:t>
            </w:r>
          </w:p>
        </w:tc>
        <w:tc>
          <w:tcPr>
            <w:tcW w:w="600" w:type="dxa"/>
          </w:tcPr>
          <w:p w:rsidR="00B40966" w:rsidRDefault="00B40966">
            <w:pPr>
              <w:pStyle w:val="TableText"/>
              <w:rPr>
                <w:sz w:val="16"/>
              </w:rPr>
            </w:pPr>
            <w:r>
              <w:rPr>
                <w:sz w:val="16"/>
              </w:rPr>
              <w:t>.466</w:t>
            </w:r>
          </w:p>
        </w:tc>
      </w:tr>
      <w:tr w:rsidR="00B40966">
        <w:trPr>
          <w:cantSplit/>
        </w:trPr>
        <w:tc>
          <w:tcPr>
            <w:tcW w:w="560" w:type="dxa"/>
            <w:tcBorders>
              <w:top w:val="single" w:sz="6" w:space="0" w:color="auto"/>
            </w:tcBorders>
          </w:tcPr>
          <w:p w:rsidR="00B40966" w:rsidRDefault="00B40966">
            <w:pPr>
              <w:pStyle w:val="TableText"/>
              <w:rPr>
                <w:sz w:val="16"/>
              </w:rPr>
            </w:pPr>
            <w:r>
              <w:rPr>
                <w:sz w:val="16"/>
              </w:rPr>
              <w:t>100</w:t>
            </w:r>
          </w:p>
        </w:tc>
        <w:tc>
          <w:tcPr>
            <w:tcW w:w="8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.368</w:t>
            </w:r>
          </w:p>
        </w:tc>
        <w:tc>
          <w:tcPr>
            <w:tcW w:w="7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.446</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.506</w:t>
            </w:r>
          </w:p>
        </w:tc>
        <w:tc>
          <w:tcPr>
            <w:tcW w:w="5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.496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.536</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.521</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.503</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.490</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.484</w:t>
            </w:r>
          </w:p>
        </w:tc>
        <w:tc>
          <w:tcPr>
            <w:tcW w:w="600" w:type="dxa"/>
            <w:tcBorders>
              <w:top w:val="single" w:sz="6" w:space="0" w:color="auto"/>
            </w:tcBorders>
          </w:tcPr>
          <w:p w:rsidR="00B40966" w:rsidRDefault="00B40966">
            <w:pPr>
              <w:pStyle w:val="TableText"/>
              <w:rPr>
                <w:sz w:val="16"/>
              </w:rPr>
            </w:pPr>
            <w:r>
              <w:rPr>
                <w:sz w:val="16"/>
              </w:rPr>
              <w:t>.471</w:t>
            </w:r>
          </w:p>
        </w:tc>
      </w:tr>
      <w:tr w:rsidR="00B40966">
        <w:trPr>
          <w:cantSplit/>
        </w:trPr>
        <w:tc>
          <w:tcPr>
            <w:tcW w:w="560" w:type="dxa"/>
          </w:tcPr>
          <w:p w:rsidR="00B40966" w:rsidRDefault="00B40966">
            <w:pPr>
              <w:pStyle w:val="TableText"/>
              <w:rPr>
                <w:sz w:val="16"/>
              </w:rPr>
            </w:pPr>
            <w:r>
              <w:rPr>
                <w:sz w:val="16"/>
              </w:rPr>
              <w:t>150</w:t>
            </w:r>
          </w:p>
        </w:tc>
        <w:tc>
          <w:tcPr>
            <w:tcW w:w="800" w:type="dxa"/>
            <w:tcBorders>
              <w:left w:val="single" w:sz="6" w:space="0" w:color="auto"/>
              <w:right w:val="single" w:sz="6" w:space="0" w:color="auto"/>
            </w:tcBorders>
          </w:tcPr>
          <w:p w:rsidR="00B40966" w:rsidRDefault="00B40966">
            <w:pPr>
              <w:pStyle w:val="TableText"/>
              <w:rPr>
                <w:sz w:val="16"/>
              </w:rPr>
            </w:pPr>
            <w:r>
              <w:rPr>
                <w:sz w:val="16"/>
              </w:rPr>
              <w:t>.375</w:t>
            </w:r>
          </w:p>
        </w:tc>
        <w:tc>
          <w:tcPr>
            <w:tcW w:w="700" w:type="dxa"/>
            <w:tcBorders>
              <w:left w:val="single" w:sz="6" w:space="0" w:color="auto"/>
              <w:right w:val="single" w:sz="6" w:space="0" w:color="auto"/>
            </w:tcBorders>
          </w:tcPr>
          <w:p w:rsidR="00B40966" w:rsidRDefault="00B40966">
            <w:pPr>
              <w:pStyle w:val="TableText"/>
              <w:rPr>
                <w:sz w:val="16"/>
              </w:rPr>
            </w:pPr>
            <w:r>
              <w:rPr>
                <w:sz w:val="16"/>
              </w:rPr>
              <w:t>.458</w:t>
            </w:r>
          </w:p>
        </w:tc>
        <w:tc>
          <w:tcPr>
            <w:tcW w:w="720" w:type="dxa"/>
            <w:tcBorders>
              <w:left w:val="single" w:sz="6" w:space="0" w:color="auto"/>
              <w:right w:val="single" w:sz="6" w:space="0" w:color="auto"/>
            </w:tcBorders>
          </w:tcPr>
          <w:p w:rsidR="00B40966" w:rsidRDefault="00B40966">
            <w:pPr>
              <w:pStyle w:val="TableText"/>
              <w:rPr>
                <w:sz w:val="16"/>
              </w:rPr>
            </w:pPr>
            <w:r>
              <w:rPr>
                <w:sz w:val="16"/>
              </w:rPr>
              <w:t>.518</w:t>
            </w:r>
          </w:p>
        </w:tc>
        <w:tc>
          <w:tcPr>
            <w:tcW w:w="540" w:type="dxa"/>
            <w:tcBorders>
              <w:left w:val="single" w:sz="6" w:space="0" w:color="auto"/>
              <w:right w:val="single" w:sz="6" w:space="0" w:color="auto"/>
            </w:tcBorders>
          </w:tcPr>
          <w:p w:rsidR="00B40966" w:rsidRDefault="00B40966">
            <w:pPr>
              <w:pStyle w:val="TableText"/>
              <w:rPr>
                <w:sz w:val="16"/>
              </w:rPr>
            </w:pPr>
            <w:r>
              <w:rPr>
                <w:sz w:val="16"/>
              </w:rPr>
              <w:t>.509</w:t>
            </w:r>
          </w:p>
        </w:tc>
        <w:tc>
          <w:tcPr>
            <w:tcW w:w="600" w:type="dxa"/>
            <w:tcBorders>
              <w:left w:val="single" w:sz="6" w:space="0" w:color="auto"/>
              <w:right w:val="single" w:sz="6" w:space="0" w:color="auto"/>
            </w:tcBorders>
          </w:tcPr>
          <w:p w:rsidR="00B40966" w:rsidRDefault="00B40966">
            <w:pPr>
              <w:pStyle w:val="TableText"/>
              <w:rPr>
                <w:sz w:val="16"/>
              </w:rPr>
            </w:pPr>
            <w:r>
              <w:rPr>
                <w:sz w:val="16"/>
              </w:rPr>
              <w:t>.546</w:t>
            </w:r>
          </w:p>
        </w:tc>
        <w:tc>
          <w:tcPr>
            <w:tcW w:w="600" w:type="dxa"/>
            <w:tcBorders>
              <w:left w:val="single" w:sz="6" w:space="0" w:color="auto"/>
              <w:right w:val="single" w:sz="6" w:space="0" w:color="auto"/>
            </w:tcBorders>
          </w:tcPr>
          <w:p w:rsidR="00B40966" w:rsidRDefault="00B40966">
            <w:pPr>
              <w:pStyle w:val="TableText"/>
              <w:rPr>
                <w:sz w:val="16"/>
              </w:rPr>
            </w:pPr>
            <w:r>
              <w:rPr>
                <w:sz w:val="16"/>
              </w:rPr>
              <w:t>.534</w:t>
            </w:r>
          </w:p>
        </w:tc>
        <w:tc>
          <w:tcPr>
            <w:tcW w:w="600" w:type="dxa"/>
            <w:tcBorders>
              <w:left w:val="single" w:sz="6" w:space="0" w:color="auto"/>
              <w:right w:val="single" w:sz="6" w:space="0" w:color="auto"/>
            </w:tcBorders>
          </w:tcPr>
          <w:p w:rsidR="00B40966" w:rsidRDefault="00B40966">
            <w:pPr>
              <w:pStyle w:val="TableText"/>
              <w:rPr>
                <w:sz w:val="16"/>
              </w:rPr>
            </w:pPr>
            <w:r>
              <w:rPr>
                <w:sz w:val="16"/>
              </w:rPr>
              <w:t>.531</w:t>
            </w:r>
          </w:p>
        </w:tc>
        <w:tc>
          <w:tcPr>
            <w:tcW w:w="600" w:type="dxa"/>
            <w:tcBorders>
              <w:left w:val="single" w:sz="6" w:space="0" w:color="auto"/>
              <w:right w:val="single" w:sz="6" w:space="0" w:color="auto"/>
            </w:tcBorders>
          </w:tcPr>
          <w:p w:rsidR="00B40966" w:rsidRDefault="00B40966">
            <w:pPr>
              <w:pStyle w:val="TableText"/>
              <w:rPr>
                <w:sz w:val="16"/>
              </w:rPr>
            </w:pPr>
            <w:r>
              <w:rPr>
                <w:sz w:val="16"/>
              </w:rPr>
              <w:t>.515</w:t>
            </w:r>
          </w:p>
        </w:tc>
        <w:tc>
          <w:tcPr>
            <w:tcW w:w="600" w:type="dxa"/>
            <w:tcBorders>
              <w:left w:val="single" w:sz="6" w:space="0" w:color="auto"/>
              <w:right w:val="single" w:sz="6" w:space="0" w:color="auto"/>
            </w:tcBorders>
          </w:tcPr>
          <w:p w:rsidR="00B40966" w:rsidRDefault="00B40966">
            <w:pPr>
              <w:pStyle w:val="TableText"/>
              <w:rPr>
                <w:sz w:val="16"/>
              </w:rPr>
            </w:pPr>
            <w:r>
              <w:rPr>
                <w:sz w:val="16"/>
              </w:rPr>
              <w:t>.503</w:t>
            </w:r>
          </w:p>
        </w:tc>
        <w:tc>
          <w:tcPr>
            <w:tcW w:w="600" w:type="dxa"/>
            <w:tcBorders>
              <w:left w:val="single" w:sz="6" w:space="0" w:color="auto"/>
              <w:right w:val="single" w:sz="6" w:space="0" w:color="auto"/>
            </w:tcBorders>
          </w:tcPr>
          <w:p w:rsidR="00B40966" w:rsidRDefault="00B40966">
            <w:pPr>
              <w:pStyle w:val="TableText"/>
              <w:rPr>
                <w:sz w:val="16"/>
              </w:rPr>
            </w:pPr>
            <w:r>
              <w:rPr>
                <w:sz w:val="16"/>
              </w:rPr>
              <w:t>.496</w:t>
            </w:r>
          </w:p>
        </w:tc>
        <w:tc>
          <w:tcPr>
            <w:tcW w:w="600" w:type="dxa"/>
          </w:tcPr>
          <w:p w:rsidR="00B40966" w:rsidRDefault="00B40966">
            <w:pPr>
              <w:pStyle w:val="TableText"/>
              <w:rPr>
                <w:sz w:val="16"/>
              </w:rPr>
            </w:pPr>
            <w:r>
              <w:rPr>
                <w:sz w:val="16"/>
              </w:rPr>
              <w:t>.484</w:t>
            </w:r>
          </w:p>
        </w:tc>
      </w:tr>
      <w:tr w:rsidR="00B40966">
        <w:trPr>
          <w:cantSplit/>
        </w:trPr>
        <w:tc>
          <w:tcPr>
            <w:tcW w:w="560" w:type="dxa"/>
          </w:tcPr>
          <w:p w:rsidR="00B40966" w:rsidRDefault="00B40966">
            <w:pPr>
              <w:pStyle w:val="TableText"/>
              <w:rPr>
                <w:sz w:val="16"/>
              </w:rPr>
            </w:pPr>
            <w:r>
              <w:rPr>
                <w:sz w:val="16"/>
              </w:rPr>
              <w:t>200</w:t>
            </w:r>
          </w:p>
        </w:tc>
        <w:tc>
          <w:tcPr>
            <w:tcW w:w="800" w:type="dxa"/>
            <w:tcBorders>
              <w:left w:val="single" w:sz="6" w:space="0" w:color="auto"/>
              <w:right w:val="single" w:sz="6" w:space="0" w:color="auto"/>
            </w:tcBorders>
          </w:tcPr>
          <w:p w:rsidR="00B40966" w:rsidRDefault="00B40966">
            <w:pPr>
              <w:pStyle w:val="TableText"/>
              <w:rPr>
                <w:sz w:val="16"/>
              </w:rPr>
            </w:pPr>
            <w:r>
              <w:rPr>
                <w:sz w:val="16"/>
              </w:rPr>
              <w:t>.378</w:t>
            </w:r>
          </w:p>
        </w:tc>
        <w:tc>
          <w:tcPr>
            <w:tcW w:w="700" w:type="dxa"/>
            <w:tcBorders>
              <w:left w:val="single" w:sz="6" w:space="0" w:color="auto"/>
              <w:right w:val="single" w:sz="6" w:space="0" w:color="auto"/>
            </w:tcBorders>
          </w:tcPr>
          <w:p w:rsidR="00B40966" w:rsidRDefault="00B40966">
            <w:pPr>
              <w:pStyle w:val="TableText"/>
              <w:rPr>
                <w:sz w:val="16"/>
              </w:rPr>
            </w:pPr>
            <w:r>
              <w:rPr>
                <w:sz w:val="16"/>
              </w:rPr>
              <w:t>.463</w:t>
            </w:r>
          </w:p>
        </w:tc>
        <w:tc>
          <w:tcPr>
            <w:tcW w:w="720" w:type="dxa"/>
            <w:tcBorders>
              <w:left w:val="single" w:sz="6" w:space="0" w:color="auto"/>
              <w:right w:val="single" w:sz="6" w:space="0" w:color="auto"/>
            </w:tcBorders>
          </w:tcPr>
          <w:p w:rsidR="00B40966" w:rsidRDefault="00B40966">
            <w:pPr>
              <w:pStyle w:val="TableText"/>
              <w:rPr>
                <w:sz w:val="16"/>
              </w:rPr>
            </w:pPr>
            <w:r>
              <w:rPr>
                <w:sz w:val="16"/>
              </w:rPr>
              <w:t>.524</w:t>
            </w:r>
          </w:p>
        </w:tc>
        <w:tc>
          <w:tcPr>
            <w:tcW w:w="540" w:type="dxa"/>
            <w:tcBorders>
              <w:left w:val="single" w:sz="6" w:space="0" w:color="auto"/>
              <w:right w:val="single" w:sz="6" w:space="0" w:color="auto"/>
            </w:tcBorders>
          </w:tcPr>
          <w:p w:rsidR="00B40966" w:rsidRDefault="00B40966">
            <w:pPr>
              <w:pStyle w:val="TableText"/>
              <w:rPr>
                <w:sz w:val="16"/>
              </w:rPr>
            </w:pPr>
            <w:r>
              <w:rPr>
                <w:sz w:val="16"/>
              </w:rPr>
              <w:t>.515</w:t>
            </w:r>
          </w:p>
        </w:tc>
        <w:tc>
          <w:tcPr>
            <w:tcW w:w="600" w:type="dxa"/>
            <w:tcBorders>
              <w:left w:val="single" w:sz="6" w:space="0" w:color="auto"/>
              <w:right w:val="single" w:sz="6" w:space="0" w:color="auto"/>
            </w:tcBorders>
          </w:tcPr>
          <w:p w:rsidR="00B40966" w:rsidRDefault="00B40966">
            <w:pPr>
              <w:pStyle w:val="TableText"/>
              <w:rPr>
                <w:sz w:val="16"/>
              </w:rPr>
            </w:pPr>
            <w:r>
              <w:rPr>
                <w:sz w:val="16"/>
              </w:rPr>
              <w:t>.553</w:t>
            </w:r>
          </w:p>
        </w:tc>
        <w:tc>
          <w:tcPr>
            <w:tcW w:w="600" w:type="dxa"/>
            <w:tcBorders>
              <w:left w:val="single" w:sz="6" w:space="0" w:color="auto"/>
              <w:right w:val="single" w:sz="6" w:space="0" w:color="auto"/>
            </w:tcBorders>
          </w:tcPr>
          <w:p w:rsidR="00B40966" w:rsidRDefault="00B40966">
            <w:pPr>
              <w:pStyle w:val="TableText"/>
              <w:rPr>
                <w:sz w:val="16"/>
              </w:rPr>
            </w:pPr>
            <w:r>
              <w:rPr>
                <w:sz w:val="16"/>
              </w:rPr>
              <w:t>.540</w:t>
            </w:r>
          </w:p>
        </w:tc>
        <w:tc>
          <w:tcPr>
            <w:tcW w:w="600" w:type="dxa"/>
            <w:tcBorders>
              <w:left w:val="single" w:sz="6" w:space="0" w:color="auto"/>
              <w:right w:val="single" w:sz="6" w:space="0" w:color="auto"/>
            </w:tcBorders>
          </w:tcPr>
          <w:p w:rsidR="00B40966" w:rsidRDefault="00B40966">
            <w:pPr>
              <w:pStyle w:val="TableText"/>
              <w:rPr>
                <w:sz w:val="16"/>
              </w:rPr>
            </w:pPr>
            <w:r>
              <w:rPr>
                <w:sz w:val="16"/>
              </w:rPr>
              <w:t>.536</w:t>
            </w:r>
          </w:p>
        </w:tc>
        <w:tc>
          <w:tcPr>
            <w:tcW w:w="600" w:type="dxa"/>
            <w:tcBorders>
              <w:left w:val="single" w:sz="6" w:space="0" w:color="auto"/>
              <w:right w:val="single" w:sz="6" w:space="0" w:color="auto"/>
            </w:tcBorders>
          </w:tcPr>
          <w:p w:rsidR="00B40966" w:rsidRDefault="00B40966">
            <w:pPr>
              <w:pStyle w:val="TableText"/>
              <w:rPr>
                <w:sz w:val="16"/>
              </w:rPr>
            </w:pPr>
            <w:r>
              <w:rPr>
                <w:sz w:val="16"/>
              </w:rPr>
              <w:t>.521</w:t>
            </w:r>
          </w:p>
        </w:tc>
        <w:tc>
          <w:tcPr>
            <w:tcW w:w="600" w:type="dxa"/>
            <w:tcBorders>
              <w:left w:val="single" w:sz="6" w:space="0" w:color="auto"/>
              <w:right w:val="single" w:sz="6" w:space="0" w:color="auto"/>
            </w:tcBorders>
          </w:tcPr>
          <w:p w:rsidR="00B40966" w:rsidRDefault="00B40966">
            <w:pPr>
              <w:pStyle w:val="TableText"/>
              <w:rPr>
                <w:sz w:val="16"/>
              </w:rPr>
            </w:pPr>
            <w:r>
              <w:rPr>
                <w:sz w:val="16"/>
              </w:rPr>
              <w:t>.509</w:t>
            </w:r>
          </w:p>
        </w:tc>
        <w:tc>
          <w:tcPr>
            <w:tcW w:w="600" w:type="dxa"/>
            <w:tcBorders>
              <w:left w:val="single" w:sz="6" w:space="0" w:color="auto"/>
              <w:right w:val="single" w:sz="6" w:space="0" w:color="auto"/>
            </w:tcBorders>
          </w:tcPr>
          <w:p w:rsidR="00B40966" w:rsidRDefault="00B40966">
            <w:pPr>
              <w:pStyle w:val="TableText"/>
              <w:rPr>
                <w:sz w:val="16"/>
              </w:rPr>
            </w:pPr>
            <w:r>
              <w:rPr>
                <w:sz w:val="16"/>
              </w:rPr>
              <w:t>.503</w:t>
            </w:r>
          </w:p>
        </w:tc>
        <w:tc>
          <w:tcPr>
            <w:tcW w:w="600" w:type="dxa"/>
          </w:tcPr>
          <w:p w:rsidR="00B40966" w:rsidRDefault="00B40966">
            <w:pPr>
              <w:pStyle w:val="TableText"/>
              <w:rPr>
                <w:sz w:val="16"/>
              </w:rPr>
            </w:pPr>
            <w:r>
              <w:rPr>
                <w:sz w:val="16"/>
              </w:rPr>
              <w:t>.509</w:t>
            </w:r>
          </w:p>
        </w:tc>
      </w:tr>
      <w:tr w:rsidR="00B40966">
        <w:trPr>
          <w:cantSplit/>
        </w:trPr>
        <w:tc>
          <w:tcPr>
            <w:tcW w:w="560" w:type="dxa"/>
          </w:tcPr>
          <w:p w:rsidR="00B40966" w:rsidRDefault="00B40966">
            <w:pPr>
              <w:pStyle w:val="TableText"/>
              <w:rPr>
                <w:sz w:val="16"/>
              </w:rPr>
            </w:pPr>
            <w:r>
              <w:rPr>
                <w:sz w:val="16"/>
              </w:rPr>
              <w:t>300</w:t>
            </w:r>
          </w:p>
        </w:tc>
        <w:tc>
          <w:tcPr>
            <w:tcW w:w="800" w:type="dxa"/>
            <w:tcBorders>
              <w:left w:val="single" w:sz="6" w:space="0" w:color="auto"/>
              <w:right w:val="single" w:sz="6" w:space="0" w:color="auto"/>
            </w:tcBorders>
          </w:tcPr>
          <w:p w:rsidR="00B40966" w:rsidRDefault="00B40966">
            <w:pPr>
              <w:pStyle w:val="TableText"/>
              <w:rPr>
                <w:sz w:val="16"/>
              </w:rPr>
            </w:pPr>
            <w:r>
              <w:rPr>
                <w:sz w:val="16"/>
              </w:rPr>
              <w:t>.382</w:t>
            </w:r>
          </w:p>
        </w:tc>
        <w:tc>
          <w:tcPr>
            <w:tcW w:w="700" w:type="dxa"/>
            <w:tcBorders>
              <w:left w:val="single" w:sz="6" w:space="0" w:color="auto"/>
              <w:right w:val="single" w:sz="6" w:space="0" w:color="auto"/>
            </w:tcBorders>
          </w:tcPr>
          <w:p w:rsidR="00B40966" w:rsidRDefault="00B40966">
            <w:pPr>
              <w:pStyle w:val="TableText"/>
              <w:rPr>
                <w:sz w:val="16"/>
              </w:rPr>
            </w:pPr>
            <w:r>
              <w:rPr>
                <w:sz w:val="16"/>
              </w:rPr>
              <w:t>.471</w:t>
            </w:r>
          </w:p>
        </w:tc>
        <w:tc>
          <w:tcPr>
            <w:tcW w:w="720" w:type="dxa"/>
            <w:tcBorders>
              <w:left w:val="single" w:sz="6" w:space="0" w:color="auto"/>
              <w:right w:val="single" w:sz="6" w:space="0" w:color="auto"/>
            </w:tcBorders>
          </w:tcPr>
          <w:p w:rsidR="00B40966" w:rsidRDefault="00B40966">
            <w:pPr>
              <w:pStyle w:val="TableText"/>
              <w:rPr>
                <w:sz w:val="16"/>
              </w:rPr>
            </w:pPr>
            <w:r>
              <w:rPr>
                <w:sz w:val="16"/>
              </w:rPr>
              <w:t>.534</w:t>
            </w:r>
          </w:p>
        </w:tc>
        <w:tc>
          <w:tcPr>
            <w:tcW w:w="54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Borders>
              <w:left w:val="single" w:sz="6" w:space="0" w:color="auto"/>
              <w:right w:val="single" w:sz="6" w:space="0" w:color="auto"/>
            </w:tcBorders>
          </w:tcPr>
          <w:p w:rsidR="00B40966" w:rsidRDefault="00B40966">
            <w:pPr>
              <w:pStyle w:val="TableText"/>
              <w:rPr>
                <w:sz w:val="16"/>
              </w:rPr>
            </w:pPr>
          </w:p>
        </w:tc>
        <w:tc>
          <w:tcPr>
            <w:tcW w:w="600" w:type="dxa"/>
          </w:tcPr>
          <w:p w:rsidR="00B40966" w:rsidRDefault="00B40966">
            <w:pPr>
              <w:pStyle w:val="TableText"/>
              <w:rPr>
                <w:sz w:val="16"/>
              </w:rPr>
            </w:pPr>
          </w:p>
        </w:tc>
      </w:tr>
      <w:tr w:rsidR="00B40966">
        <w:trPr>
          <w:cantSplit/>
        </w:trPr>
        <w:tc>
          <w:tcPr>
            <w:tcW w:w="560" w:type="dxa"/>
            <w:tcBorders>
              <w:bottom w:val="single" w:sz="6" w:space="0" w:color="auto"/>
            </w:tcBorders>
          </w:tcPr>
          <w:p w:rsidR="00B40966" w:rsidRDefault="00B40966">
            <w:pPr>
              <w:pStyle w:val="TableText"/>
              <w:rPr>
                <w:sz w:val="16"/>
              </w:rPr>
            </w:pPr>
            <w:r>
              <w:rPr>
                <w:sz w:val="16"/>
              </w:rPr>
              <w:t>Rack</w:t>
            </w:r>
          </w:p>
        </w:tc>
        <w:tc>
          <w:tcPr>
            <w:tcW w:w="8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.390</w:t>
            </w:r>
          </w:p>
        </w:tc>
        <w:tc>
          <w:tcPr>
            <w:tcW w:w="7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.484</w:t>
            </w:r>
          </w:p>
        </w:tc>
        <w:tc>
          <w:tcPr>
            <w:tcW w:w="72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.550</w:t>
            </w:r>
          </w:p>
        </w:tc>
        <w:tc>
          <w:tcPr>
            <w:tcW w:w="54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.543</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.578</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.562</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.553</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.540</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.534</w:t>
            </w:r>
          </w:p>
        </w:tc>
        <w:tc>
          <w:tcPr>
            <w:tcW w:w="600" w:type="dxa"/>
            <w:tcBorders>
              <w:left w:val="single" w:sz="6" w:space="0" w:color="auto"/>
              <w:bottom w:val="single" w:sz="6" w:space="0" w:color="auto"/>
              <w:right w:val="single" w:sz="6" w:space="0" w:color="auto"/>
            </w:tcBorders>
          </w:tcPr>
          <w:p w:rsidR="00B40966" w:rsidRDefault="00B40966">
            <w:pPr>
              <w:pStyle w:val="TableText"/>
              <w:rPr>
                <w:sz w:val="16"/>
              </w:rPr>
            </w:pPr>
            <w:r>
              <w:rPr>
                <w:sz w:val="16"/>
              </w:rPr>
              <w:t>.528</w:t>
            </w:r>
          </w:p>
        </w:tc>
        <w:tc>
          <w:tcPr>
            <w:tcW w:w="600" w:type="dxa"/>
            <w:tcBorders>
              <w:bottom w:val="single" w:sz="6" w:space="0" w:color="auto"/>
            </w:tcBorders>
          </w:tcPr>
          <w:p w:rsidR="00B40966" w:rsidRDefault="00B40966">
            <w:pPr>
              <w:pStyle w:val="TableText"/>
              <w:rPr>
                <w:sz w:val="16"/>
              </w:rPr>
            </w:pPr>
            <w:r>
              <w:rPr>
                <w:sz w:val="16"/>
              </w:rPr>
              <w:t>.521</w:t>
            </w:r>
          </w:p>
        </w:tc>
      </w:tr>
    </w:tbl>
    <w:p w:rsidR="00B40966" w:rsidRDefault="00B40966">
      <w:pPr>
        <w:pStyle w:val="Amain"/>
        <w:rPr>
          <w:color w:val="000000"/>
        </w:rPr>
      </w:pPr>
    </w:p>
    <w:p w:rsidR="00B40966" w:rsidRDefault="00B40966">
      <w:pPr>
        <w:pStyle w:val="Amain"/>
      </w:pPr>
      <w:r>
        <w:rPr>
          <w:color w:val="000000"/>
        </w:rPr>
        <w:tab/>
        <w:t>(43)</w:t>
      </w:r>
      <w:r>
        <w:rPr>
          <w:color w:val="000000"/>
        </w:rPr>
        <w:tab/>
        <w:t>The strength of the ‘straight’ type involute tooth of a bevel spur gear shall be deemed to be less than that of the tooth of a plain spur gear of the same material, diametral pitch, pitch diameter, face, and number of teeth, in the ratio—</w:t>
      </w:r>
    </w:p>
    <w:p w:rsidR="00B40966" w:rsidRDefault="00B40966">
      <w:pPr>
        <w:pStyle w:val="Formula"/>
      </w:pPr>
      <w:r>
        <w:rPr>
          <w:position w:val="-10"/>
        </w:rPr>
        <w:object w:dxaOrig="180" w:dyaOrig="340">
          <v:shape id="_x0000_i1045" type="#_x0000_t75" style="width:9pt;height:17.25pt" o:ole="" fillcolor="window">
            <v:imagedata r:id="rId106" o:title=""/>
          </v:shape>
          <o:OLEObject Type="Embed" ProgID="Equation.3" ShapeID="_x0000_i1045" DrawAspect="Content" ObjectID="_1595937062" r:id="rId107"/>
        </w:object>
      </w:r>
      <w:r>
        <w:rPr>
          <w:position w:val="-28"/>
        </w:rPr>
        <w:object w:dxaOrig="4940" w:dyaOrig="680">
          <v:shape id="_x0000_i1046" type="#_x0000_t75" style="width:246.75pt;height:33.75pt" o:ole="" fillcolor="window">
            <v:imagedata r:id="rId108" o:title=""/>
          </v:shape>
          <o:OLEObject Type="Embed" ProgID="Equation.2" ShapeID="_x0000_i1046" DrawAspect="Content" ObjectID="_1595937063" r:id="rId109"/>
        </w:object>
      </w:r>
    </w:p>
    <w:p w:rsidR="00B40966" w:rsidRDefault="00B40966">
      <w:pPr>
        <w:pStyle w:val="Amain"/>
      </w:pPr>
      <w:r>
        <w:rPr>
          <w:color w:val="000000"/>
        </w:rPr>
        <w:tab/>
        <w:t>(44)</w:t>
      </w:r>
      <w:r>
        <w:rPr>
          <w:color w:val="000000"/>
        </w:rPr>
        <w:tab/>
        <w:t>The strength of the involute tooth of a worm wheel shall be deemed equal to that of a plain spur gear of the same material, diametral pitch, pitch diameter, face, and number of teeth.</w:t>
      </w:r>
    </w:p>
    <w:p w:rsidR="00B40966" w:rsidRDefault="00B40966">
      <w:pPr>
        <w:pStyle w:val="Amain"/>
        <w:keepLines/>
      </w:pPr>
      <w:r>
        <w:rPr>
          <w:color w:val="000000"/>
        </w:rPr>
        <w:tab/>
        <w:t>(45)</w:t>
      </w:r>
      <w:r>
        <w:rPr>
          <w:color w:val="000000"/>
        </w:rPr>
        <w:tab/>
        <w:t>Except if the chief inspector otherwise approves, each tooth of a spur gear shall be considered to bear a load equal to the pitch circle load the spur gear is required to transmit, having due regard to the increases prescribed by section 125.</w:t>
      </w:r>
    </w:p>
    <w:p w:rsidR="00B40966" w:rsidRDefault="00B40966">
      <w:pPr>
        <w:pStyle w:val="Amain"/>
      </w:pPr>
      <w:r>
        <w:rPr>
          <w:color w:val="000000"/>
        </w:rPr>
        <w:tab/>
        <w:t>(46)</w:t>
      </w:r>
      <w:r>
        <w:rPr>
          <w:color w:val="000000"/>
        </w:rPr>
        <w:tab/>
        <w:t>Alternatively to the method prescribed by section 130 (39) the strength of the machined straight involute tooth of a plain or helical spur gear may be determined by the procedure prescribed by British Standard Specification No 436-1940, ‘Machine Cut Gears, Helical and Straight Spur’, provided that the approval of the chief inspector is first obtained in relation to all allowances to be made and margins to be preserved.</w:t>
      </w:r>
    </w:p>
    <w:p w:rsidR="00B40966" w:rsidRDefault="00B40966">
      <w:pPr>
        <w:pStyle w:val="Amain"/>
      </w:pPr>
      <w:r>
        <w:rPr>
          <w:color w:val="000000"/>
        </w:rPr>
        <w:tab/>
        <w:t>(47)</w:t>
      </w:r>
      <w:r>
        <w:rPr>
          <w:color w:val="000000"/>
        </w:rPr>
        <w:tab/>
        <w:t>To make allowance for dynamic effects the limiting permissible stresses prescribed by section 126 shall for power-driven gear teeth be further reduced in the ratio—</w:t>
      </w:r>
    </w:p>
    <w:tbl>
      <w:tblPr>
        <w:tblW w:w="0" w:type="auto"/>
        <w:tblInd w:w="560" w:type="dxa"/>
        <w:tblLayout w:type="fixed"/>
        <w:tblCellMar>
          <w:left w:w="80" w:type="dxa"/>
          <w:right w:w="80" w:type="dxa"/>
        </w:tblCellMar>
        <w:tblLook w:val="0000" w:firstRow="0" w:lastRow="0" w:firstColumn="0" w:lastColumn="0" w:noHBand="0" w:noVBand="0"/>
      </w:tblPr>
      <w:tblGrid>
        <w:gridCol w:w="1160"/>
        <w:gridCol w:w="2220"/>
        <w:gridCol w:w="20"/>
        <w:gridCol w:w="1320"/>
        <w:gridCol w:w="20"/>
        <w:gridCol w:w="2340"/>
      </w:tblGrid>
      <w:tr w:rsidR="00B40966">
        <w:trPr>
          <w:cantSplit/>
        </w:trPr>
        <w:tc>
          <w:tcPr>
            <w:tcW w:w="1160" w:type="dxa"/>
          </w:tcPr>
          <w:p w:rsidR="00B40966" w:rsidRDefault="00B40966">
            <w:pPr>
              <w:pStyle w:val="allsections"/>
              <w:spacing w:before="360" w:after="0"/>
              <w:ind w:left="40" w:right="60" w:hanging="40"/>
              <w:jc w:val="center"/>
              <w:rPr>
                <w:rFonts w:ascii="Times New Roman" w:hAnsi="Times New Roman"/>
                <w:color w:val="000000"/>
              </w:rPr>
            </w:pPr>
            <w:r>
              <w:rPr>
                <w:rFonts w:ascii="Times New Roman" w:hAnsi="Times New Roman"/>
                <w:color w:val="000000"/>
              </w:rPr>
              <w:t>600</w:t>
            </w:r>
          </w:p>
        </w:tc>
        <w:tc>
          <w:tcPr>
            <w:tcW w:w="2220" w:type="dxa"/>
          </w:tcPr>
          <w:p w:rsidR="00B40966" w:rsidRDefault="00B40966">
            <w:pPr>
              <w:pStyle w:val="allsections"/>
              <w:spacing w:before="400" w:after="0"/>
              <w:ind w:left="-40" w:right="-20" w:firstLine="0"/>
              <w:rPr>
                <w:rFonts w:ascii="Times New Roman" w:hAnsi="Times New Roman"/>
                <w:color w:val="000000"/>
              </w:rPr>
            </w:pPr>
            <w:r>
              <w:rPr>
                <w:rFonts w:ascii="Times New Roman" w:hAnsi="Times New Roman"/>
                <w:color w:val="000000"/>
              </w:rPr>
              <w:t>for metallic teeth, or</w:t>
            </w:r>
          </w:p>
        </w:tc>
        <w:tc>
          <w:tcPr>
            <w:tcW w:w="1340" w:type="dxa"/>
            <w:gridSpan w:val="2"/>
          </w:tcPr>
          <w:p w:rsidR="00B40966" w:rsidRDefault="00B40966">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color w:val="000000"/>
              </w:rPr>
              <w:fldChar w:fldCharType="begin"/>
            </w:r>
            <w:r>
              <w:rPr>
                <w:rFonts w:ascii="Times New Roman" w:hAnsi="Times New Roman"/>
                <w:color w:val="000000"/>
              </w:rPr>
              <w:instrText xml:space="preserve"> EQ \F(</w:instrText>
            </w:r>
            <w:r>
              <w:rPr>
                <w:rFonts w:ascii="Times New Roman" w:hAnsi="Times New Roman"/>
                <w:b/>
                <w:color w:val="000000"/>
              </w:rPr>
              <w:instrText>V</w:instrText>
            </w:r>
            <w:r>
              <w:rPr>
                <w:rFonts w:ascii="Times New Roman" w:hAnsi="Times New Roman"/>
                <w:color w:val="000000"/>
              </w:rPr>
              <w:instrText xml:space="preserve">,4) </w:instrText>
            </w:r>
            <w:r>
              <w:rPr>
                <w:rFonts w:ascii="Times New Roman" w:hAnsi="Times New Roman"/>
                <w:color w:val="000000"/>
              </w:rPr>
              <w:fldChar w:fldCharType="end"/>
            </w:r>
          </w:p>
        </w:tc>
        <w:tc>
          <w:tcPr>
            <w:tcW w:w="2360" w:type="dxa"/>
            <w:gridSpan w:val="2"/>
          </w:tcPr>
          <w:p w:rsidR="00B40966" w:rsidRDefault="00B40966">
            <w:pPr>
              <w:pStyle w:val="allsections"/>
              <w:spacing w:before="400" w:after="0"/>
              <w:ind w:right="60" w:firstLine="0"/>
              <w:rPr>
                <w:rFonts w:ascii="Times New Roman" w:hAnsi="Times New Roman"/>
                <w:color w:val="000000"/>
              </w:rPr>
            </w:pPr>
            <w:r>
              <w:rPr>
                <w:rFonts w:ascii="Times New Roman" w:hAnsi="Times New Roman"/>
                <w:color w:val="000000"/>
              </w:rPr>
              <w:t xml:space="preserve">for nonmetallic teeth </w:t>
            </w:r>
          </w:p>
        </w:tc>
      </w:tr>
      <w:tr w:rsidR="00B40966">
        <w:trPr>
          <w:cantSplit/>
        </w:trPr>
        <w:tc>
          <w:tcPr>
            <w:tcW w:w="1160" w:type="dxa"/>
          </w:tcPr>
          <w:p w:rsidR="00B40966" w:rsidRDefault="00B40966">
            <w:pPr>
              <w:pStyle w:val="allsections"/>
              <w:ind w:right="60" w:firstLine="0"/>
              <w:jc w:val="center"/>
              <w:rPr>
                <w:rFonts w:ascii="Times New Roman" w:hAnsi="Times New Roman"/>
                <w:color w:val="000000"/>
              </w:rPr>
            </w:pPr>
            <w:r>
              <w:rPr>
                <w:rFonts w:ascii="Times New Roman" w:hAnsi="Times New Roman"/>
                <w:color w:val="000000"/>
              </w:rPr>
              <w:t xml:space="preserve">600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240" w:type="dxa"/>
            <w:gridSpan w:val="2"/>
          </w:tcPr>
          <w:p w:rsidR="00B40966" w:rsidRDefault="00B40966">
            <w:pPr>
              <w:pStyle w:val="Amain"/>
              <w:rPr>
                <w:color w:val="000000"/>
              </w:rPr>
            </w:pPr>
          </w:p>
        </w:tc>
        <w:tc>
          <w:tcPr>
            <w:tcW w:w="1340" w:type="dxa"/>
            <w:gridSpan w:val="2"/>
          </w:tcPr>
          <w:p w:rsidR="00B40966" w:rsidRDefault="00B40966">
            <w:pPr>
              <w:pStyle w:val="allsections"/>
              <w:ind w:left="80" w:right="60" w:firstLine="0"/>
              <w:rPr>
                <w:rFonts w:ascii="Times New Roman" w:hAnsi="Times New Roman"/>
                <w:color w:val="000000"/>
              </w:rPr>
            </w:pPr>
            <w:r>
              <w:rPr>
                <w:rFonts w:ascii="Times New Roman" w:hAnsi="Times New Roman"/>
                <w:color w:val="000000"/>
              </w:rPr>
              <w:t xml:space="preserve">200 </w:t>
            </w:r>
            <w:r>
              <w:rPr>
                <w:rFonts w:ascii="Times New Roman" w:hAnsi="Times New Roman"/>
                <w:color w:val="000000"/>
                <w:sz w:val="28"/>
              </w:rPr>
              <w:t>+</w:t>
            </w:r>
            <w:r>
              <w:rPr>
                <w:rFonts w:ascii="Times New Roman" w:hAnsi="Times New Roman"/>
                <w:color w:val="000000"/>
              </w:rPr>
              <w:t xml:space="preserve"> </w:t>
            </w:r>
            <w:r>
              <w:rPr>
                <w:rFonts w:ascii="Times New Roman" w:hAnsi="Times New Roman"/>
                <w:b/>
                <w:color w:val="000000"/>
              </w:rPr>
              <w:t>V</w:t>
            </w:r>
          </w:p>
        </w:tc>
        <w:tc>
          <w:tcPr>
            <w:tcW w:w="2340" w:type="dxa"/>
          </w:tcPr>
          <w:p w:rsidR="00B40966" w:rsidRDefault="00B40966">
            <w:pPr>
              <w:pStyle w:val="Amain"/>
              <w:rPr>
                <w:color w:val="000000"/>
              </w:rPr>
            </w:pPr>
          </w:p>
        </w:tc>
      </w:tr>
    </w:tbl>
    <w:p w:rsidR="00B40966" w:rsidRDefault="00B40966">
      <w:pPr>
        <w:pStyle w:val="Amain"/>
      </w:pPr>
      <w:r>
        <w:tab/>
        <w:t>(48)</w:t>
      </w:r>
      <w:r>
        <w:tab/>
        <w:t>In subergulation (47):</w:t>
      </w:r>
    </w:p>
    <w:p w:rsidR="00B40966" w:rsidRDefault="00B40966">
      <w:pPr>
        <w:pStyle w:val="aDef"/>
      </w:pPr>
      <w:r>
        <w:rPr>
          <w:b/>
        </w:rPr>
        <w:t>V</w:t>
      </w:r>
      <w:r>
        <w:t xml:space="preserve"> means the speed of meshing of the gear teeth measured at their pitch circle in feet per minute.</w:t>
      </w:r>
    </w:p>
    <w:p w:rsidR="00B40966" w:rsidRDefault="00B40966">
      <w:pPr>
        <w:pStyle w:val="Amain"/>
      </w:pPr>
      <w:r>
        <w:rPr>
          <w:color w:val="000000"/>
        </w:rPr>
        <w:tab/>
        <w:t>(49)</w:t>
      </w:r>
      <w:r>
        <w:rPr>
          <w:color w:val="000000"/>
        </w:rPr>
        <w:tab/>
        <w:t>For the purpose of determining pressures on lubricated bearing journals or surfaces between which relative movement occurs, the force and moment increases prescribed by section 125 may be disregarded.</w:t>
      </w:r>
    </w:p>
    <w:p w:rsidR="00B40966" w:rsidRDefault="00B40966">
      <w:pPr>
        <w:pStyle w:val="Amain"/>
        <w:keepLines/>
      </w:pPr>
      <w:r>
        <w:rPr>
          <w:color w:val="000000"/>
        </w:rPr>
        <w:tab/>
        <w:t>(50)</w:t>
      </w:r>
      <w:r>
        <w:rPr>
          <w:color w:val="000000"/>
        </w:rPr>
        <w:tab/>
        <w:t>The maximum intensity of bearing pressure between a gunmetal bush or bearing and the plain parallel journal of a mild steel shaft revolving relatively to it, and being a machine shaft of the mechanism of a crane or hoist, or lift or scaffolding, shall not exceed that recommended by Standards Australia Crane and Hoist Code No CB2-1938, rule 510 as appropriate and relevant to the use, speed, clearances and system or conditions of lubrication of the bearing.</w:t>
      </w:r>
    </w:p>
    <w:p w:rsidR="00B40966" w:rsidRDefault="00B40966">
      <w:pPr>
        <w:pStyle w:val="Amain"/>
      </w:pPr>
      <w:r>
        <w:tab/>
        <w:t>(51)</w:t>
      </w:r>
      <w:r>
        <w:tab/>
        <w:t>The maximum intensities of bearing pressures between other lubricated journals or surfaces shall not exceed those shown in table 130.2, relevant and appropriate to the rubbing speeds, materials and conditions or way of use.</w:t>
      </w:r>
    </w:p>
    <w:p w:rsidR="00B40966" w:rsidRDefault="00B40966">
      <w:pPr>
        <w:spacing w:before="60" w:after="60"/>
        <w:rPr>
          <w:rFonts w:ascii="Arial" w:hAnsi="Arial"/>
          <w:b/>
          <w:sz w:val="20"/>
        </w:rPr>
      </w:pPr>
      <w:r>
        <w:rPr>
          <w:rFonts w:ascii="Arial" w:hAnsi="Arial"/>
          <w:b/>
          <w:sz w:val="20"/>
        </w:rPr>
        <w:t>Notes referring to tables</w:t>
      </w:r>
    </w:p>
    <w:p w:rsidR="00B40966" w:rsidRDefault="00B40966">
      <w:pPr>
        <w:pStyle w:val="Amain"/>
        <w:spacing w:before="20" w:after="40"/>
        <w:rPr>
          <w:color w:val="000000"/>
          <w:sz w:val="20"/>
        </w:rPr>
      </w:pPr>
      <w:r>
        <w:rPr>
          <w:color w:val="000000"/>
          <w:sz w:val="20"/>
        </w:rPr>
        <w:t>Intermediate values may be interpolated—</w:t>
      </w:r>
    </w:p>
    <w:p w:rsidR="00B40966" w:rsidRDefault="00B40966">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those prescribed for 2 inch diameter shafts by Standards Australia Crane &amp; Hoist Code No C.B.2—1938, rule 510.</w:t>
      </w:r>
    </w:p>
    <w:p w:rsidR="00B40966" w:rsidRDefault="00B40966">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25% those prescribed for 2 inch diameter shafts by Standards Australia Crane &amp; Hoist Code No C.B. 2—1938, rule 510.</w:t>
      </w:r>
    </w:p>
    <w:p w:rsidR="00B40966" w:rsidRDefault="00B40966">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15% those prescribed for 2 inch diameter shafts by Standards Australia Crane &amp; Hoist Code No C.B. 2—1938, rule 510.</w:t>
      </w:r>
    </w:p>
    <w:p w:rsidR="00B40966" w:rsidRDefault="00B40966">
      <w:pPr>
        <w:pStyle w:val="Amain"/>
        <w:spacing w:before="20" w:after="40"/>
        <w:ind w:left="342" w:hanging="342"/>
        <w:rPr>
          <w:color w:val="000000"/>
          <w:sz w:val="20"/>
        </w:rPr>
      </w:pPr>
      <w:r>
        <w:rPr>
          <w:color w:val="000000"/>
          <w:sz w:val="20"/>
        </w:rPr>
        <w:t>†</w:t>
      </w:r>
      <w:r>
        <w:rPr>
          <w:color w:val="000000"/>
          <w:sz w:val="20"/>
        </w:rPr>
        <w:tab/>
        <w:t>Maximum permissible pressures at higher speeds shall not exceed by more than 45% those prescribed for 2 inch diameter shafts by Standards Australia Crane &amp; Hoist Code No C.B. 2—1938, rule 510.</w:t>
      </w:r>
    </w:p>
    <w:p w:rsidR="00B40966" w:rsidRDefault="00B40966">
      <w:pPr>
        <w:pStyle w:val="Amain"/>
        <w:spacing w:before="20" w:after="40"/>
        <w:rPr>
          <w:color w:val="000000"/>
          <w:sz w:val="20"/>
        </w:rPr>
      </w:pPr>
      <w:r>
        <w:rPr>
          <w:color w:val="000000"/>
          <w:sz w:val="20"/>
        </w:rPr>
        <w:t>M.S. means mild steel</w:t>
      </w:r>
    </w:p>
    <w:p w:rsidR="00B40966" w:rsidRDefault="00B40966">
      <w:pPr>
        <w:pStyle w:val="Amain"/>
        <w:spacing w:before="20" w:after="40"/>
        <w:rPr>
          <w:color w:val="000000"/>
          <w:sz w:val="20"/>
        </w:rPr>
      </w:pPr>
      <w:r>
        <w:rPr>
          <w:color w:val="000000"/>
          <w:sz w:val="20"/>
        </w:rPr>
        <w:t>Med. S. means steel having a surface hardness of not less than 200 Brinell.</w:t>
      </w:r>
    </w:p>
    <w:p w:rsidR="00B40966" w:rsidRDefault="00B40966">
      <w:pPr>
        <w:pStyle w:val="Amain"/>
        <w:spacing w:before="20" w:after="40"/>
        <w:rPr>
          <w:color w:val="000000"/>
          <w:sz w:val="20"/>
        </w:rPr>
      </w:pPr>
      <w:r>
        <w:rPr>
          <w:color w:val="000000"/>
          <w:sz w:val="20"/>
        </w:rPr>
        <w:t>H.S. means steel having a surface hardness of not less than 550 Brinell.</w:t>
      </w:r>
    </w:p>
    <w:p w:rsidR="00B40966" w:rsidRDefault="00B40966">
      <w:pPr>
        <w:pStyle w:val="Amain"/>
        <w:spacing w:before="20" w:after="40"/>
        <w:rPr>
          <w:color w:val="000000"/>
          <w:sz w:val="20"/>
        </w:rPr>
      </w:pPr>
      <w:r>
        <w:rPr>
          <w:color w:val="000000"/>
          <w:sz w:val="20"/>
        </w:rPr>
        <w:t>C.S. means mild cast steel.</w:t>
      </w:r>
    </w:p>
    <w:p w:rsidR="00B40966" w:rsidRDefault="00B40966">
      <w:pPr>
        <w:pStyle w:val="Amain"/>
        <w:spacing w:before="20" w:after="40"/>
        <w:rPr>
          <w:color w:val="000000"/>
          <w:sz w:val="20"/>
        </w:rPr>
      </w:pPr>
      <w:r>
        <w:rPr>
          <w:color w:val="000000"/>
          <w:sz w:val="20"/>
        </w:rPr>
        <w:t>G.M. means gunmetal.</w:t>
      </w:r>
    </w:p>
    <w:p w:rsidR="00B40966" w:rsidRDefault="00B40966">
      <w:pPr>
        <w:pStyle w:val="Amain"/>
        <w:spacing w:before="20" w:after="40"/>
        <w:rPr>
          <w:color w:val="000000"/>
          <w:sz w:val="20"/>
        </w:rPr>
      </w:pPr>
      <w:r>
        <w:rPr>
          <w:color w:val="000000"/>
          <w:sz w:val="20"/>
        </w:rPr>
        <w:t>W.M. means white metal</w:t>
      </w:r>
    </w:p>
    <w:p w:rsidR="00B40966" w:rsidRDefault="00B40966">
      <w:pPr>
        <w:pStyle w:val="Amain"/>
        <w:spacing w:before="20" w:after="40"/>
        <w:rPr>
          <w:color w:val="000000"/>
          <w:sz w:val="20"/>
        </w:rPr>
      </w:pPr>
      <w:r>
        <w:rPr>
          <w:color w:val="000000"/>
          <w:sz w:val="20"/>
        </w:rPr>
        <w:t>P.B. means phosphor bronze having a surface hardness not less than 190 Brinell.</w:t>
      </w:r>
    </w:p>
    <w:p w:rsidR="00B40966" w:rsidRDefault="00B40966">
      <w:pPr>
        <w:pStyle w:val="Amain"/>
        <w:spacing w:before="20" w:after="40"/>
        <w:rPr>
          <w:color w:val="000000"/>
          <w:sz w:val="20"/>
        </w:rPr>
      </w:pPr>
      <w:r>
        <w:rPr>
          <w:color w:val="000000"/>
          <w:sz w:val="20"/>
        </w:rPr>
        <w:t>C.I. means cast iron.</w:t>
      </w:r>
    </w:p>
    <w:p w:rsidR="00B40966" w:rsidRDefault="00B40966">
      <w:pPr>
        <w:pStyle w:val="02Text"/>
        <w:sectPr w:rsidR="00B40966">
          <w:headerReference w:type="even" r:id="rId110"/>
          <w:headerReference w:type="default" r:id="rId111"/>
          <w:footerReference w:type="even" r:id="rId112"/>
          <w:footerReference w:type="default" r:id="rId113"/>
          <w:footerReference w:type="first" r:id="rId114"/>
          <w:pgSz w:w="11907" w:h="16839" w:code="9"/>
          <w:pgMar w:top="3000" w:right="1900" w:bottom="2500" w:left="2300" w:header="2480" w:footer="2100" w:gutter="0"/>
          <w:cols w:space="720"/>
          <w:docGrid w:linePitch="254"/>
        </w:sectPr>
      </w:pPr>
    </w:p>
    <w:p w:rsidR="00B40966" w:rsidRDefault="00B40966">
      <w:pPr>
        <w:pStyle w:val="TableHd"/>
        <w:ind w:left="1482" w:hanging="1482"/>
      </w:pPr>
      <w:r>
        <w:t>Table 130.2</w:t>
      </w:r>
      <w:r>
        <w:tab/>
        <w:t>Maximum permissible intensities of bearing pressures for plain parallel lubricated bearings, in pounds per square inch (if more specific provision is not made elsewhere in this regulation)</w:t>
      </w:r>
    </w:p>
    <w:tbl>
      <w:tblPr>
        <w:tblW w:w="0" w:type="auto"/>
        <w:tblLayout w:type="fixed"/>
        <w:tblCellMar>
          <w:left w:w="60" w:type="dxa"/>
          <w:right w:w="60" w:type="dxa"/>
        </w:tblCellMar>
        <w:tblLook w:val="0000" w:firstRow="0" w:lastRow="0" w:firstColumn="0" w:lastColumn="0" w:noHBand="0" w:noVBand="0"/>
      </w:tblPr>
      <w:tblGrid>
        <w:gridCol w:w="1380"/>
        <w:gridCol w:w="600"/>
        <w:gridCol w:w="660"/>
        <w:gridCol w:w="563"/>
        <w:gridCol w:w="540"/>
        <w:gridCol w:w="540"/>
        <w:gridCol w:w="540"/>
        <w:gridCol w:w="540"/>
        <w:gridCol w:w="540"/>
        <w:gridCol w:w="540"/>
        <w:gridCol w:w="540"/>
        <w:gridCol w:w="560"/>
        <w:gridCol w:w="540"/>
        <w:gridCol w:w="540"/>
        <w:gridCol w:w="460"/>
        <w:gridCol w:w="460"/>
        <w:gridCol w:w="540"/>
        <w:gridCol w:w="1320"/>
      </w:tblGrid>
      <w:tr w:rsidR="00B40966">
        <w:trPr>
          <w:cantSplit/>
          <w:tblHeader/>
        </w:trPr>
        <w:tc>
          <w:tcPr>
            <w:tcW w:w="1380" w:type="dxa"/>
            <w:tcBorders>
              <w:top w:val="single" w:sz="6" w:space="0" w:color="auto"/>
            </w:tcBorders>
          </w:tcPr>
          <w:p w:rsidR="00B40966" w:rsidRDefault="00B40966">
            <w:pPr>
              <w:pStyle w:val="TableColHd"/>
              <w:rPr>
                <w:sz w:val="16"/>
              </w:rPr>
            </w:pPr>
          </w:p>
        </w:tc>
        <w:tc>
          <w:tcPr>
            <w:tcW w:w="126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ColHd"/>
              <w:jc w:val="center"/>
              <w:rPr>
                <w:sz w:val="16"/>
              </w:rPr>
            </w:pPr>
            <w:r>
              <w:rPr>
                <w:sz w:val="16"/>
              </w:rPr>
              <w:t>material in</w:t>
            </w:r>
          </w:p>
        </w:tc>
        <w:tc>
          <w:tcPr>
            <w:tcW w:w="7443" w:type="dxa"/>
            <w:gridSpan w:val="14"/>
            <w:tcBorders>
              <w:top w:val="single" w:sz="6" w:space="0" w:color="auto"/>
            </w:tcBorders>
          </w:tcPr>
          <w:p w:rsidR="00B40966" w:rsidRDefault="00B40966">
            <w:pPr>
              <w:pStyle w:val="TableColHd"/>
              <w:rPr>
                <w:sz w:val="16"/>
              </w:rPr>
            </w:pPr>
          </w:p>
        </w:tc>
        <w:tc>
          <w:tcPr>
            <w:tcW w:w="1320" w:type="dxa"/>
            <w:tcBorders>
              <w:top w:val="single" w:sz="6" w:space="0" w:color="auto"/>
              <w:left w:val="single" w:sz="6" w:space="0" w:color="auto"/>
            </w:tcBorders>
          </w:tcPr>
          <w:p w:rsidR="00B40966" w:rsidRDefault="00B40966">
            <w:pPr>
              <w:pStyle w:val="TableColHd"/>
              <w:rPr>
                <w:sz w:val="16"/>
              </w:rPr>
            </w:pPr>
          </w:p>
        </w:tc>
      </w:tr>
      <w:tr w:rsidR="00B40966">
        <w:trPr>
          <w:cantSplit/>
          <w:tblHeader/>
        </w:trPr>
        <w:tc>
          <w:tcPr>
            <w:tcW w:w="1380" w:type="dxa"/>
          </w:tcPr>
          <w:p w:rsidR="00B40966" w:rsidRDefault="00B40966">
            <w:pPr>
              <w:pStyle w:val="TableColHd"/>
              <w:rPr>
                <w:sz w:val="16"/>
              </w:rPr>
            </w:pPr>
          </w:p>
        </w:tc>
        <w:tc>
          <w:tcPr>
            <w:tcW w:w="600" w:type="dxa"/>
            <w:tcBorders>
              <w:left w:val="single" w:sz="6" w:space="0" w:color="auto"/>
              <w:right w:val="single" w:sz="6" w:space="0" w:color="auto"/>
            </w:tcBorders>
          </w:tcPr>
          <w:p w:rsidR="00B40966" w:rsidRDefault="00B40966">
            <w:pPr>
              <w:pStyle w:val="TableColHd"/>
              <w:rPr>
                <w:sz w:val="16"/>
              </w:rPr>
            </w:pPr>
          </w:p>
        </w:tc>
        <w:tc>
          <w:tcPr>
            <w:tcW w:w="660" w:type="dxa"/>
            <w:tcBorders>
              <w:right w:val="single" w:sz="6" w:space="0" w:color="auto"/>
            </w:tcBorders>
          </w:tcPr>
          <w:p w:rsidR="00B40966" w:rsidRDefault="00B40966">
            <w:pPr>
              <w:pStyle w:val="TableColHd"/>
              <w:rPr>
                <w:sz w:val="16"/>
              </w:rPr>
            </w:pPr>
            <w:r>
              <w:rPr>
                <w:sz w:val="16"/>
              </w:rPr>
              <w:t>bush or</w:t>
            </w:r>
          </w:p>
        </w:tc>
        <w:tc>
          <w:tcPr>
            <w:tcW w:w="7443" w:type="dxa"/>
            <w:gridSpan w:val="14"/>
          </w:tcPr>
          <w:p w:rsidR="00B40966" w:rsidRDefault="00B40966">
            <w:pPr>
              <w:pStyle w:val="TableColHd"/>
              <w:jc w:val="center"/>
              <w:rPr>
                <w:sz w:val="16"/>
              </w:rPr>
            </w:pPr>
            <w:r>
              <w:rPr>
                <w:sz w:val="16"/>
              </w:rPr>
              <w:t>maximum rubbing speed of journal on bush or bearing in feet/min</w:t>
            </w:r>
          </w:p>
        </w:tc>
        <w:tc>
          <w:tcPr>
            <w:tcW w:w="1320" w:type="dxa"/>
            <w:tcBorders>
              <w:left w:val="single" w:sz="6" w:space="0" w:color="auto"/>
            </w:tcBorders>
          </w:tcPr>
          <w:p w:rsidR="00B40966" w:rsidRDefault="00B40966">
            <w:pPr>
              <w:pStyle w:val="TableColHd"/>
              <w:rPr>
                <w:sz w:val="16"/>
              </w:rPr>
            </w:pPr>
          </w:p>
        </w:tc>
      </w:tr>
      <w:tr w:rsidR="00B40966">
        <w:trPr>
          <w:cantSplit/>
          <w:tblHeader/>
        </w:trPr>
        <w:tc>
          <w:tcPr>
            <w:tcW w:w="1380" w:type="dxa"/>
          </w:tcPr>
          <w:p w:rsidR="00B40966" w:rsidRDefault="00B40966">
            <w:pPr>
              <w:pStyle w:val="TableColHd"/>
              <w:rPr>
                <w:sz w:val="16"/>
              </w:rPr>
            </w:pPr>
            <w:r>
              <w:rPr>
                <w:sz w:val="16"/>
              </w:rPr>
              <w:t>type of Bearing</w:t>
            </w:r>
          </w:p>
        </w:tc>
        <w:tc>
          <w:tcPr>
            <w:tcW w:w="600" w:type="dxa"/>
            <w:tcBorders>
              <w:left w:val="single" w:sz="6" w:space="0" w:color="auto"/>
              <w:right w:val="single" w:sz="6" w:space="0" w:color="auto"/>
            </w:tcBorders>
          </w:tcPr>
          <w:p w:rsidR="00B40966" w:rsidRDefault="00B40966">
            <w:pPr>
              <w:pStyle w:val="TableColHd"/>
              <w:rPr>
                <w:sz w:val="16"/>
              </w:rPr>
            </w:pPr>
            <w:r>
              <w:rPr>
                <w:sz w:val="16"/>
              </w:rPr>
              <w:t>jour-nal</w:t>
            </w:r>
          </w:p>
        </w:tc>
        <w:tc>
          <w:tcPr>
            <w:tcW w:w="660" w:type="dxa"/>
            <w:tcBorders>
              <w:right w:val="single" w:sz="6" w:space="0" w:color="auto"/>
            </w:tcBorders>
          </w:tcPr>
          <w:p w:rsidR="00B40966" w:rsidRDefault="00B40966">
            <w:pPr>
              <w:pStyle w:val="TableColHd"/>
              <w:rPr>
                <w:sz w:val="16"/>
              </w:rPr>
            </w:pPr>
            <w:r>
              <w:rPr>
                <w:sz w:val="16"/>
              </w:rPr>
              <w:t>bear-ing</w:t>
            </w:r>
          </w:p>
        </w:tc>
        <w:tc>
          <w:tcPr>
            <w:tcW w:w="563" w:type="dxa"/>
            <w:tcBorders>
              <w:top w:val="single" w:sz="6" w:space="0" w:color="auto"/>
              <w:right w:val="single" w:sz="6" w:space="0" w:color="auto"/>
            </w:tcBorders>
          </w:tcPr>
          <w:p w:rsidR="00B40966" w:rsidRDefault="00B40966">
            <w:pPr>
              <w:pStyle w:val="TableColHd"/>
              <w:rPr>
                <w:sz w:val="16"/>
              </w:rPr>
            </w:pPr>
            <w:r>
              <w:rPr>
                <w:sz w:val="16"/>
              </w:rPr>
              <w:t>6</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10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20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30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40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50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60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80</w:t>
            </w:r>
          </w:p>
        </w:tc>
        <w:tc>
          <w:tcPr>
            <w:tcW w:w="56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100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150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300</w:t>
            </w:r>
          </w:p>
        </w:tc>
        <w:tc>
          <w:tcPr>
            <w:tcW w:w="46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400</w:t>
            </w:r>
          </w:p>
        </w:tc>
        <w:tc>
          <w:tcPr>
            <w:tcW w:w="46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500</w:t>
            </w:r>
          </w:p>
        </w:tc>
        <w:tc>
          <w:tcPr>
            <w:tcW w:w="540" w:type="dxa"/>
            <w:tcBorders>
              <w:top w:val="single" w:sz="6" w:space="0" w:color="auto"/>
              <w:left w:val="single" w:sz="6" w:space="0" w:color="auto"/>
              <w:right w:val="single" w:sz="6" w:space="0" w:color="auto"/>
            </w:tcBorders>
          </w:tcPr>
          <w:p w:rsidR="00B40966" w:rsidRDefault="00B40966">
            <w:pPr>
              <w:pStyle w:val="TableColHd"/>
              <w:rPr>
                <w:sz w:val="16"/>
              </w:rPr>
            </w:pPr>
            <w:r>
              <w:rPr>
                <w:sz w:val="16"/>
              </w:rPr>
              <w:t>1 500</w:t>
            </w:r>
          </w:p>
        </w:tc>
        <w:tc>
          <w:tcPr>
            <w:tcW w:w="1320" w:type="dxa"/>
          </w:tcPr>
          <w:p w:rsidR="00B40966" w:rsidRDefault="00B40966">
            <w:pPr>
              <w:pStyle w:val="TableColHd"/>
              <w:jc w:val="center"/>
              <w:rPr>
                <w:sz w:val="16"/>
              </w:rPr>
            </w:pPr>
            <w:r>
              <w:rPr>
                <w:sz w:val="16"/>
              </w:rPr>
              <w:t>note</w:t>
            </w:r>
          </w:p>
        </w:tc>
      </w:tr>
      <w:tr w:rsidR="00B40966">
        <w:trPr>
          <w:cantSplit/>
        </w:trPr>
        <w:tc>
          <w:tcPr>
            <w:tcW w:w="1380" w:type="dxa"/>
            <w:tcBorders>
              <w:top w:val="single" w:sz="6" w:space="0" w:color="auto"/>
              <w:right w:val="single" w:sz="6" w:space="0" w:color="auto"/>
            </w:tcBorders>
          </w:tcPr>
          <w:p w:rsidR="00B40966" w:rsidRDefault="00B40966">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single" w:sz="6" w:space="0" w:color="auto"/>
              <w:right w:val="single" w:sz="6" w:space="0" w:color="auto"/>
            </w:tcBorders>
          </w:tcPr>
          <w:p w:rsidR="00B40966" w:rsidRDefault="00B40966">
            <w:pPr>
              <w:spacing w:before="120"/>
              <w:rPr>
                <w:color w:val="000000"/>
                <w:sz w:val="16"/>
              </w:rPr>
            </w:pPr>
            <w:r>
              <w:rPr>
                <w:color w:val="000000"/>
                <w:sz w:val="16"/>
              </w:rPr>
              <w:t>M.S.</w:t>
            </w:r>
          </w:p>
          <w:p w:rsidR="00B40966" w:rsidRDefault="00B40966">
            <w:pPr>
              <w:spacing w:before="120"/>
              <w:rPr>
                <w:color w:val="000000"/>
                <w:sz w:val="16"/>
              </w:rPr>
            </w:pPr>
          </w:p>
          <w:p w:rsidR="00B40966" w:rsidRDefault="00B40966">
            <w:pPr>
              <w:spacing w:before="120"/>
              <w:rPr>
                <w:color w:val="000000"/>
                <w:sz w:val="16"/>
              </w:rPr>
            </w:pPr>
          </w:p>
          <w:p w:rsidR="00B40966" w:rsidRDefault="00B40966">
            <w:pPr>
              <w:spacing w:before="120"/>
              <w:rPr>
                <w:color w:val="000000"/>
                <w:sz w:val="16"/>
              </w:rPr>
            </w:pPr>
            <w:r>
              <w:rPr>
                <w:color w:val="000000"/>
                <w:sz w:val="16"/>
              </w:rPr>
              <w:t>M.S.</w:t>
            </w:r>
            <w:r>
              <w:rPr>
                <w:color w:val="000000"/>
                <w:sz w:val="16"/>
              </w:rPr>
              <w:br/>
              <w:t>M.S.</w:t>
            </w:r>
            <w:r>
              <w:rPr>
                <w:color w:val="000000"/>
                <w:sz w:val="16"/>
              </w:rPr>
              <w:br/>
              <w:t>M.S.M.S.</w:t>
            </w:r>
          </w:p>
        </w:tc>
        <w:tc>
          <w:tcPr>
            <w:tcW w:w="660" w:type="dxa"/>
            <w:tcBorders>
              <w:top w:val="single" w:sz="6" w:space="0" w:color="auto"/>
              <w:left w:val="single" w:sz="6" w:space="0" w:color="auto"/>
              <w:right w:val="single" w:sz="6" w:space="0" w:color="auto"/>
            </w:tcBorders>
          </w:tcPr>
          <w:p w:rsidR="00B40966" w:rsidRDefault="00B40966">
            <w:pPr>
              <w:spacing w:before="120"/>
              <w:rPr>
                <w:color w:val="000000"/>
                <w:sz w:val="16"/>
              </w:rPr>
            </w:pPr>
            <w:r>
              <w:rPr>
                <w:color w:val="000000"/>
                <w:sz w:val="16"/>
              </w:rPr>
              <w:t>M.S.</w:t>
            </w:r>
          </w:p>
          <w:p w:rsidR="00B40966" w:rsidRDefault="00B40966">
            <w:pPr>
              <w:spacing w:before="120"/>
              <w:rPr>
                <w:color w:val="000000"/>
                <w:sz w:val="16"/>
              </w:rPr>
            </w:pPr>
          </w:p>
          <w:p w:rsidR="00B40966" w:rsidRDefault="00B40966">
            <w:pPr>
              <w:spacing w:before="120"/>
              <w:rPr>
                <w:color w:val="000000"/>
                <w:sz w:val="16"/>
              </w:rPr>
            </w:pPr>
          </w:p>
          <w:p w:rsidR="00B40966" w:rsidRDefault="00B40966">
            <w:pPr>
              <w:spacing w:before="120"/>
              <w:rPr>
                <w:color w:val="000000"/>
                <w:sz w:val="16"/>
              </w:rPr>
            </w:pPr>
            <w:r>
              <w:rPr>
                <w:color w:val="000000"/>
                <w:sz w:val="16"/>
              </w:rPr>
              <w:t>H.S.</w:t>
            </w:r>
            <w:r>
              <w:rPr>
                <w:color w:val="000000"/>
                <w:sz w:val="16"/>
              </w:rPr>
              <w:br/>
              <w:t>C.I.</w:t>
            </w:r>
            <w:r>
              <w:rPr>
                <w:color w:val="000000"/>
                <w:sz w:val="16"/>
              </w:rPr>
              <w:br/>
              <w:t>G.M.</w:t>
            </w:r>
            <w:r>
              <w:rPr>
                <w:color w:val="000000"/>
                <w:sz w:val="16"/>
              </w:rPr>
              <w:br/>
              <w:t>W.M.</w:t>
            </w:r>
          </w:p>
        </w:tc>
        <w:tc>
          <w:tcPr>
            <w:tcW w:w="563"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1 800</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2 200</w:t>
            </w:r>
            <w:r>
              <w:rPr>
                <w:color w:val="000000"/>
                <w:sz w:val="16"/>
              </w:rPr>
              <w:br/>
              <w:t>2 600</w:t>
            </w:r>
            <w:r>
              <w:rPr>
                <w:color w:val="000000"/>
                <w:sz w:val="16"/>
              </w:rPr>
              <w:br/>
              <w:t>4 000</w:t>
            </w:r>
            <w:r>
              <w:rPr>
                <w:color w:val="000000"/>
                <w:sz w:val="16"/>
              </w:rPr>
              <w:br/>
              <w:t>4 000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800</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1 400</w:t>
            </w:r>
            <w:r>
              <w:rPr>
                <w:color w:val="000000"/>
                <w:sz w:val="16"/>
              </w:rPr>
              <w:br/>
              <w:t>2 000</w:t>
            </w:r>
            <w:r>
              <w:rPr>
                <w:color w:val="000000"/>
                <w:sz w:val="16"/>
              </w:rPr>
              <w:br/>
              <w:t>3 600</w:t>
            </w:r>
            <w:r>
              <w:rPr>
                <w:color w:val="000000"/>
                <w:sz w:val="16"/>
              </w:rPr>
              <w:br/>
              <w:t>3 750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200</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800</w:t>
            </w:r>
            <w:r>
              <w:rPr>
                <w:color w:val="000000"/>
                <w:sz w:val="16"/>
              </w:rPr>
              <w:br/>
              <w:t>1 250</w:t>
            </w:r>
            <w:r>
              <w:rPr>
                <w:color w:val="000000"/>
                <w:sz w:val="16"/>
              </w:rPr>
              <w:br/>
              <w:t>2 800</w:t>
            </w:r>
            <w:r>
              <w:rPr>
                <w:color w:val="000000"/>
                <w:sz w:val="16"/>
              </w:rPr>
              <w:br/>
              <w:t>3 150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100</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450</w:t>
            </w:r>
            <w:r>
              <w:rPr>
                <w:color w:val="000000"/>
                <w:sz w:val="16"/>
              </w:rPr>
              <w:br/>
              <w:t>850</w:t>
            </w:r>
            <w:r>
              <w:rPr>
                <w:color w:val="000000"/>
                <w:sz w:val="16"/>
              </w:rPr>
              <w:br/>
              <w:t>2 200</w:t>
            </w:r>
            <w:r>
              <w:rPr>
                <w:color w:val="000000"/>
                <w:sz w:val="16"/>
              </w:rPr>
              <w:br/>
              <w:t>2 600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650</w:t>
            </w:r>
            <w:r>
              <w:rPr>
                <w:color w:val="000000"/>
                <w:sz w:val="16"/>
              </w:rPr>
              <w:br/>
              <w:t>1 700</w:t>
            </w:r>
            <w:r>
              <w:rPr>
                <w:color w:val="000000"/>
                <w:sz w:val="16"/>
              </w:rPr>
              <w:br/>
              <w:t>2 100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200</w:t>
            </w:r>
            <w:r>
              <w:rPr>
                <w:color w:val="000000"/>
                <w:sz w:val="16"/>
              </w:rPr>
              <w:br/>
              <w:t>500</w:t>
            </w:r>
            <w:r>
              <w:rPr>
                <w:color w:val="000000"/>
                <w:sz w:val="16"/>
              </w:rPr>
              <w:br/>
              <w:t>. . .</w:t>
            </w:r>
            <w:r>
              <w:rPr>
                <w:color w:val="000000"/>
                <w:sz w:val="16"/>
              </w:rPr>
              <w:br/>
              <w:t>1 750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1 100</w:t>
            </w:r>
            <w:r>
              <w:rPr>
                <w:color w:val="000000"/>
                <w:sz w:val="16"/>
              </w:rPr>
              <w:br/>
              <w:t>1 350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100</w:t>
            </w:r>
            <w:r>
              <w:rPr>
                <w:color w:val="000000"/>
                <w:sz w:val="16"/>
              </w:rPr>
              <w:br/>
              <w:t>. . .</w:t>
            </w:r>
            <w:r>
              <w:rPr>
                <w:color w:val="000000"/>
                <w:sz w:val="16"/>
              </w:rPr>
              <w:br/>
              <w:t>700</w:t>
            </w:r>
            <w:r>
              <w:rPr>
                <w:color w:val="000000"/>
                <w:sz w:val="16"/>
              </w:rPr>
              <w:br/>
              <w:t>900</w:t>
            </w:r>
          </w:p>
        </w:tc>
        <w:tc>
          <w:tcPr>
            <w:tcW w:w="56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300</w:t>
            </w:r>
            <w:r>
              <w:rPr>
                <w:color w:val="000000"/>
                <w:sz w:val="16"/>
              </w:rPr>
              <w:br/>
              <w:t>. . .</w:t>
            </w:r>
            <w:r>
              <w:rPr>
                <w:color w:val="000000"/>
                <w:sz w:val="16"/>
              </w:rPr>
              <w:br/>
              <w:t>700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‡480</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100</w:t>
            </w:r>
            <w:r>
              <w:rPr>
                <w:color w:val="000000"/>
                <w:sz w:val="16"/>
              </w:rPr>
              <w:br/>
              <w:t>*260</w:t>
            </w:r>
            <w:r>
              <w:rPr>
                <w:color w:val="000000"/>
                <w:sz w:val="16"/>
              </w:rPr>
              <w:br/>
              <w:t>. . .</w:t>
            </w:r>
          </w:p>
        </w:tc>
        <w:tc>
          <w:tcPr>
            <w:tcW w:w="46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46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 . .</w:t>
            </w:r>
          </w:p>
        </w:tc>
        <w:tc>
          <w:tcPr>
            <w:tcW w:w="540" w:type="dxa"/>
            <w:tcBorders>
              <w:top w:val="single" w:sz="6" w:space="0" w:color="auto"/>
              <w:left w:val="single" w:sz="6" w:space="0" w:color="auto"/>
              <w:right w:val="single" w:sz="6" w:space="0" w:color="auto"/>
            </w:tcBorders>
          </w:tcPr>
          <w:p w:rsidR="00B40966" w:rsidRDefault="00B40966">
            <w:pPr>
              <w:spacing w:before="120"/>
              <w:jc w:val="right"/>
              <w:rPr>
                <w:color w:val="000000"/>
                <w:sz w:val="16"/>
              </w:rPr>
            </w:pPr>
            <w:r>
              <w:rPr>
                <w:color w:val="000000"/>
                <w:sz w:val="16"/>
              </w:rPr>
              <w:t>. . .</w:t>
            </w:r>
          </w:p>
          <w:p w:rsidR="00B40966" w:rsidRDefault="00B40966">
            <w:pPr>
              <w:spacing w:before="120"/>
              <w:jc w:val="right"/>
              <w:rPr>
                <w:color w:val="000000"/>
                <w:sz w:val="16"/>
              </w:rPr>
            </w:pPr>
          </w:p>
          <w:p w:rsidR="00B40966" w:rsidRDefault="00B40966">
            <w:pPr>
              <w:spacing w:before="120"/>
              <w:jc w:val="right"/>
              <w:rPr>
                <w:color w:val="000000"/>
                <w:sz w:val="16"/>
              </w:rPr>
            </w:pPr>
          </w:p>
          <w:p w:rsidR="00B40966" w:rsidRDefault="00B40966">
            <w:pPr>
              <w:spacing w:before="120"/>
              <w:jc w:val="right"/>
              <w:rPr>
                <w:color w:val="000000"/>
                <w:sz w:val="16"/>
              </w:rPr>
            </w:pPr>
            <w:r>
              <w:rPr>
                <w:color w:val="000000"/>
                <w:sz w:val="16"/>
              </w:rPr>
              <w:t>. . .</w:t>
            </w:r>
            <w:r>
              <w:rPr>
                <w:color w:val="000000"/>
                <w:sz w:val="16"/>
              </w:rPr>
              <w:br/>
              <w:t>15</w:t>
            </w:r>
            <w:r>
              <w:rPr>
                <w:color w:val="000000"/>
                <w:sz w:val="16"/>
              </w:rPr>
              <w:br/>
              <w:t>. . .</w:t>
            </w:r>
            <w:r>
              <w:rPr>
                <w:color w:val="000000"/>
                <w:sz w:val="16"/>
              </w:rPr>
              <w:br/>
              <w:t>. . .</w:t>
            </w:r>
          </w:p>
        </w:tc>
        <w:bookmarkStart w:id="244" w:name="_MON_1159698773"/>
        <w:bookmarkEnd w:id="244"/>
        <w:bookmarkStart w:id="245" w:name="_MON_1092054090"/>
        <w:bookmarkEnd w:id="245"/>
        <w:tc>
          <w:tcPr>
            <w:tcW w:w="1320" w:type="dxa"/>
            <w:tcBorders>
              <w:top w:val="single" w:sz="6" w:space="0" w:color="auto"/>
              <w:left w:val="single" w:sz="6" w:space="0" w:color="auto"/>
            </w:tcBorders>
          </w:tcPr>
          <w:p w:rsidR="00B40966" w:rsidRDefault="00B40966">
            <w:pPr>
              <w:spacing w:before="620"/>
              <w:rPr>
                <w:color w:val="000000"/>
                <w:sz w:val="16"/>
              </w:rPr>
            </w:pPr>
            <w:r>
              <w:rPr>
                <w:color w:val="000000"/>
                <w:sz w:val="20"/>
              </w:rPr>
              <w:object w:dxaOrig="1081" w:dyaOrig="541">
                <v:shape id="_x0000_i1047" type="#_x0000_t75" style="width:54pt;height:27pt" o:ole="" fillcolor="window">
                  <v:imagedata r:id="rId115" o:title=""/>
                </v:shape>
                <o:OLEObject Type="Embed" ProgID="Word.Picture.8" ShapeID="_x0000_i1047" DrawAspect="Content" ObjectID="_1595937064" r:id="rId116"/>
              </w:object>
            </w:r>
          </w:p>
        </w:tc>
      </w:tr>
      <w:tr w:rsidR="00B40966">
        <w:trPr>
          <w:cantSplit/>
          <w:trHeight w:val="65"/>
        </w:trPr>
        <w:tc>
          <w:tcPr>
            <w:tcW w:w="1380" w:type="dxa"/>
            <w:vMerge w:val="restart"/>
            <w:tcBorders>
              <w:top w:val="single" w:sz="6" w:space="0" w:color="auto"/>
              <w:bottom w:val="nil"/>
              <w:right w:val="single" w:sz="6" w:space="0" w:color="auto"/>
            </w:tcBorders>
          </w:tcPr>
          <w:p w:rsidR="00B40966" w:rsidRDefault="00B40966">
            <w:pPr>
              <w:ind w:left="140" w:right="160" w:hanging="20"/>
              <w:rPr>
                <w:color w:val="000000"/>
                <w:sz w:val="16"/>
              </w:rPr>
            </w:pPr>
            <w:r>
              <w:rPr>
                <w:color w:val="000000"/>
                <w:sz w:val="16"/>
              </w:rPr>
              <w:t>sheave pins, track wheel axles, winding drum spindles, pivots, jib hinges, trunnions, and other plain parallel bearings analogous thereto</w:t>
            </w:r>
          </w:p>
        </w:tc>
        <w:tc>
          <w:tcPr>
            <w:tcW w:w="600" w:type="dxa"/>
            <w:tcBorders>
              <w:top w:val="single" w:sz="6" w:space="0" w:color="auto"/>
              <w:left w:val="nil"/>
              <w:bottom w:val="single" w:sz="6" w:space="0" w:color="auto"/>
              <w:right w:val="single" w:sz="6" w:space="0" w:color="auto"/>
            </w:tcBorders>
          </w:tcPr>
          <w:p w:rsidR="00B40966" w:rsidRDefault="00B40966">
            <w:pPr>
              <w:spacing w:before="120"/>
              <w:rPr>
                <w:color w:val="000000"/>
                <w:sz w:val="16"/>
              </w:rPr>
            </w:pPr>
            <w:r>
              <w:rPr>
                <w:color w:val="000000"/>
                <w:sz w:val="16"/>
              </w:rPr>
              <w:t>M.S.</w:t>
            </w:r>
            <w:r>
              <w:rPr>
                <w:color w:val="000000"/>
                <w:sz w:val="16"/>
              </w:rPr>
              <w:br/>
              <w:t>H.S.</w:t>
            </w:r>
            <w:r>
              <w:rPr>
                <w:color w:val="000000"/>
                <w:sz w:val="16"/>
              </w:rPr>
              <w:br/>
              <w:t>H.S.</w:t>
            </w:r>
            <w:r>
              <w:rPr>
                <w:color w:val="000000"/>
                <w:sz w:val="16"/>
              </w:rPr>
              <w:br/>
              <w:t>H.S.</w:t>
            </w:r>
          </w:p>
        </w:tc>
        <w:tc>
          <w:tcPr>
            <w:tcW w:w="660" w:type="dxa"/>
            <w:tcBorders>
              <w:top w:val="single" w:sz="6" w:space="0" w:color="auto"/>
              <w:left w:val="single" w:sz="6" w:space="0" w:color="auto"/>
              <w:bottom w:val="single" w:sz="6" w:space="0" w:color="auto"/>
              <w:right w:val="single" w:sz="6" w:space="0" w:color="auto"/>
            </w:tcBorders>
          </w:tcPr>
          <w:p w:rsidR="00B40966" w:rsidRDefault="00B40966">
            <w:pPr>
              <w:spacing w:before="120"/>
              <w:rPr>
                <w:color w:val="000000"/>
                <w:sz w:val="16"/>
              </w:rPr>
            </w:pPr>
            <w:r>
              <w:rPr>
                <w:color w:val="000000"/>
                <w:sz w:val="16"/>
              </w:rPr>
              <w:t>M.S.</w:t>
            </w:r>
            <w:r>
              <w:rPr>
                <w:color w:val="000000"/>
                <w:sz w:val="16"/>
              </w:rPr>
              <w:br/>
              <w:t>H.S.</w:t>
            </w:r>
            <w:r>
              <w:rPr>
                <w:color w:val="000000"/>
                <w:sz w:val="16"/>
              </w:rPr>
              <w:br/>
              <w:t>C.I.</w:t>
            </w:r>
            <w:r>
              <w:rPr>
                <w:color w:val="000000"/>
                <w:sz w:val="16"/>
              </w:rPr>
              <w:br/>
              <w:t>P.B.</w:t>
            </w:r>
            <w:r>
              <w:rPr>
                <w:color w:val="000000"/>
                <w:sz w:val="16"/>
              </w:rPr>
              <w:br/>
              <w:t>or</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3 000</w:t>
            </w:r>
            <w:r>
              <w:rPr>
                <w:color w:val="000000"/>
                <w:sz w:val="16"/>
              </w:rPr>
              <w:br/>
              <w:t>7 000</w:t>
            </w:r>
            <w:r>
              <w:rPr>
                <w:color w:val="000000"/>
                <w:sz w:val="16"/>
              </w:rPr>
              <w:br/>
              <w:t>5 000</w:t>
            </w:r>
            <w:r>
              <w:rPr>
                <w:color w:val="000000"/>
                <w:sz w:val="16"/>
              </w:rPr>
              <w:br/>
              <w:t>6 000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5 300</w:t>
            </w:r>
            <w:r>
              <w:rPr>
                <w:color w:val="000000"/>
                <w:sz w:val="16"/>
              </w:rPr>
              <w:br/>
              <w:t>3 600</w:t>
            </w:r>
            <w:r>
              <w:rPr>
                <w:color w:val="000000"/>
                <w:sz w:val="16"/>
              </w:rPr>
              <w:br/>
              <w:t>5 650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4 300</w:t>
            </w:r>
            <w:r>
              <w:rPr>
                <w:color w:val="000000"/>
                <w:sz w:val="16"/>
              </w:rPr>
              <w:br/>
              <w:t>2 700</w:t>
            </w:r>
            <w:r>
              <w:rPr>
                <w:color w:val="000000"/>
                <w:sz w:val="16"/>
              </w:rPr>
              <w:br/>
              <w:t>4 900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3 750</w:t>
            </w:r>
            <w:r>
              <w:rPr>
                <w:color w:val="000000"/>
                <w:sz w:val="16"/>
              </w:rPr>
              <w:br/>
              <w:t>2 250</w:t>
            </w:r>
            <w:r>
              <w:rPr>
                <w:color w:val="000000"/>
                <w:sz w:val="16"/>
              </w:rPr>
              <w:br/>
              <w:t>4 400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3 350</w:t>
            </w:r>
            <w:r>
              <w:rPr>
                <w:color w:val="000000"/>
                <w:sz w:val="16"/>
              </w:rPr>
              <w:br/>
              <w:t>2 000</w:t>
            </w:r>
            <w:r>
              <w:rPr>
                <w:color w:val="000000"/>
                <w:sz w:val="16"/>
              </w:rPr>
              <w:br/>
              <w:t>4 000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3 100</w:t>
            </w:r>
            <w:r>
              <w:rPr>
                <w:color w:val="000000"/>
                <w:sz w:val="16"/>
              </w:rPr>
              <w:br/>
              <w:t>. . .</w:t>
            </w:r>
            <w:r>
              <w:rPr>
                <w:color w:val="000000"/>
                <w:sz w:val="16"/>
              </w:rPr>
              <w:br/>
              <w:t>3 650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2 900</w:t>
            </w:r>
            <w:r>
              <w:rPr>
                <w:color w:val="000000"/>
                <w:sz w:val="16"/>
              </w:rPr>
              <w:br/>
              <w:t>1 750</w:t>
            </w:r>
            <w:r>
              <w:rPr>
                <w:color w:val="000000"/>
                <w:sz w:val="16"/>
              </w:rPr>
              <w:br/>
              <w:t>3 400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2 600</w:t>
            </w:r>
            <w:r>
              <w:rPr>
                <w:color w:val="000000"/>
                <w:sz w:val="16"/>
              </w:rPr>
              <w:br/>
              <w:t>. . .</w:t>
            </w:r>
            <w:r>
              <w:rPr>
                <w:color w:val="000000"/>
                <w:sz w:val="16"/>
              </w:rPr>
              <w:br/>
              <w:t>3 000</w:t>
            </w:r>
          </w:p>
        </w:tc>
        <w:tc>
          <w:tcPr>
            <w:tcW w:w="5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2 400</w:t>
            </w:r>
            <w:r>
              <w:rPr>
                <w:color w:val="000000"/>
                <w:sz w:val="16"/>
              </w:rPr>
              <w:br/>
              <w:t>1 400</w:t>
            </w:r>
            <w:r>
              <w:rPr>
                <w:color w:val="000000"/>
                <w:sz w:val="16"/>
              </w:rPr>
              <w:br/>
              <w:t>2 800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2 000</w:t>
            </w:r>
            <w:r>
              <w:rPr>
                <w:color w:val="000000"/>
                <w:sz w:val="16"/>
              </w:rPr>
              <w:br/>
              <w:t>1 100</w:t>
            </w:r>
            <w:r>
              <w:rPr>
                <w:color w:val="000000"/>
                <w:sz w:val="16"/>
              </w:rPr>
              <w:br/>
              <w:t>2 500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1 150</w:t>
            </w:r>
            <w:r>
              <w:rPr>
                <w:color w:val="000000"/>
                <w:sz w:val="16"/>
              </w:rPr>
              <w:br/>
              <w:t>400</w:t>
            </w:r>
            <w:r>
              <w:rPr>
                <w:color w:val="000000"/>
                <w:sz w:val="16"/>
              </w:rPr>
              <w:br/>
              <w:t>2 230</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0</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r>
              <w:rPr>
                <w:color w:val="000000"/>
                <w:sz w:val="16"/>
              </w:rPr>
              <w:br/>
              <w:t>50</w:t>
            </w:r>
          </w:p>
        </w:tc>
        <w:bookmarkStart w:id="246" w:name="_MON_1159698774"/>
        <w:bookmarkEnd w:id="246"/>
        <w:tc>
          <w:tcPr>
            <w:tcW w:w="1320" w:type="dxa"/>
            <w:tcBorders>
              <w:top w:val="single" w:sz="6" w:space="0" w:color="auto"/>
              <w:bottom w:val="single" w:sz="6" w:space="0" w:color="auto"/>
            </w:tcBorders>
          </w:tcPr>
          <w:p w:rsidR="00B40966" w:rsidRDefault="00B40966">
            <w:pPr>
              <w:spacing w:before="240"/>
              <w:rPr>
                <w:color w:val="000000"/>
                <w:sz w:val="16"/>
              </w:rPr>
            </w:pPr>
            <w:r>
              <w:rPr>
                <w:color w:val="000000"/>
                <w:sz w:val="20"/>
              </w:rPr>
              <w:object w:dxaOrig="1081" w:dyaOrig="541">
                <v:shape id="_x0000_i1048" type="#_x0000_t75" style="width:54pt;height:27pt" o:ole="" fillcolor="window">
                  <v:imagedata r:id="rId115" o:title=""/>
                </v:shape>
                <o:OLEObject Type="Embed" ProgID="Word.Picture.8" ShapeID="_x0000_i1048" DrawAspect="Content" ObjectID="_1595937065" r:id="rId117"/>
              </w:object>
            </w:r>
          </w:p>
        </w:tc>
      </w:tr>
      <w:tr w:rsidR="00B40966">
        <w:trPr>
          <w:cantSplit/>
        </w:trPr>
        <w:tc>
          <w:tcPr>
            <w:tcW w:w="1380" w:type="dxa"/>
            <w:vMerge/>
            <w:tcBorders>
              <w:bottom w:val="nil"/>
              <w:right w:val="single" w:sz="6" w:space="0" w:color="auto"/>
            </w:tcBorders>
          </w:tcPr>
          <w:p w:rsidR="00B40966" w:rsidRDefault="00B40966">
            <w:pPr>
              <w:ind w:left="140" w:right="160" w:hanging="20"/>
              <w:rPr>
                <w:color w:val="000000"/>
                <w:sz w:val="16"/>
              </w:rPr>
            </w:pPr>
          </w:p>
        </w:tc>
        <w:tc>
          <w:tcPr>
            <w:tcW w:w="600" w:type="dxa"/>
            <w:tcBorders>
              <w:top w:val="single" w:sz="6" w:space="0" w:color="auto"/>
              <w:left w:val="nil"/>
              <w:bottom w:val="single" w:sz="6" w:space="0" w:color="auto"/>
              <w:right w:val="single" w:sz="6" w:space="0" w:color="auto"/>
            </w:tcBorders>
          </w:tcPr>
          <w:p w:rsidR="00B40966" w:rsidRDefault="00B40966">
            <w:pPr>
              <w:spacing w:before="120"/>
              <w:ind w:right="-40"/>
              <w:rPr>
                <w:color w:val="000000"/>
                <w:sz w:val="16"/>
              </w:rPr>
            </w:pPr>
            <w:r>
              <w:rPr>
                <w:color w:val="000000"/>
                <w:sz w:val="16"/>
              </w:rPr>
              <w:t>Med.S.</w:t>
            </w:r>
            <w:r>
              <w:rPr>
                <w:color w:val="000000"/>
                <w:sz w:val="16"/>
              </w:rPr>
              <w:br/>
              <w:t>Med.S.</w:t>
            </w:r>
            <w:r>
              <w:rPr>
                <w:color w:val="000000"/>
                <w:sz w:val="16"/>
              </w:rPr>
              <w:br/>
              <w:t>Med.S.</w:t>
            </w:r>
          </w:p>
        </w:tc>
        <w:tc>
          <w:tcPr>
            <w:tcW w:w="660" w:type="dxa"/>
            <w:tcBorders>
              <w:top w:val="single" w:sz="6" w:space="0" w:color="auto"/>
              <w:left w:val="single" w:sz="6" w:space="0" w:color="auto"/>
              <w:bottom w:val="single" w:sz="6" w:space="0" w:color="auto"/>
              <w:right w:val="single" w:sz="6" w:space="0" w:color="auto"/>
            </w:tcBorders>
          </w:tcPr>
          <w:p w:rsidR="00B40966" w:rsidRDefault="00B40966">
            <w:pPr>
              <w:spacing w:before="120"/>
              <w:rPr>
                <w:color w:val="000000"/>
                <w:sz w:val="16"/>
              </w:rPr>
            </w:pPr>
            <w:r>
              <w:rPr>
                <w:color w:val="000000"/>
                <w:sz w:val="16"/>
              </w:rPr>
              <w:t>C.I.</w:t>
            </w:r>
            <w:r>
              <w:rPr>
                <w:color w:val="000000"/>
                <w:sz w:val="16"/>
              </w:rPr>
              <w:br/>
              <w:t>W.M.</w:t>
            </w:r>
            <w:r>
              <w:rPr>
                <w:color w:val="000000"/>
                <w:sz w:val="16"/>
              </w:rPr>
              <w:br/>
              <w:t>P.B.</w:t>
            </w:r>
          </w:p>
        </w:tc>
        <w:tc>
          <w:tcPr>
            <w:tcW w:w="563"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3 120</w:t>
            </w:r>
            <w:r>
              <w:rPr>
                <w:color w:val="000000"/>
                <w:sz w:val="16"/>
              </w:rPr>
              <w:br/>
              <w:t>4 600</w:t>
            </w:r>
            <w:r>
              <w:rPr>
                <w:color w:val="000000"/>
                <w:sz w:val="16"/>
              </w:rPr>
              <w:br/>
              <w:t>4 600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2 400</w:t>
            </w:r>
            <w:r>
              <w:rPr>
                <w:color w:val="000000"/>
                <w:sz w:val="16"/>
              </w:rPr>
              <w:br/>
              <w:t>4 300</w:t>
            </w:r>
            <w:r>
              <w:rPr>
                <w:color w:val="000000"/>
                <w:sz w:val="16"/>
              </w:rPr>
              <w:br/>
              <w:t>4 140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1 500</w:t>
            </w:r>
            <w:r>
              <w:rPr>
                <w:color w:val="000000"/>
                <w:sz w:val="16"/>
              </w:rPr>
              <w:br/>
              <w:t>3 620</w:t>
            </w:r>
            <w:r>
              <w:rPr>
                <w:color w:val="000000"/>
                <w:sz w:val="16"/>
              </w:rPr>
              <w:br/>
              <w:t>3 220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1 020</w:t>
            </w:r>
            <w:r>
              <w:rPr>
                <w:color w:val="000000"/>
                <w:sz w:val="16"/>
              </w:rPr>
              <w:br/>
              <w:t>2 990</w:t>
            </w:r>
            <w:r>
              <w:rPr>
                <w:color w:val="000000"/>
                <w:sz w:val="16"/>
              </w:rPr>
              <w:br/>
              <w:t>2 530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780</w:t>
            </w:r>
            <w:r>
              <w:rPr>
                <w:color w:val="000000"/>
                <w:sz w:val="16"/>
              </w:rPr>
              <w:br/>
              <w:t>2 410</w:t>
            </w:r>
            <w:r>
              <w:rPr>
                <w:color w:val="000000"/>
                <w:sz w:val="16"/>
              </w:rPr>
              <w:br/>
              <w:t>1 960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600</w:t>
            </w:r>
            <w:r>
              <w:rPr>
                <w:color w:val="000000"/>
                <w:sz w:val="16"/>
              </w:rPr>
              <w:br/>
              <w:t>2 010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1 550</w:t>
            </w:r>
            <w:r>
              <w:rPr>
                <w:color w:val="000000"/>
                <w:sz w:val="16"/>
              </w:rPr>
              <w:br/>
              <w:t>1 265</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1 035</w:t>
            </w:r>
            <w:r>
              <w:rPr>
                <w:color w:val="000000"/>
                <w:sz w:val="16"/>
              </w:rPr>
              <w:br/>
              <w:t>800</w:t>
            </w:r>
          </w:p>
        </w:tc>
        <w:tc>
          <w:tcPr>
            <w:tcW w:w="5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360</w:t>
            </w:r>
            <w:r>
              <w:rPr>
                <w:color w:val="000000"/>
                <w:sz w:val="16"/>
              </w:rPr>
              <w:br/>
              <w:t>800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†550</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120</w:t>
            </w:r>
            <w:r>
              <w:rPr>
                <w:color w:val="000000"/>
                <w:sz w:val="16"/>
              </w:rPr>
              <w:br/>
              <w:t>. . .</w:t>
            </w:r>
            <w:r>
              <w:rPr>
                <w:color w:val="000000"/>
                <w:sz w:val="16"/>
              </w:rPr>
              <w:br/>
              <w:t>§300</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jc w:val="right"/>
              <w:rPr>
                <w:color w:val="000000"/>
                <w:sz w:val="16"/>
              </w:rPr>
            </w:pPr>
            <w:r>
              <w:rPr>
                <w:color w:val="000000"/>
                <w:sz w:val="16"/>
              </w:rPr>
              <w:t>20</w:t>
            </w:r>
            <w:r>
              <w:rPr>
                <w:color w:val="000000"/>
                <w:sz w:val="16"/>
              </w:rPr>
              <w:br/>
              <w:t>. . .</w:t>
            </w:r>
            <w:r>
              <w:rPr>
                <w:color w:val="000000"/>
                <w:sz w:val="16"/>
              </w:rPr>
              <w:br/>
              <w:t>. . .</w:t>
            </w:r>
          </w:p>
        </w:tc>
        <w:bookmarkStart w:id="247" w:name="_MON_1159698776"/>
        <w:bookmarkEnd w:id="247"/>
        <w:tc>
          <w:tcPr>
            <w:tcW w:w="1320" w:type="dxa"/>
            <w:tcBorders>
              <w:top w:val="single" w:sz="6" w:space="0" w:color="auto"/>
              <w:bottom w:val="single" w:sz="6" w:space="0" w:color="auto"/>
            </w:tcBorders>
          </w:tcPr>
          <w:p w:rsidR="00B40966" w:rsidRDefault="00B40966">
            <w:pPr>
              <w:rPr>
                <w:color w:val="000000"/>
                <w:sz w:val="16"/>
              </w:rPr>
            </w:pPr>
            <w:r>
              <w:rPr>
                <w:color w:val="000000"/>
                <w:sz w:val="20"/>
              </w:rPr>
              <w:object w:dxaOrig="1081" w:dyaOrig="541">
                <v:shape id="_x0000_i1049" type="#_x0000_t75" style="width:54pt;height:27pt" o:ole="" fillcolor="window">
                  <v:imagedata r:id="rId115" o:title=""/>
                </v:shape>
                <o:OLEObject Type="Embed" ProgID="Word.Picture.8" ShapeID="_x0000_i1049" DrawAspect="Content" ObjectID="_1595937066" r:id="rId118"/>
              </w:object>
            </w:r>
          </w:p>
        </w:tc>
      </w:tr>
      <w:tr w:rsidR="00B40966">
        <w:trPr>
          <w:cantSplit/>
        </w:trPr>
        <w:tc>
          <w:tcPr>
            <w:tcW w:w="1380" w:type="dxa"/>
            <w:vMerge/>
            <w:tcBorders>
              <w:bottom w:val="single" w:sz="6" w:space="0" w:color="auto"/>
              <w:right w:val="single" w:sz="6" w:space="0" w:color="auto"/>
            </w:tcBorders>
          </w:tcPr>
          <w:p w:rsidR="00B40966" w:rsidRDefault="00B40966">
            <w:pPr>
              <w:spacing w:before="120"/>
              <w:ind w:left="60" w:right="120" w:hanging="80"/>
              <w:rPr>
                <w:color w:val="000000"/>
                <w:sz w:val="16"/>
              </w:rPr>
            </w:pPr>
          </w:p>
        </w:tc>
        <w:tc>
          <w:tcPr>
            <w:tcW w:w="600" w:type="dxa"/>
            <w:tcBorders>
              <w:top w:val="single" w:sz="6" w:space="0" w:color="auto"/>
              <w:left w:val="nil"/>
              <w:bottom w:val="single" w:sz="6" w:space="0" w:color="auto"/>
              <w:right w:val="single" w:sz="6" w:space="0" w:color="auto"/>
            </w:tcBorders>
          </w:tcPr>
          <w:p w:rsidR="00B40966" w:rsidRDefault="00B40966">
            <w:pPr>
              <w:spacing w:before="120" w:after="120"/>
              <w:ind w:right="-40"/>
              <w:rPr>
                <w:color w:val="000000"/>
                <w:sz w:val="16"/>
              </w:rPr>
            </w:pPr>
            <w:r>
              <w:rPr>
                <w:color w:val="000000"/>
                <w:sz w:val="16"/>
              </w:rPr>
              <w:t>C.I.</w:t>
            </w:r>
            <w:r>
              <w:rPr>
                <w:color w:val="000000"/>
                <w:sz w:val="16"/>
              </w:rPr>
              <w:br/>
              <w:t>C.I.</w:t>
            </w:r>
            <w:r>
              <w:rPr>
                <w:color w:val="000000"/>
                <w:sz w:val="16"/>
              </w:rPr>
              <w:br/>
              <w:t>C.I.</w:t>
            </w:r>
          </w:p>
        </w:tc>
        <w:tc>
          <w:tcPr>
            <w:tcW w:w="66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rPr>
                <w:color w:val="000000"/>
                <w:sz w:val="16"/>
              </w:rPr>
            </w:pPr>
            <w:r>
              <w:rPr>
                <w:color w:val="000000"/>
                <w:sz w:val="16"/>
              </w:rPr>
              <w:t>C.I.</w:t>
            </w:r>
            <w:r>
              <w:rPr>
                <w:color w:val="000000"/>
                <w:sz w:val="16"/>
              </w:rPr>
              <w:br/>
              <w:t>G.M.</w:t>
            </w:r>
            <w:r>
              <w:rPr>
                <w:color w:val="000000"/>
                <w:sz w:val="16"/>
              </w:rPr>
              <w:br/>
              <w:t>W.M.</w:t>
            </w:r>
          </w:p>
        </w:tc>
        <w:tc>
          <w:tcPr>
            <w:tcW w:w="563"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1 800</w:t>
            </w:r>
            <w:r>
              <w:rPr>
                <w:color w:val="000000"/>
                <w:sz w:val="16"/>
              </w:rPr>
              <w:br/>
              <w:t>. . .</w:t>
            </w:r>
            <w:r>
              <w:rPr>
                <w:color w:val="000000"/>
                <w:sz w:val="16"/>
              </w:rPr>
              <w:br/>
              <w:t>3 500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1 500</w:t>
            </w:r>
            <w:r>
              <w:rPr>
                <w:color w:val="000000"/>
                <w:sz w:val="16"/>
              </w:rPr>
              <w:br/>
              <w:t>500</w:t>
            </w:r>
            <w:r>
              <w:rPr>
                <w:color w:val="000000"/>
                <w:sz w:val="16"/>
              </w:rPr>
              <w:br/>
              <w:t>2 750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1 000</w:t>
            </w:r>
            <w:r>
              <w:rPr>
                <w:color w:val="000000"/>
                <w:sz w:val="16"/>
              </w:rPr>
              <w:br/>
              <w:t>. . .</w:t>
            </w:r>
            <w:r>
              <w:rPr>
                <w:color w:val="000000"/>
                <w:sz w:val="16"/>
              </w:rPr>
              <w:br/>
              <w:t>1 900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700</w:t>
            </w:r>
            <w:r>
              <w:rPr>
                <w:color w:val="000000"/>
                <w:sz w:val="16"/>
              </w:rPr>
              <w:br/>
              <w:t>. . .</w:t>
            </w:r>
            <w:r>
              <w:rPr>
                <w:color w:val="000000"/>
                <w:sz w:val="16"/>
              </w:rPr>
              <w:br/>
              <w:t>1 500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500</w:t>
            </w:r>
            <w:r>
              <w:rPr>
                <w:color w:val="000000"/>
                <w:sz w:val="16"/>
              </w:rPr>
              <w:br/>
              <w:t>. . .</w:t>
            </w:r>
            <w:r>
              <w:rPr>
                <w:color w:val="000000"/>
                <w:sz w:val="16"/>
              </w:rPr>
              <w:br/>
              <w:t>1 200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400</w:t>
            </w:r>
            <w:r>
              <w:rPr>
                <w:color w:val="000000"/>
                <w:sz w:val="16"/>
              </w:rPr>
              <w:br/>
              <w:t>. . .</w:t>
            </w:r>
            <w:r>
              <w:rPr>
                <w:color w:val="000000"/>
                <w:sz w:val="16"/>
              </w:rPr>
              <w:br/>
              <w:t>1 000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350</w:t>
            </w:r>
            <w:r>
              <w:rPr>
                <w:color w:val="000000"/>
                <w:sz w:val="16"/>
              </w:rPr>
              <w:br/>
              <w:t>. . .</w:t>
            </w:r>
            <w:r>
              <w:rPr>
                <w:color w:val="000000"/>
                <w:sz w:val="16"/>
              </w:rPr>
              <w:br/>
              <w:t>800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 . .</w:t>
            </w:r>
            <w:r>
              <w:rPr>
                <w:color w:val="000000"/>
                <w:sz w:val="16"/>
              </w:rPr>
              <w:br/>
              <w:t>300</w:t>
            </w:r>
            <w:r>
              <w:rPr>
                <w:color w:val="000000"/>
                <w:sz w:val="16"/>
              </w:rPr>
              <w:br/>
              <w:t>600</w:t>
            </w:r>
          </w:p>
        </w:tc>
        <w:tc>
          <w:tcPr>
            <w:tcW w:w="56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300</w:t>
            </w:r>
            <w:r>
              <w:rPr>
                <w:color w:val="000000"/>
                <w:sz w:val="16"/>
              </w:rPr>
              <w:br/>
              <w:t>. . .</w:t>
            </w:r>
            <w:r>
              <w:rPr>
                <w:color w:val="000000"/>
                <w:sz w:val="16"/>
              </w:rPr>
              <w:br/>
              <w:t>*450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100</w:t>
            </w:r>
            <w:r>
              <w:rPr>
                <w:color w:val="000000"/>
                <w:sz w:val="16"/>
              </w:rPr>
              <w:br/>
              <w:t>100</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46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 . .</w:t>
            </w:r>
            <w:r>
              <w:rPr>
                <w:color w:val="000000"/>
                <w:sz w:val="16"/>
              </w:rPr>
              <w:br/>
              <w:t>. . .</w:t>
            </w:r>
            <w:r>
              <w:rPr>
                <w:color w:val="000000"/>
                <w:sz w:val="16"/>
              </w:rPr>
              <w:br/>
              <w:t>. . .</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spacing w:before="120" w:after="120"/>
              <w:jc w:val="right"/>
              <w:rPr>
                <w:color w:val="000000"/>
                <w:sz w:val="16"/>
              </w:rPr>
            </w:pPr>
            <w:r>
              <w:rPr>
                <w:color w:val="000000"/>
                <w:sz w:val="16"/>
              </w:rPr>
              <w:t>15</w:t>
            </w:r>
            <w:r>
              <w:rPr>
                <w:color w:val="000000"/>
                <w:sz w:val="16"/>
              </w:rPr>
              <w:br/>
              <w:t>15</w:t>
            </w:r>
            <w:r>
              <w:rPr>
                <w:color w:val="000000"/>
                <w:sz w:val="16"/>
              </w:rPr>
              <w:br/>
              <w:t>. . .</w:t>
            </w:r>
          </w:p>
        </w:tc>
        <w:bookmarkStart w:id="248" w:name="_MON_1159698778"/>
        <w:bookmarkEnd w:id="248"/>
        <w:tc>
          <w:tcPr>
            <w:tcW w:w="1320" w:type="dxa"/>
            <w:tcBorders>
              <w:top w:val="single" w:sz="6" w:space="0" w:color="auto"/>
              <w:bottom w:val="single" w:sz="6" w:space="0" w:color="auto"/>
            </w:tcBorders>
          </w:tcPr>
          <w:p w:rsidR="00B40966" w:rsidRDefault="00B40966">
            <w:pPr>
              <w:spacing w:after="120"/>
              <w:rPr>
                <w:color w:val="000000"/>
                <w:sz w:val="16"/>
              </w:rPr>
            </w:pPr>
            <w:r>
              <w:rPr>
                <w:color w:val="000000"/>
                <w:sz w:val="20"/>
              </w:rPr>
              <w:object w:dxaOrig="1081" w:dyaOrig="541">
                <v:shape id="_x0000_i1050" type="#_x0000_t75" style="width:54pt;height:27pt" o:ole="" fillcolor="window">
                  <v:imagedata r:id="rId115" o:title=""/>
                </v:shape>
                <o:OLEObject Type="Embed" ProgID="Word.Picture.8" ShapeID="_x0000_i1050" DrawAspect="Content" ObjectID="_1595937067" r:id="rId119"/>
              </w:object>
            </w:r>
          </w:p>
        </w:tc>
      </w:tr>
    </w:tbl>
    <w:p w:rsidR="00B40966" w:rsidRDefault="00B40966"/>
    <w:p w:rsidR="00B40966" w:rsidRDefault="00B40966">
      <w:pPr>
        <w:pStyle w:val="02TextLandscape"/>
        <w:sectPr w:rsidR="00B40966">
          <w:headerReference w:type="even" r:id="rId120"/>
          <w:headerReference w:type="default" r:id="rId121"/>
          <w:footerReference w:type="even" r:id="rId122"/>
          <w:footerReference w:type="default" r:id="rId123"/>
          <w:pgSz w:w="16839" w:h="11907" w:orient="landscape" w:code="9"/>
          <w:pgMar w:top="2300" w:right="3000" w:bottom="1900" w:left="2500" w:header="2480" w:footer="2100" w:gutter="0"/>
          <w:cols w:space="720"/>
          <w:docGrid w:linePitch="254"/>
        </w:sectPr>
      </w:pPr>
    </w:p>
    <w:p w:rsidR="00B40966" w:rsidRDefault="00B40966">
      <w:pPr>
        <w:pStyle w:val="Amain"/>
      </w:pPr>
      <w:r>
        <w:rPr>
          <w:color w:val="000000"/>
        </w:rPr>
        <w:tab/>
        <w:t>(52)</w:t>
      </w:r>
      <w:r>
        <w:rPr>
          <w:color w:val="000000"/>
        </w:rPr>
        <w:tab/>
        <w:t>The maximum intensities of bearing pressures between the surfaces of lubricated plain thrust bearings shall not exceed those shown in table 130.3, relevant and appropriate to the rubbing speeds, materials and way of use.</w:t>
      </w:r>
    </w:p>
    <w:p w:rsidR="00B40966" w:rsidRDefault="00B40966">
      <w:pPr>
        <w:pStyle w:val="TableHd"/>
        <w:ind w:left="1425" w:hanging="1425"/>
      </w:pPr>
      <w:r>
        <w:t>Table 130.3</w:t>
      </w:r>
      <w:r>
        <w:tab/>
        <w:t>Maximum permissible intensities of bearing pressures for lubricated plain thrust bearings, in pounds per square inch (if more specific provision is not made elsewhere in this regulation).  Intermediate values may be interpolated</w:t>
      </w:r>
    </w:p>
    <w:tbl>
      <w:tblPr>
        <w:tblW w:w="0" w:type="auto"/>
        <w:tblLayout w:type="fixed"/>
        <w:tblCellMar>
          <w:left w:w="80" w:type="dxa"/>
          <w:right w:w="80" w:type="dxa"/>
        </w:tblCellMar>
        <w:tblLook w:val="0000" w:firstRow="0" w:lastRow="0" w:firstColumn="0" w:lastColumn="0" w:noHBand="0" w:noVBand="0"/>
      </w:tblPr>
      <w:tblGrid>
        <w:gridCol w:w="1620"/>
        <w:gridCol w:w="660"/>
        <w:gridCol w:w="640"/>
        <w:gridCol w:w="620"/>
        <w:gridCol w:w="520"/>
        <w:gridCol w:w="540"/>
        <w:gridCol w:w="520"/>
        <w:gridCol w:w="520"/>
        <w:gridCol w:w="540"/>
        <w:gridCol w:w="1260"/>
      </w:tblGrid>
      <w:tr w:rsidR="00B40966">
        <w:trPr>
          <w:cantSplit/>
        </w:trPr>
        <w:tc>
          <w:tcPr>
            <w:tcW w:w="1620" w:type="dxa"/>
            <w:tcBorders>
              <w:top w:val="single" w:sz="6" w:space="0" w:color="auto"/>
              <w:right w:val="single" w:sz="6" w:space="0" w:color="auto"/>
            </w:tcBorders>
          </w:tcPr>
          <w:p w:rsidR="00B40966" w:rsidRDefault="00B40966">
            <w:pPr>
              <w:pStyle w:val="TableColHd"/>
              <w:rPr>
                <w:sz w:val="16"/>
              </w:rPr>
            </w:pPr>
            <w:r>
              <w:rPr>
                <w:sz w:val="16"/>
              </w:rPr>
              <w:t>materials in</w:t>
            </w:r>
          </w:p>
        </w:tc>
        <w:tc>
          <w:tcPr>
            <w:tcW w:w="4560" w:type="dxa"/>
            <w:gridSpan w:val="8"/>
            <w:tcBorders>
              <w:top w:val="single" w:sz="6" w:space="0" w:color="auto"/>
              <w:bottom w:val="single" w:sz="6" w:space="0" w:color="auto"/>
              <w:right w:val="single" w:sz="6" w:space="0" w:color="auto"/>
            </w:tcBorders>
          </w:tcPr>
          <w:p w:rsidR="00B40966" w:rsidRDefault="00B40966">
            <w:pPr>
              <w:pStyle w:val="TableColHd"/>
              <w:jc w:val="center"/>
              <w:rPr>
                <w:sz w:val="16"/>
              </w:rPr>
            </w:pPr>
            <w:r>
              <w:rPr>
                <w:sz w:val="16"/>
              </w:rPr>
              <w:t>maximum peripheral rubbing speed in feet/min—</w:t>
            </w:r>
          </w:p>
        </w:tc>
        <w:tc>
          <w:tcPr>
            <w:tcW w:w="1260" w:type="dxa"/>
            <w:tcBorders>
              <w:top w:val="single" w:sz="6" w:space="0" w:color="auto"/>
            </w:tcBorders>
          </w:tcPr>
          <w:p w:rsidR="00B40966" w:rsidRDefault="00B40966">
            <w:pPr>
              <w:pStyle w:val="TableColHd"/>
              <w:rPr>
                <w:sz w:val="16"/>
              </w:rPr>
            </w:pPr>
          </w:p>
        </w:tc>
      </w:tr>
      <w:tr w:rsidR="00B40966">
        <w:trPr>
          <w:cantSplit/>
        </w:trPr>
        <w:tc>
          <w:tcPr>
            <w:tcW w:w="1620" w:type="dxa"/>
            <w:tcBorders>
              <w:bottom w:val="single" w:sz="6" w:space="0" w:color="auto"/>
              <w:right w:val="single" w:sz="6" w:space="0" w:color="auto"/>
            </w:tcBorders>
          </w:tcPr>
          <w:p w:rsidR="00B40966" w:rsidRDefault="00B40966">
            <w:pPr>
              <w:pStyle w:val="TableColHd"/>
              <w:rPr>
                <w:sz w:val="16"/>
              </w:rPr>
            </w:pPr>
            <w:r>
              <w:rPr>
                <w:sz w:val="16"/>
              </w:rPr>
              <w:t>contact</w:t>
            </w:r>
          </w:p>
        </w:tc>
        <w:tc>
          <w:tcPr>
            <w:tcW w:w="660" w:type="dxa"/>
            <w:tcBorders>
              <w:bottom w:val="single" w:sz="6" w:space="0" w:color="auto"/>
            </w:tcBorders>
          </w:tcPr>
          <w:p w:rsidR="00B40966" w:rsidRDefault="00B40966">
            <w:pPr>
              <w:pStyle w:val="TableColHd"/>
              <w:rPr>
                <w:sz w:val="16"/>
              </w:rPr>
            </w:pPr>
            <w:r>
              <w:rPr>
                <w:sz w:val="16"/>
              </w:rPr>
              <w:t>10</w:t>
            </w:r>
          </w:p>
        </w:tc>
        <w:tc>
          <w:tcPr>
            <w:tcW w:w="64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20</w:t>
            </w:r>
          </w:p>
        </w:tc>
        <w:tc>
          <w:tcPr>
            <w:tcW w:w="62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40</w:t>
            </w:r>
          </w:p>
        </w:tc>
        <w:tc>
          <w:tcPr>
            <w:tcW w:w="52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80</w:t>
            </w:r>
          </w:p>
        </w:tc>
        <w:tc>
          <w:tcPr>
            <w:tcW w:w="54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100</w:t>
            </w:r>
          </w:p>
        </w:tc>
        <w:tc>
          <w:tcPr>
            <w:tcW w:w="52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150</w:t>
            </w:r>
          </w:p>
        </w:tc>
        <w:tc>
          <w:tcPr>
            <w:tcW w:w="520" w:type="dxa"/>
            <w:tcBorders>
              <w:left w:val="single" w:sz="6" w:space="0" w:color="auto"/>
              <w:bottom w:val="single" w:sz="6" w:space="0" w:color="auto"/>
              <w:right w:val="single" w:sz="6" w:space="0" w:color="auto"/>
            </w:tcBorders>
          </w:tcPr>
          <w:p w:rsidR="00B40966" w:rsidRDefault="00B40966">
            <w:pPr>
              <w:pStyle w:val="TableColHd"/>
              <w:rPr>
                <w:sz w:val="16"/>
              </w:rPr>
            </w:pPr>
            <w:r>
              <w:rPr>
                <w:sz w:val="16"/>
              </w:rPr>
              <w:t>200</w:t>
            </w:r>
          </w:p>
        </w:tc>
        <w:tc>
          <w:tcPr>
            <w:tcW w:w="540" w:type="dxa"/>
            <w:tcBorders>
              <w:bottom w:val="single" w:sz="6" w:space="0" w:color="auto"/>
              <w:right w:val="single" w:sz="6" w:space="0" w:color="auto"/>
            </w:tcBorders>
          </w:tcPr>
          <w:p w:rsidR="00B40966" w:rsidRDefault="00B40966">
            <w:pPr>
              <w:pStyle w:val="TableColHd"/>
              <w:rPr>
                <w:sz w:val="16"/>
              </w:rPr>
            </w:pPr>
            <w:r>
              <w:rPr>
                <w:sz w:val="16"/>
              </w:rPr>
              <w:t>500</w:t>
            </w:r>
          </w:p>
        </w:tc>
        <w:tc>
          <w:tcPr>
            <w:tcW w:w="1260" w:type="dxa"/>
            <w:tcBorders>
              <w:bottom w:val="single" w:sz="6" w:space="0" w:color="auto"/>
            </w:tcBorders>
          </w:tcPr>
          <w:p w:rsidR="00B40966" w:rsidRDefault="00B40966">
            <w:pPr>
              <w:pStyle w:val="TableColHd"/>
              <w:jc w:val="center"/>
              <w:rPr>
                <w:sz w:val="16"/>
              </w:rPr>
            </w:pPr>
            <w:r>
              <w:rPr>
                <w:sz w:val="16"/>
              </w:rPr>
              <w:t>note</w:t>
            </w:r>
          </w:p>
        </w:tc>
      </w:tr>
      <w:tr w:rsidR="00B40966">
        <w:trPr>
          <w:cantSplit/>
        </w:trPr>
        <w:tc>
          <w:tcPr>
            <w:tcW w:w="1620" w:type="dxa"/>
            <w:tcBorders>
              <w:top w:val="single" w:sz="6" w:space="0" w:color="auto"/>
              <w:bottom w:val="single" w:sz="6" w:space="0" w:color="auto"/>
              <w:right w:val="single" w:sz="6" w:space="0" w:color="auto"/>
            </w:tcBorders>
          </w:tcPr>
          <w:p w:rsidR="00B40966" w:rsidRDefault="00B40966">
            <w:pPr>
              <w:pStyle w:val="Amain"/>
              <w:spacing w:before="40" w:after="0"/>
              <w:rPr>
                <w:color w:val="000000"/>
              </w:rPr>
            </w:pPr>
            <w:r>
              <w:rPr>
                <w:color w:val="000000"/>
                <w:sz w:val="18"/>
              </w:rPr>
              <w:t>M.S on G.M.</w:t>
            </w:r>
          </w:p>
        </w:tc>
        <w:tc>
          <w:tcPr>
            <w:tcW w:w="660" w:type="dxa"/>
            <w:tcBorders>
              <w:top w:val="single" w:sz="6" w:space="0" w:color="auto"/>
              <w:bottom w:val="single" w:sz="6" w:space="0" w:color="auto"/>
            </w:tcBorders>
          </w:tcPr>
          <w:p w:rsidR="00B40966" w:rsidRDefault="00B40966">
            <w:pPr>
              <w:pStyle w:val="Amain"/>
              <w:spacing w:before="40" w:after="0"/>
              <w:jc w:val="right"/>
              <w:rPr>
                <w:color w:val="000000"/>
              </w:rPr>
            </w:pPr>
            <w:r>
              <w:rPr>
                <w:color w:val="000000"/>
                <w:sz w:val="18"/>
              </w:rPr>
              <w:t>1 500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850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320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100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80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60</w:t>
            </w:r>
          </w:p>
        </w:tc>
        <w:tc>
          <w:tcPr>
            <w:tcW w:w="540" w:type="dxa"/>
            <w:tcBorders>
              <w:top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50</w:t>
            </w:r>
          </w:p>
        </w:tc>
        <w:tc>
          <w:tcPr>
            <w:tcW w:w="1260" w:type="dxa"/>
            <w:vMerge w:val="restart"/>
            <w:tcBorders>
              <w:top w:val="single" w:sz="6" w:space="0" w:color="auto"/>
            </w:tcBorders>
            <w:vAlign w:val="center"/>
          </w:tcPr>
          <w:p w:rsidR="00B40966" w:rsidRDefault="00B40966">
            <w:pPr>
              <w:pStyle w:val="Amain"/>
              <w:spacing w:before="40" w:after="0"/>
              <w:ind w:left="0" w:firstLine="0"/>
              <w:rPr>
                <w:color w:val="000000"/>
                <w:sz w:val="16"/>
              </w:rPr>
            </w:pPr>
          </w:p>
        </w:tc>
      </w:tr>
      <w:tr w:rsidR="00B40966">
        <w:trPr>
          <w:cantSplit/>
        </w:trPr>
        <w:tc>
          <w:tcPr>
            <w:tcW w:w="1620" w:type="dxa"/>
            <w:tcBorders>
              <w:top w:val="single" w:sz="6" w:space="0" w:color="auto"/>
              <w:bottom w:val="single" w:sz="6" w:space="0" w:color="auto"/>
              <w:right w:val="single" w:sz="6" w:space="0" w:color="auto"/>
            </w:tcBorders>
          </w:tcPr>
          <w:p w:rsidR="00B40966" w:rsidRDefault="00B40966">
            <w:pPr>
              <w:pStyle w:val="Amain"/>
              <w:spacing w:before="40" w:after="0"/>
              <w:rPr>
                <w:color w:val="000000"/>
              </w:rPr>
            </w:pPr>
            <w:r>
              <w:rPr>
                <w:color w:val="000000"/>
                <w:sz w:val="18"/>
              </w:rPr>
              <w:t>M.S. on W.M.</w:t>
            </w:r>
          </w:p>
        </w:tc>
        <w:tc>
          <w:tcPr>
            <w:tcW w:w="660" w:type="dxa"/>
            <w:tcBorders>
              <w:top w:val="single" w:sz="6" w:space="0" w:color="auto"/>
              <w:bottom w:val="single" w:sz="6" w:space="0" w:color="auto"/>
            </w:tcBorders>
          </w:tcPr>
          <w:p w:rsidR="00B40966" w:rsidRDefault="00B40966">
            <w:pPr>
              <w:pStyle w:val="Amain"/>
              <w:spacing w:before="40" w:after="0"/>
              <w:jc w:val="right"/>
              <w:rPr>
                <w:color w:val="000000"/>
              </w:rPr>
            </w:pPr>
            <w:r>
              <w:rPr>
                <w:color w:val="000000"/>
                <w:sz w:val="18"/>
              </w:rPr>
              <w:t>1 800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1 100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160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150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120</w:t>
            </w:r>
          </w:p>
        </w:tc>
        <w:tc>
          <w:tcPr>
            <w:tcW w:w="540" w:type="dxa"/>
            <w:tcBorders>
              <w:top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100</w:t>
            </w:r>
          </w:p>
        </w:tc>
        <w:tc>
          <w:tcPr>
            <w:tcW w:w="1260" w:type="dxa"/>
            <w:vMerge/>
          </w:tcPr>
          <w:p w:rsidR="00B40966" w:rsidRDefault="00B40966">
            <w:pPr>
              <w:pStyle w:val="Amain"/>
              <w:spacing w:before="40" w:after="0"/>
              <w:rPr>
                <w:color w:val="000000"/>
              </w:rPr>
            </w:pPr>
          </w:p>
        </w:tc>
      </w:tr>
      <w:tr w:rsidR="00B40966">
        <w:trPr>
          <w:cantSplit/>
        </w:trPr>
        <w:tc>
          <w:tcPr>
            <w:tcW w:w="1620" w:type="dxa"/>
            <w:tcBorders>
              <w:top w:val="single" w:sz="6" w:space="0" w:color="auto"/>
              <w:bottom w:val="single" w:sz="6" w:space="0" w:color="auto"/>
              <w:right w:val="single" w:sz="6" w:space="0" w:color="auto"/>
            </w:tcBorders>
          </w:tcPr>
          <w:p w:rsidR="00B40966" w:rsidRDefault="00B40966">
            <w:pPr>
              <w:pStyle w:val="Amain"/>
              <w:spacing w:before="40" w:after="0"/>
              <w:rPr>
                <w:color w:val="000000"/>
              </w:rPr>
            </w:pPr>
            <w:r>
              <w:rPr>
                <w:color w:val="000000"/>
                <w:sz w:val="18"/>
              </w:rPr>
              <w:t>Med.S. on P.B.</w:t>
            </w:r>
          </w:p>
        </w:tc>
        <w:tc>
          <w:tcPr>
            <w:tcW w:w="660" w:type="dxa"/>
            <w:tcBorders>
              <w:top w:val="single" w:sz="6" w:space="0" w:color="auto"/>
              <w:bottom w:val="single" w:sz="6" w:space="0" w:color="auto"/>
            </w:tcBorders>
          </w:tcPr>
          <w:p w:rsidR="00B40966" w:rsidRDefault="00B40966">
            <w:pPr>
              <w:pStyle w:val="Amain"/>
              <w:spacing w:before="40" w:after="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1 650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750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170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165</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155</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145</w:t>
            </w:r>
          </w:p>
        </w:tc>
        <w:tc>
          <w:tcPr>
            <w:tcW w:w="540" w:type="dxa"/>
            <w:tcBorders>
              <w:top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80</w:t>
            </w:r>
          </w:p>
        </w:tc>
        <w:tc>
          <w:tcPr>
            <w:tcW w:w="1260" w:type="dxa"/>
            <w:vMerge/>
          </w:tcPr>
          <w:p w:rsidR="00B40966" w:rsidRDefault="00B40966">
            <w:pPr>
              <w:pStyle w:val="Amain"/>
              <w:spacing w:before="40" w:after="0"/>
              <w:rPr>
                <w:color w:val="000000"/>
              </w:rPr>
            </w:pPr>
          </w:p>
        </w:tc>
      </w:tr>
      <w:tr w:rsidR="00B40966">
        <w:trPr>
          <w:cantSplit/>
        </w:trPr>
        <w:tc>
          <w:tcPr>
            <w:tcW w:w="1620" w:type="dxa"/>
            <w:tcBorders>
              <w:top w:val="single" w:sz="6" w:space="0" w:color="auto"/>
              <w:bottom w:val="single" w:sz="6" w:space="0" w:color="auto"/>
              <w:right w:val="single" w:sz="6" w:space="0" w:color="auto"/>
            </w:tcBorders>
          </w:tcPr>
          <w:p w:rsidR="00B40966" w:rsidRDefault="00B40966">
            <w:pPr>
              <w:pStyle w:val="Amain"/>
              <w:spacing w:before="40" w:after="0"/>
              <w:rPr>
                <w:color w:val="000000"/>
              </w:rPr>
            </w:pPr>
            <w:r>
              <w:rPr>
                <w:color w:val="000000"/>
                <w:sz w:val="18"/>
              </w:rPr>
              <w:t>Med.S. on W.S.</w:t>
            </w:r>
          </w:p>
        </w:tc>
        <w:tc>
          <w:tcPr>
            <w:tcW w:w="660" w:type="dxa"/>
            <w:tcBorders>
              <w:top w:val="single" w:sz="6" w:space="0" w:color="auto"/>
              <w:bottom w:val="single" w:sz="6" w:space="0" w:color="auto"/>
            </w:tcBorders>
          </w:tcPr>
          <w:p w:rsidR="00B40966" w:rsidRDefault="00B40966">
            <w:pPr>
              <w:pStyle w:val="Amain"/>
              <w:spacing w:before="40" w:after="0"/>
              <w:jc w:val="right"/>
              <w:rPr>
                <w:color w:val="000000"/>
              </w:rPr>
            </w:pPr>
            <w:r>
              <w:rPr>
                <w:color w:val="000000"/>
                <w:sz w:val="18"/>
              </w:rPr>
              <w:t>2 500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1 880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1 000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300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200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190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180</w:t>
            </w:r>
          </w:p>
        </w:tc>
        <w:tc>
          <w:tcPr>
            <w:tcW w:w="540" w:type="dxa"/>
            <w:tcBorders>
              <w:top w:val="single" w:sz="6" w:space="0" w:color="auto"/>
              <w:bottom w:val="single" w:sz="6" w:space="0" w:color="auto"/>
              <w:right w:val="single" w:sz="6" w:space="0" w:color="auto"/>
            </w:tcBorders>
          </w:tcPr>
          <w:p w:rsidR="00B40966" w:rsidRDefault="00B40966">
            <w:pPr>
              <w:pStyle w:val="Amain"/>
              <w:spacing w:before="40" w:after="0"/>
              <w:jc w:val="right"/>
              <w:rPr>
                <w:color w:val="000000"/>
              </w:rPr>
            </w:pPr>
            <w:r>
              <w:rPr>
                <w:color w:val="000000"/>
                <w:sz w:val="18"/>
              </w:rPr>
              <w:t>110</w:t>
            </w:r>
          </w:p>
        </w:tc>
        <w:tc>
          <w:tcPr>
            <w:tcW w:w="1260" w:type="dxa"/>
            <w:vMerge w:val="restart"/>
            <w:vAlign w:val="center"/>
          </w:tcPr>
          <w:p w:rsidR="00B40966" w:rsidRDefault="00B40966">
            <w:pPr>
              <w:pStyle w:val="Amain"/>
              <w:spacing w:before="40" w:after="0"/>
              <w:ind w:left="0" w:firstLine="0"/>
              <w:rPr>
                <w:color w:val="000000"/>
              </w:rPr>
            </w:pPr>
            <w:r>
              <w:rPr>
                <w:color w:val="000000"/>
                <w:sz w:val="16"/>
              </w:rPr>
              <w:t xml:space="preserve">Pressures </w:t>
            </w:r>
            <w:r>
              <w:rPr>
                <w:color w:val="000000"/>
                <w:sz w:val="16"/>
              </w:rPr>
              <w:br/>
              <w:t>given are for intermittent running</w:t>
            </w:r>
          </w:p>
        </w:tc>
      </w:tr>
      <w:tr w:rsidR="00B40966">
        <w:trPr>
          <w:cantSplit/>
        </w:trPr>
        <w:tc>
          <w:tcPr>
            <w:tcW w:w="1620" w:type="dxa"/>
            <w:tcBorders>
              <w:top w:val="single" w:sz="6" w:space="0" w:color="auto"/>
              <w:bottom w:val="single" w:sz="6" w:space="0" w:color="auto"/>
              <w:right w:val="single" w:sz="6" w:space="0" w:color="auto"/>
            </w:tcBorders>
          </w:tcPr>
          <w:p w:rsidR="00B40966" w:rsidRDefault="00B40966">
            <w:pPr>
              <w:pStyle w:val="Amain"/>
              <w:rPr>
                <w:color w:val="000000"/>
              </w:rPr>
            </w:pPr>
            <w:r>
              <w:rPr>
                <w:color w:val="000000"/>
                <w:sz w:val="18"/>
              </w:rPr>
              <w:fldChar w:fldCharType="begin"/>
            </w:r>
            <w:r>
              <w:rPr>
                <w:color w:val="000000"/>
                <w:sz w:val="18"/>
              </w:rPr>
              <w:instrText xml:space="preserve"> EQ \B\RC\}(\A\HS10(H.S. on P.B.,or,H.S. on W.M.)) </w:instrText>
            </w:r>
            <w:r>
              <w:rPr>
                <w:color w:val="000000"/>
                <w:sz w:val="18"/>
              </w:rPr>
              <w:fldChar w:fldCharType="end"/>
            </w:r>
          </w:p>
        </w:tc>
        <w:tc>
          <w:tcPr>
            <w:tcW w:w="660" w:type="dxa"/>
            <w:tcBorders>
              <w:top w:val="single" w:sz="6" w:space="0" w:color="auto"/>
              <w:bottom w:val="single" w:sz="6" w:space="0" w:color="auto"/>
            </w:tcBorders>
          </w:tcPr>
          <w:p w:rsidR="00B40966" w:rsidRDefault="00B40966">
            <w:pPr>
              <w:pStyle w:val="Amain"/>
              <w:jc w:val="right"/>
              <w:rPr>
                <w:color w:val="000000"/>
              </w:rPr>
            </w:pPr>
            <w:r>
              <w:rPr>
                <w:color w:val="000000"/>
                <w:sz w:val="18"/>
              </w:rPr>
              <w:t>4 000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2 600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1 500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600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500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460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410</w:t>
            </w:r>
          </w:p>
        </w:tc>
        <w:tc>
          <w:tcPr>
            <w:tcW w:w="540" w:type="dxa"/>
            <w:tcBorders>
              <w:top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150</w:t>
            </w:r>
          </w:p>
        </w:tc>
        <w:tc>
          <w:tcPr>
            <w:tcW w:w="1260" w:type="dxa"/>
            <w:vMerge/>
          </w:tcPr>
          <w:p w:rsidR="00B40966" w:rsidRDefault="00B40966">
            <w:pPr>
              <w:rPr>
                <w:sz w:val="16"/>
              </w:rPr>
            </w:pPr>
          </w:p>
        </w:tc>
      </w:tr>
      <w:tr w:rsidR="00B40966">
        <w:trPr>
          <w:cantSplit/>
        </w:trPr>
        <w:tc>
          <w:tcPr>
            <w:tcW w:w="1620" w:type="dxa"/>
            <w:tcBorders>
              <w:top w:val="single" w:sz="6" w:space="0" w:color="auto"/>
              <w:bottom w:val="single" w:sz="6" w:space="0" w:color="auto"/>
              <w:right w:val="single" w:sz="6" w:space="0" w:color="auto"/>
            </w:tcBorders>
          </w:tcPr>
          <w:p w:rsidR="00B40966" w:rsidRDefault="00DA6E8C">
            <w:pPr>
              <w:pStyle w:val="Amain"/>
              <w:rPr>
                <w:color w:val="000000"/>
              </w:rPr>
            </w:pPr>
            <w:r>
              <w:rPr>
                <w:noProof/>
                <w:color w:val="000000"/>
                <w:position w:val="-10"/>
                <w:sz w:val="18"/>
                <w:lang w:eastAsia="en-AU"/>
              </w:rPr>
              <w:drawing>
                <wp:inline distT="0" distB="0" distL="0" distR="0">
                  <wp:extent cx="104775" cy="1809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04775" cy="180975"/>
                          </a:xfrm>
                          <a:prstGeom prst="rect">
                            <a:avLst/>
                          </a:prstGeom>
                          <a:noFill/>
                          <a:ln>
                            <a:noFill/>
                          </a:ln>
                        </pic:spPr>
                      </pic:pic>
                    </a:graphicData>
                  </a:graphic>
                </wp:inline>
              </w:drawing>
            </w:r>
          </w:p>
        </w:tc>
        <w:tc>
          <w:tcPr>
            <w:tcW w:w="660" w:type="dxa"/>
            <w:tcBorders>
              <w:top w:val="single" w:sz="6" w:space="0" w:color="auto"/>
              <w:bottom w:val="single" w:sz="6" w:space="0" w:color="auto"/>
            </w:tcBorders>
          </w:tcPr>
          <w:p w:rsidR="00B40966" w:rsidRDefault="00B40966">
            <w:pPr>
              <w:pStyle w:val="Amain"/>
              <w:jc w:val="right"/>
              <w:rPr>
                <w:color w:val="000000"/>
              </w:rPr>
            </w:pPr>
            <w:r>
              <w:rPr>
                <w:color w:val="000000"/>
                <w:sz w:val="18"/>
              </w:rPr>
              <w:t>750</w:t>
            </w:r>
          </w:p>
        </w:tc>
        <w:tc>
          <w:tcPr>
            <w:tcW w:w="64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400</w:t>
            </w:r>
          </w:p>
        </w:tc>
        <w:tc>
          <w:tcPr>
            <w:tcW w:w="6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110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60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50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40</w:t>
            </w:r>
          </w:p>
        </w:tc>
        <w:tc>
          <w:tcPr>
            <w:tcW w:w="520" w:type="dxa"/>
            <w:tcBorders>
              <w:top w:val="single" w:sz="6" w:space="0" w:color="auto"/>
              <w:left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30</w:t>
            </w:r>
          </w:p>
        </w:tc>
        <w:tc>
          <w:tcPr>
            <w:tcW w:w="540" w:type="dxa"/>
            <w:tcBorders>
              <w:top w:val="single" w:sz="6" w:space="0" w:color="auto"/>
              <w:bottom w:val="single" w:sz="6" w:space="0" w:color="auto"/>
              <w:right w:val="single" w:sz="6" w:space="0" w:color="auto"/>
            </w:tcBorders>
          </w:tcPr>
          <w:p w:rsidR="00B40966" w:rsidRDefault="00B40966">
            <w:pPr>
              <w:pStyle w:val="Amain"/>
              <w:jc w:val="right"/>
              <w:rPr>
                <w:color w:val="000000"/>
              </w:rPr>
            </w:pPr>
            <w:r>
              <w:rPr>
                <w:color w:val="000000"/>
                <w:sz w:val="18"/>
              </w:rPr>
              <w:t>10</w:t>
            </w:r>
          </w:p>
        </w:tc>
        <w:tc>
          <w:tcPr>
            <w:tcW w:w="1260" w:type="dxa"/>
            <w:vMerge/>
            <w:tcBorders>
              <w:bottom w:val="single" w:sz="6" w:space="0" w:color="auto"/>
            </w:tcBorders>
          </w:tcPr>
          <w:p w:rsidR="00B40966" w:rsidRDefault="00B40966"/>
        </w:tc>
      </w:tr>
    </w:tbl>
    <w:p w:rsidR="00B40966" w:rsidRDefault="00B40966"/>
    <w:p w:rsidR="00B40966" w:rsidRDefault="00B40966">
      <w:pPr>
        <w:pStyle w:val="Amain"/>
        <w:keepNext/>
      </w:pPr>
      <w:r>
        <w:rPr>
          <w:color w:val="000000"/>
        </w:rPr>
        <w:tab/>
        <w:t>(53)</w:t>
      </w:r>
      <w:r>
        <w:rPr>
          <w:color w:val="000000"/>
        </w:rPr>
        <w:tab/>
        <w:t>The maximum intensities of bearing pressures between lubricated plain sliding surfaces shall not exceed those shown in table 130.4, relevant and appropriate to the rubbing speeds, materials and way of use.</w:t>
      </w:r>
    </w:p>
    <w:p w:rsidR="00B40966" w:rsidRDefault="00B40966">
      <w:pPr>
        <w:pStyle w:val="TableHd"/>
        <w:ind w:left="1425" w:hanging="1425"/>
      </w:pPr>
      <w:r>
        <w:t>Table 130.4</w:t>
      </w:r>
      <w:r>
        <w:tab/>
        <w:t>Maximum permissible intensities of bearing pressures for lubricated plain sliding surfaces, in pounds per square inch (if more specific provision is not made elsewhere in this regulation).  Intermediate values may be interpolated</w:t>
      </w:r>
    </w:p>
    <w:tbl>
      <w:tblPr>
        <w:tblW w:w="0" w:type="auto"/>
        <w:tblInd w:w="-40" w:type="dxa"/>
        <w:tblLayout w:type="fixed"/>
        <w:tblCellMar>
          <w:left w:w="80" w:type="dxa"/>
          <w:right w:w="80" w:type="dxa"/>
        </w:tblCellMar>
        <w:tblLook w:val="0000" w:firstRow="0" w:lastRow="0" w:firstColumn="0" w:lastColumn="0" w:noHBand="0" w:noVBand="0"/>
      </w:tblPr>
      <w:tblGrid>
        <w:gridCol w:w="1360"/>
        <w:gridCol w:w="500"/>
        <w:gridCol w:w="500"/>
        <w:gridCol w:w="660"/>
        <w:gridCol w:w="980"/>
        <w:gridCol w:w="1020"/>
        <w:gridCol w:w="2460"/>
      </w:tblGrid>
      <w:tr w:rsidR="00B40966">
        <w:trPr>
          <w:cantSplit/>
          <w:tblHeader/>
        </w:trPr>
        <w:tc>
          <w:tcPr>
            <w:tcW w:w="1360" w:type="dxa"/>
            <w:tcBorders>
              <w:top w:val="single" w:sz="6" w:space="0" w:color="auto"/>
              <w:right w:val="single" w:sz="6" w:space="0" w:color="auto"/>
            </w:tcBorders>
          </w:tcPr>
          <w:p w:rsidR="00B40966" w:rsidRDefault="00B40966">
            <w:pPr>
              <w:pStyle w:val="TableColHd"/>
              <w:rPr>
                <w:sz w:val="16"/>
              </w:rPr>
            </w:pPr>
            <w:r>
              <w:rPr>
                <w:sz w:val="16"/>
              </w:rPr>
              <w:t>materials</w:t>
            </w:r>
          </w:p>
        </w:tc>
        <w:tc>
          <w:tcPr>
            <w:tcW w:w="3660" w:type="dxa"/>
            <w:gridSpan w:val="5"/>
            <w:tcBorders>
              <w:top w:val="single" w:sz="6" w:space="0" w:color="auto"/>
            </w:tcBorders>
          </w:tcPr>
          <w:p w:rsidR="00B40966" w:rsidRDefault="00B40966">
            <w:pPr>
              <w:pStyle w:val="TableColHd"/>
              <w:jc w:val="center"/>
              <w:rPr>
                <w:sz w:val="16"/>
              </w:rPr>
            </w:pPr>
            <w:r>
              <w:rPr>
                <w:sz w:val="16"/>
              </w:rPr>
              <w:t>maximun rubbing speed in feet/min—</w:t>
            </w:r>
          </w:p>
        </w:tc>
        <w:tc>
          <w:tcPr>
            <w:tcW w:w="2460" w:type="dxa"/>
            <w:tcBorders>
              <w:top w:val="single" w:sz="6" w:space="0" w:color="auto"/>
              <w:left w:val="single" w:sz="6" w:space="0" w:color="auto"/>
            </w:tcBorders>
          </w:tcPr>
          <w:p w:rsidR="00B40966" w:rsidRDefault="00B40966">
            <w:pPr>
              <w:pStyle w:val="TableColHd"/>
              <w:rPr>
                <w:sz w:val="16"/>
              </w:rPr>
            </w:pPr>
          </w:p>
        </w:tc>
      </w:tr>
      <w:tr w:rsidR="00B40966">
        <w:trPr>
          <w:cantSplit/>
          <w:tblHeader/>
        </w:trPr>
        <w:tc>
          <w:tcPr>
            <w:tcW w:w="1360" w:type="dxa"/>
            <w:tcBorders>
              <w:bottom w:val="single" w:sz="6" w:space="0" w:color="auto"/>
              <w:right w:val="single" w:sz="6" w:space="0" w:color="auto"/>
            </w:tcBorders>
          </w:tcPr>
          <w:p w:rsidR="00B40966" w:rsidRDefault="00B40966">
            <w:pPr>
              <w:pStyle w:val="TableColHd"/>
              <w:rPr>
                <w:sz w:val="16"/>
              </w:rPr>
            </w:pPr>
            <w:r>
              <w:rPr>
                <w:sz w:val="16"/>
              </w:rPr>
              <w:t>in contact</w:t>
            </w:r>
          </w:p>
        </w:tc>
        <w:tc>
          <w:tcPr>
            <w:tcW w:w="500" w:type="dxa"/>
            <w:tcBorders>
              <w:top w:val="single" w:sz="6" w:space="0" w:color="auto"/>
              <w:left w:val="single" w:sz="6" w:space="0" w:color="auto"/>
              <w:bottom w:val="single" w:sz="6" w:space="0" w:color="auto"/>
              <w:right w:val="single" w:sz="6" w:space="0" w:color="auto"/>
            </w:tcBorders>
          </w:tcPr>
          <w:p w:rsidR="00B40966" w:rsidRDefault="00B40966">
            <w:pPr>
              <w:pStyle w:val="TableColHd"/>
              <w:jc w:val="center"/>
              <w:rPr>
                <w:sz w:val="16"/>
              </w:rPr>
            </w:pPr>
            <w:r>
              <w:rPr>
                <w:sz w:val="16"/>
              </w:rPr>
              <w:t>209</w:t>
            </w:r>
          </w:p>
        </w:tc>
        <w:tc>
          <w:tcPr>
            <w:tcW w:w="500" w:type="dxa"/>
            <w:tcBorders>
              <w:top w:val="single" w:sz="6" w:space="0" w:color="auto"/>
              <w:left w:val="single" w:sz="6" w:space="0" w:color="auto"/>
              <w:bottom w:val="single" w:sz="6" w:space="0" w:color="auto"/>
              <w:right w:val="single" w:sz="6" w:space="0" w:color="auto"/>
            </w:tcBorders>
          </w:tcPr>
          <w:p w:rsidR="00B40966" w:rsidRDefault="00B40966">
            <w:pPr>
              <w:pStyle w:val="TableColHd"/>
              <w:jc w:val="center"/>
              <w:rPr>
                <w:sz w:val="16"/>
              </w:rPr>
            </w:pPr>
            <w:r>
              <w:rPr>
                <w:sz w:val="16"/>
              </w:rPr>
              <w:t>300</w:t>
            </w:r>
          </w:p>
        </w:tc>
        <w:tc>
          <w:tcPr>
            <w:tcW w:w="660" w:type="dxa"/>
            <w:tcBorders>
              <w:top w:val="single" w:sz="6" w:space="0" w:color="auto"/>
              <w:left w:val="single" w:sz="6" w:space="0" w:color="auto"/>
              <w:bottom w:val="single" w:sz="6" w:space="0" w:color="auto"/>
              <w:right w:val="single" w:sz="6" w:space="0" w:color="auto"/>
            </w:tcBorders>
          </w:tcPr>
          <w:p w:rsidR="00B40966" w:rsidRDefault="00B40966">
            <w:pPr>
              <w:pStyle w:val="TableColHd"/>
              <w:jc w:val="center"/>
              <w:rPr>
                <w:sz w:val="16"/>
              </w:rPr>
            </w:pPr>
            <w:r>
              <w:rPr>
                <w:sz w:val="16"/>
              </w:rPr>
              <w:t>1 200</w:t>
            </w:r>
          </w:p>
        </w:tc>
        <w:tc>
          <w:tcPr>
            <w:tcW w:w="20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ColHd"/>
              <w:jc w:val="center"/>
              <w:rPr>
                <w:sz w:val="16"/>
              </w:rPr>
            </w:pPr>
            <w:r>
              <w:rPr>
                <w:sz w:val="16"/>
              </w:rPr>
              <w:t>S</w:t>
            </w:r>
          </w:p>
        </w:tc>
        <w:tc>
          <w:tcPr>
            <w:tcW w:w="2460" w:type="dxa"/>
            <w:tcBorders>
              <w:left w:val="single" w:sz="6" w:space="0" w:color="auto"/>
              <w:bottom w:val="single" w:sz="6" w:space="0" w:color="auto"/>
            </w:tcBorders>
          </w:tcPr>
          <w:p w:rsidR="00B40966" w:rsidRDefault="00B40966">
            <w:pPr>
              <w:pStyle w:val="TableColHd"/>
              <w:jc w:val="center"/>
              <w:rPr>
                <w:sz w:val="16"/>
              </w:rPr>
            </w:pPr>
            <w:r>
              <w:rPr>
                <w:sz w:val="16"/>
              </w:rPr>
              <w:t>note</w:t>
            </w:r>
          </w:p>
        </w:tc>
      </w:tr>
      <w:tr w:rsidR="00B40966">
        <w:trPr>
          <w:cantSplit/>
        </w:trPr>
        <w:tc>
          <w:tcPr>
            <w:tcW w:w="1360" w:type="dxa"/>
            <w:tcBorders>
              <w:right w:val="single" w:sz="6" w:space="0" w:color="auto"/>
            </w:tcBorders>
            <w:vAlign w:val="center"/>
          </w:tcPr>
          <w:p w:rsidR="00B40966" w:rsidRDefault="00B40966">
            <w:pPr>
              <w:pStyle w:val="allsections"/>
              <w:keepNext/>
              <w:spacing w:after="40"/>
              <w:ind w:left="100" w:hanging="120"/>
              <w:jc w:val="left"/>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\B\RC\}(\A\HS10(C.I. on C.I.,or,C.I. on M.S.)) </w:instrText>
            </w:r>
            <w:r>
              <w:rPr>
                <w:rFonts w:ascii="Times New Roman" w:hAnsi="Times New Roman"/>
                <w:color w:val="000000"/>
                <w:sz w:val="18"/>
              </w:rPr>
              <w:fldChar w:fldCharType="end"/>
            </w:r>
          </w:p>
        </w:tc>
        <w:tc>
          <w:tcPr>
            <w:tcW w:w="500" w:type="dxa"/>
            <w:vAlign w:val="center"/>
          </w:tcPr>
          <w:p w:rsidR="00B40966" w:rsidRDefault="00B40966">
            <w:pPr>
              <w:pStyle w:val="allsections"/>
              <w:keepNext/>
              <w:spacing w:before="320"/>
              <w:ind w:firstLine="20"/>
              <w:rPr>
                <w:rFonts w:ascii="Times New Roman" w:hAnsi="Times New Roman"/>
                <w:color w:val="000000"/>
                <w:sz w:val="18"/>
              </w:rPr>
            </w:pPr>
            <w:r>
              <w:rPr>
                <w:rFonts w:ascii="Times New Roman" w:hAnsi="Times New Roman"/>
                <w:color w:val="000000"/>
                <w:sz w:val="18"/>
              </w:rPr>
              <w:t>100</w:t>
            </w:r>
          </w:p>
        </w:tc>
        <w:tc>
          <w:tcPr>
            <w:tcW w:w="500" w:type="dxa"/>
            <w:tcBorders>
              <w:left w:val="single" w:sz="6" w:space="0" w:color="auto"/>
              <w:right w:val="single" w:sz="6" w:space="0" w:color="auto"/>
            </w:tcBorders>
            <w:vAlign w:val="center"/>
          </w:tcPr>
          <w:p w:rsidR="00B40966" w:rsidRDefault="00B40966">
            <w:pPr>
              <w:pStyle w:val="allsections"/>
              <w:keepNext/>
              <w:spacing w:before="320"/>
              <w:ind w:firstLine="20"/>
              <w:rPr>
                <w:rFonts w:ascii="Times New Roman" w:hAnsi="Times New Roman"/>
                <w:color w:val="000000"/>
                <w:sz w:val="18"/>
              </w:rPr>
            </w:pPr>
            <w:r>
              <w:rPr>
                <w:rFonts w:ascii="Times New Roman" w:hAnsi="Times New Roman"/>
                <w:color w:val="000000"/>
                <w:sz w:val="18"/>
              </w:rPr>
              <w:t>88</w:t>
            </w:r>
          </w:p>
        </w:tc>
        <w:tc>
          <w:tcPr>
            <w:tcW w:w="660" w:type="dxa"/>
            <w:tcBorders>
              <w:left w:val="single" w:sz="6" w:space="0" w:color="auto"/>
              <w:right w:val="single" w:sz="6" w:space="0" w:color="auto"/>
            </w:tcBorders>
            <w:vAlign w:val="center"/>
          </w:tcPr>
          <w:p w:rsidR="00B40966" w:rsidRDefault="00B40966">
            <w:pPr>
              <w:pStyle w:val="allsections"/>
              <w:keepNext/>
              <w:spacing w:before="320"/>
              <w:ind w:firstLine="20"/>
              <w:rPr>
                <w:rFonts w:ascii="Times New Roman" w:hAnsi="Times New Roman"/>
                <w:color w:val="000000"/>
                <w:sz w:val="18"/>
              </w:rPr>
            </w:pPr>
            <w:r>
              <w:rPr>
                <w:rFonts w:ascii="Times New Roman" w:hAnsi="Times New Roman"/>
                <w:color w:val="000000"/>
                <w:sz w:val="18"/>
              </w:rPr>
              <w:t>49</w:t>
            </w:r>
          </w:p>
        </w:tc>
        <w:tc>
          <w:tcPr>
            <w:tcW w:w="980" w:type="dxa"/>
            <w:tcBorders>
              <w:left w:val="single" w:sz="6" w:space="0" w:color="auto"/>
            </w:tcBorders>
            <w:vAlign w:val="center"/>
          </w:tcPr>
          <w:p w:rsidR="00B40966" w:rsidRDefault="00B40966">
            <w:pPr>
              <w:pStyle w:val="allsections"/>
              <w:keepNext/>
              <w:spacing w:after="0"/>
              <w:ind w:left="200" w:right="120" w:firstLine="0"/>
              <w:jc w:val="center"/>
              <w:rPr>
                <w:rFonts w:ascii="Times New Roman" w:hAnsi="Times New Roman"/>
                <w:color w:val="000000"/>
                <w:sz w:val="18"/>
              </w:rPr>
            </w:pPr>
            <w:r>
              <w:rPr>
                <w:rFonts w:ascii="Times New Roman" w:hAnsi="Times New Roman"/>
                <w:color w:val="000000"/>
                <w:sz w:val="18"/>
              </w:rPr>
              <w:t>1 760</w:t>
            </w:r>
          </w:p>
          <w:p w:rsidR="00B40966" w:rsidRDefault="00B40966">
            <w:pPr>
              <w:pStyle w:val="allsections"/>
              <w:keepNext/>
              <w:spacing w:after="0"/>
              <w:ind w:left="200" w:right="60" w:firstLine="20"/>
              <w:jc w:val="center"/>
              <w:rPr>
                <w:rFonts w:ascii="Times New Roman" w:hAnsi="Times New Roman"/>
                <w:color w:val="000000"/>
                <w:sz w:val="8"/>
              </w:rPr>
            </w:pPr>
          </w:p>
          <w:p w:rsidR="00B40966" w:rsidRDefault="00B40966">
            <w:pPr>
              <w:pStyle w:val="allsections"/>
              <w:keepNext/>
              <w:spacing w:after="0"/>
              <w:ind w:firstLine="20"/>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vAlign w:val="center"/>
          </w:tcPr>
          <w:p w:rsidR="00B40966" w:rsidRDefault="00DA6E8C">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color w:val="000000"/>
                <w:position w:val="-10"/>
                <w:sz w:val="18"/>
                <w:lang w:eastAsia="en-AU"/>
              </w:rPr>
              <w:drawing>
                <wp:inline distT="0" distB="0" distL="0" distR="0">
                  <wp:extent cx="114300" cy="219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bookmarkStart w:id="249" w:name="_MON_1160904133"/>
            <w:bookmarkStart w:id="250" w:name="_MON_1160904212"/>
            <w:bookmarkEnd w:id="249"/>
            <w:bookmarkEnd w:id="250"/>
            <w:bookmarkStart w:id="251" w:name="_MON_1159781786"/>
            <w:bookmarkEnd w:id="251"/>
            <w:r w:rsidR="00B40966">
              <w:rPr>
                <w:color w:val="000000"/>
                <w:position w:val="-10"/>
                <w:sz w:val="18"/>
              </w:rPr>
              <w:object w:dxaOrig="931" w:dyaOrig="1111">
                <v:shape id="_x0000_i1051" type="#_x0000_t75" style="width:46.5pt;height:55.5pt" o:ole="" fillcolor="window">
                  <v:imagedata r:id="rId126" o:title=""/>
                </v:shape>
                <o:OLEObject Type="Embed" ProgID="Word.Picture.8" ShapeID="_x0000_i1051" DrawAspect="Content" ObjectID="_1595937068" r:id="rId127"/>
              </w:object>
            </w:r>
            <w:r>
              <w:rPr>
                <w:noProof/>
                <w:color w:val="000000"/>
                <w:position w:val="-10"/>
                <w:sz w:val="18"/>
                <w:lang w:eastAsia="en-AU"/>
              </w:rPr>
              <w:drawing>
                <wp:inline distT="0" distB="0" distL="0" distR="0">
                  <wp:extent cx="114300" cy="219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2460" w:type="dxa"/>
            <w:vMerge w:val="restart"/>
            <w:tcBorders>
              <w:left w:val="single" w:sz="6" w:space="0" w:color="auto"/>
            </w:tcBorders>
            <w:vAlign w:val="center"/>
          </w:tcPr>
          <w:p w:rsidR="00B40966" w:rsidRDefault="00B40966">
            <w:pPr>
              <w:pStyle w:val="allsections"/>
              <w:keepNext/>
              <w:spacing w:before="60" w:after="60"/>
              <w:ind w:hanging="20"/>
              <w:rPr>
                <w:rFonts w:ascii="Times New Roman" w:hAnsi="Times New Roman"/>
                <w:color w:val="000000"/>
                <w:sz w:val="16"/>
              </w:rPr>
            </w:pPr>
            <w:r>
              <w:rPr>
                <w:rFonts w:ascii="Times New Roman" w:hAnsi="Times New Roman"/>
                <w:color w:val="000000"/>
                <w:sz w:val="16"/>
              </w:rPr>
              <w:t>Pressures given are for continuous but reciprocating motions.  The bearing pressure for a unidirectional slide shall not exceed one half of that provided for a corresponding but reciprocating slide</w:t>
            </w:r>
          </w:p>
        </w:tc>
      </w:tr>
      <w:tr w:rsidR="00B40966">
        <w:trPr>
          <w:cantSplit/>
        </w:trPr>
        <w:tc>
          <w:tcPr>
            <w:tcW w:w="1360" w:type="dxa"/>
            <w:tcBorders>
              <w:top w:val="single" w:sz="6" w:space="0" w:color="auto"/>
              <w:bottom w:val="single" w:sz="6" w:space="0" w:color="auto"/>
              <w:right w:val="single" w:sz="6" w:space="0" w:color="auto"/>
            </w:tcBorders>
            <w:vAlign w:val="center"/>
          </w:tcPr>
          <w:p w:rsidR="00B40966" w:rsidRDefault="00B40966">
            <w:pPr>
              <w:pStyle w:val="allsections"/>
              <w:spacing w:before="320" w:after="40"/>
              <w:ind w:left="140" w:hanging="140"/>
              <w:jc w:val="left"/>
              <w:rPr>
                <w:rFonts w:ascii="Times New Roman" w:hAnsi="Times New Roman"/>
                <w:color w:val="000000"/>
                <w:sz w:val="18"/>
              </w:rPr>
            </w:pPr>
            <w:r>
              <w:rPr>
                <w:rFonts w:ascii="Times New Roman" w:hAnsi="Times New Roman"/>
                <w:color w:val="000000"/>
                <w:sz w:val="18"/>
              </w:rPr>
              <w:t>W.M. on C.I.</w:t>
            </w:r>
          </w:p>
        </w:tc>
        <w:tc>
          <w:tcPr>
            <w:tcW w:w="500" w:type="dxa"/>
            <w:tcBorders>
              <w:top w:val="single" w:sz="6" w:space="0" w:color="auto"/>
              <w:bottom w:val="single" w:sz="6" w:space="0" w:color="auto"/>
            </w:tcBorders>
            <w:vAlign w:val="center"/>
          </w:tcPr>
          <w:p w:rsidR="00B40966" w:rsidRDefault="00B40966">
            <w:pPr>
              <w:pStyle w:val="allsections"/>
              <w:spacing w:before="320"/>
              <w:ind w:firstLine="20"/>
              <w:rPr>
                <w:rFonts w:ascii="Times New Roman" w:hAnsi="Times New Roman"/>
                <w:color w:val="000000"/>
                <w:sz w:val="18"/>
              </w:rPr>
            </w:pPr>
            <w:r>
              <w:rPr>
                <w:rFonts w:ascii="Times New Roman" w:hAnsi="Times New Roman"/>
                <w:color w:val="000000"/>
                <w:sz w:val="18"/>
              </w:rPr>
              <w:t>300</w:t>
            </w:r>
          </w:p>
        </w:tc>
        <w:tc>
          <w:tcPr>
            <w:tcW w:w="500" w:type="dxa"/>
            <w:tcBorders>
              <w:top w:val="single" w:sz="6" w:space="0" w:color="auto"/>
              <w:left w:val="single" w:sz="6" w:space="0" w:color="auto"/>
              <w:bottom w:val="single" w:sz="6" w:space="0" w:color="auto"/>
              <w:right w:val="single" w:sz="6" w:space="0" w:color="auto"/>
            </w:tcBorders>
            <w:vAlign w:val="center"/>
          </w:tcPr>
          <w:p w:rsidR="00B40966" w:rsidRDefault="00B40966">
            <w:pPr>
              <w:pStyle w:val="allsections"/>
              <w:spacing w:before="320"/>
              <w:ind w:firstLine="20"/>
              <w:rPr>
                <w:rFonts w:ascii="Times New Roman" w:hAnsi="Times New Roman"/>
                <w:color w:val="000000"/>
                <w:sz w:val="18"/>
              </w:rPr>
            </w:pPr>
            <w:r>
              <w:rPr>
                <w:rFonts w:ascii="Times New Roman" w:hAnsi="Times New Roman"/>
                <w:color w:val="000000"/>
                <w:sz w:val="18"/>
              </w:rPr>
              <w:t>264</w:t>
            </w:r>
          </w:p>
        </w:tc>
        <w:tc>
          <w:tcPr>
            <w:tcW w:w="660" w:type="dxa"/>
            <w:tcBorders>
              <w:top w:val="single" w:sz="6" w:space="0" w:color="auto"/>
              <w:left w:val="single" w:sz="6" w:space="0" w:color="auto"/>
              <w:bottom w:val="single" w:sz="6" w:space="0" w:color="auto"/>
              <w:right w:val="single" w:sz="6" w:space="0" w:color="auto"/>
            </w:tcBorders>
            <w:vAlign w:val="center"/>
          </w:tcPr>
          <w:p w:rsidR="00B40966" w:rsidRDefault="00B40966">
            <w:pPr>
              <w:pStyle w:val="allsections"/>
              <w:spacing w:before="320"/>
              <w:ind w:firstLine="20"/>
              <w:rPr>
                <w:rFonts w:ascii="Times New Roman" w:hAnsi="Times New Roman"/>
                <w:color w:val="000000"/>
                <w:sz w:val="18"/>
              </w:rPr>
            </w:pPr>
            <w:r>
              <w:rPr>
                <w:rFonts w:ascii="Times New Roman" w:hAnsi="Times New Roman"/>
                <w:color w:val="000000"/>
                <w:sz w:val="18"/>
              </w:rPr>
              <w:t>147</w:t>
            </w:r>
          </w:p>
        </w:tc>
        <w:tc>
          <w:tcPr>
            <w:tcW w:w="980" w:type="dxa"/>
            <w:tcBorders>
              <w:top w:val="single" w:sz="6" w:space="0" w:color="auto"/>
              <w:left w:val="single" w:sz="6" w:space="0" w:color="auto"/>
              <w:bottom w:val="single" w:sz="6" w:space="0" w:color="auto"/>
            </w:tcBorders>
            <w:vAlign w:val="center"/>
          </w:tcPr>
          <w:p w:rsidR="00B40966" w:rsidRDefault="00B40966">
            <w:pPr>
              <w:pStyle w:val="allsections"/>
              <w:spacing w:after="40"/>
              <w:ind w:left="200" w:right="120" w:firstLine="0"/>
              <w:jc w:val="center"/>
              <w:rPr>
                <w:rFonts w:ascii="Times New Roman" w:hAnsi="Times New Roman"/>
                <w:color w:val="000000"/>
                <w:sz w:val="18"/>
              </w:rPr>
            </w:pPr>
            <w:r>
              <w:rPr>
                <w:rFonts w:ascii="Times New Roman" w:hAnsi="Times New Roman"/>
                <w:color w:val="000000"/>
                <w:sz w:val="18"/>
              </w:rPr>
              <w:t>5 280</w:t>
            </w:r>
          </w:p>
          <w:p w:rsidR="00B40966" w:rsidRDefault="00B40966">
            <w:pPr>
              <w:pStyle w:val="allsections"/>
              <w:spacing w:before="0" w:after="0"/>
              <w:ind w:left="200" w:right="60" w:firstLine="20"/>
              <w:jc w:val="center"/>
              <w:rPr>
                <w:rFonts w:ascii="Times New Roman" w:hAnsi="Times New Roman"/>
                <w:color w:val="000000"/>
                <w:sz w:val="8"/>
              </w:rPr>
            </w:pPr>
          </w:p>
          <w:p w:rsidR="00B40966" w:rsidRDefault="00B40966">
            <w:pPr>
              <w:pStyle w:val="allsections"/>
              <w:ind w:firstLine="20"/>
              <w:rPr>
                <w:rFonts w:ascii="Times New Roman" w:hAnsi="Times New Roman"/>
                <w:color w:val="000000"/>
                <w:sz w:val="18"/>
              </w:rPr>
            </w:pPr>
            <w:r>
              <w:rPr>
                <w:rFonts w:ascii="Times New Roman" w:hAnsi="Times New Roman"/>
                <w:color w:val="000000"/>
                <w:sz w:val="18"/>
              </w:rPr>
              <w:fldChar w:fldCharType="begin"/>
            </w:r>
            <w:r>
              <w:rPr>
                <w:rFonts w:ascii="Times New Roman" w:hAnsi="Times New Roman"/>
                <w:color w:val="000000"/>
                <w:sz w:val="18"/>
              </w:rPr>
              <w:instrText xml:space="preserve"> EQ \R(S + 100) </w:instrText>
            </w:r>
            <w:r>
              <w:rPr>
                <w:rFonts w:ascii="Times New Roman" w:hAnsi="Times New Roman"/>
                <w:color w:val="000000"/>
                <w:sz w:val="18"/>
              </w:rPr>
              <w:fldChar w:fldCharType="end"/>
            </w:r>
          </w:p>
        </w:tc>
        <w:tc>
          <w:tcPr>
            <w:tcW w:w="1020" w:type="dxa"/>
            <w:tcBorders>
              <w:top w:val="single" w:sz="6" w:space="0" w:color="auto"/>
              <w:bottom w:val="single" w:sz="6" w:space="0" w:color="auto"/>
            </w:tcBorders>
            <w:vAlign w:val="center"/>
          </w:tcPr>
          <w:p w:rsidR="00B40966" w:rsidRDefault="00DA6E8C">
            <w:pPr>
              <w:pStyle w:val="allsections"/>
              <w:spacing w:before="0"/>
              <w:ind w:right="160" w:firstLine="20"/>
              <w:jc w:val="left"/>
              <w:rPr>
                <w:color w:val="000000"/>
                <w:sz w:val="18"/>
              </w:rPr>
            </w:pPr>
            <w:r>
              <w:rPr>
                <w:noProof/>
                <w:color w:val="000000"/>
                <w:position w:val="-10"/>
                <w:sz w:val="18"/>
                <w:lang w:eastAsia="en-AU"/>
              </w:rPr>
              <w:drawing>
                <wp:inline distT="0" distB="0" distL="0" distR="0">
                  <wp:extent cx="114300" cy="219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color w:val="000000"/>
                <w:position w:val="-10"/>
                <w:sz w:val="18"/>
                <w:lang w:eastAsia="en-AU"/>
              </w:rPr>
              <w:drawing>
                <wp:inline distT="0" distB="0" distL="0" distR="0">
                  <wp:extent cx="114300" cy="2190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bookmarkStart w:id="252" w:name="_MON_1160904167"/>
            <w:bookmarkEnd w:id="252"/>
            <w:r w:rsidR="00B40966">
              <w:rPr>
                <w:color w:val="000000"/>
                <w:position w:val="-10"/>
                <w:sz w:val="18"/>
              </w:rPr>
              <w:object w:dxaOrig="931" w:dyaOrig="1111">
                <v:shape id="_x0000_i1052" type="#_x0000_t75" style="width:46.5pt;height:55.5pt" o:ole="" fillcolor="window">
                  <v:imagedata r:id="rId128" o:title=""/>
                </v:shape>
                <o:OLEObject Type="Embed" ProgID="Word.Picture.8" ShapeID="_x0000_i1052" DrawAspect="Content" ObjectID="_1595937069" r:id="rId129"/>
              </w:object>
            </w:r>
            <w:r>
              <w:rPr>
                <w:noProof/>
                <w:color w:val="000000"/>
                <w:position w:val="-10"/>
                <w:sz w:val="18"/>
                <w:lang w:eastAsia="en-AU"/>
              </w:rPr>
              <w:drawing>
                <wp:inline distT="0" distB="0" distL="0" distR="0">
                  <wp:extent cx="114300" cy="2190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tc>
        <w:tc>
          <w:tcPr>
            <w:tcW w:w="2460" w:type="dxa"/>
            <w:vMerge/>
            <w:tcBorders>
              <w:left w:val="single" w:sz="6" w:space="0" w:color="auto"/>
              <w:bottom w:val="single" w:sz="6" w:space="0" w:color="auto"/>
            </w:tcBorders>
            <w:vAlign w:val="center"/>
          </w:tcPr>
          <w:p w:rsidR="00B40966" w:rsidRDefault="00B40966">
            <w:pPr>
              <w:pStyle w:val="allsections"/>
              <w:spacing w:before="0"/>
              <w:ind w:left="320" w:firstLine="0"/>
              <w:rPr>
                <w:color w:val="000000"/>
                <w:sz w:val="18"/>
              </w:rPr>
            </w:pPr>
          </w:p>
        </w:tc>
      </w:tr>
    </w:tbl>
    <w:p w:rsidR="00B40966" w:rsidRDefault="00B40966"/>
    <w:p w:rsidR="00B40966" w:rsidRDefault="00B40966">
      <w:pPr>
        <w:pStyle w:val="Amain"/>
        <w:keepNext/>
      </w:pPr>
      <w:r>
        <w:rPr>
          <w:color w:val="000000"/>
        </w:rPr>
        <w:tab/>
        <w:t>(54)</w:t>
      </w:r>
      <w:r>
        <w:rPr>
          <w:color w:val="000000"/>
        </w:rPr>
        <w:tab/>
        <w:t>If the diameter of the journal is less than 1</w:t>
      </w:r>
      <w:r>
        <w:rPr>
          <w:color w:val="000000"/>
          <w:position w:val="6"/>
          <w:sz w:val="18"/>
        </w:rPr>
        <w:t>1</w:t>
      </w:r>
      <w:r>
        <w:rPr>
          <w:color w:val="000000"/>
        </w:rPr>
        <w:t>/</w:t>
      </w:r>
      <w:r>
        <w:rPr>
          <w:color w:val="000000"/>
          <w:sz w:val="18"/>
        </w:rPr>
        <w:t>4</w:t>
      </w:r>
      <w:r>
        <w:rPr>
          <w:color w:val="000000"/>
        </w:rPr>
        <w:t xml:space="preserve"> inches, the maximum intensity of bearing pressure shall not exceed that obtained by multiplying the pressure shown in table 130.2 by the coefficient shown in table 130.5, appropriate to the diameter of the journal.</w:t>
      </w:r>
    </w:p>
    <w:p w:rsidR="00B40966" w:rsidRDefault="00B40966">
      <w:pPr>
        <w:pStyle w:val="TableHd"/>
        <w:ind w:left="1425" w:hanging="1425"/>
      </w:pPr>
      <w:r>
        <w:t>Table 130.5</w:t>
      </w:r>
      <w:r>
        <w:tab/>
        <w:t>Reduction coefficients for bearing pressures for lubricated bearings of which the journals are less than 1</w:t>
      </w:r>
      <w:r>
        <w:rPr>
          <w:position w:val="4"/>
          <w:sz w:val="16"/>
        </w:rPr>
        <w:t>1</w:t>
      </w:r>
      <w:r>
        <w:t>/</w:t>
      </w:r>
      <w:r>
        <w:rPr>
          <w:sz w:val="16"/>
        </w:rPr>
        <w:t>4</w:t>
      </w:r>
      <w:r>
        <w:t xml:space="preserve"> inches in diameter</w:t>
      </w:r>
    </w:p>
    <w:tbl>
      <w:tblPr>
        <w:tblW w:w="0" w:type="auto"/>
        <w:tblLayout w:type="fixed"/>
        <w:tblCellMar>
          <w:left w:w="80" w:type="dxa"/>
          <w:right w:w="80" w:type="dxa"/>
        </w:tblCellMar>
        <w:tblLook w:val="0000" w:firstRow="0" w:lastRow="0" w:firstColumn="0" w:lastColumn="0" w:noHBand="0" w:noVBand="0"/>
      </w:tblPr>
      <w:tblGrid>
        <w:gridCol w:w="1805"/>
        <w:gridCol w:w="1805"/>
        <w:gridCol w:w="1805"/>
        <w:gridCol w:w="1805"/>
      </w:tblGrid>
      <w:tr w:rsidR="00B40966">
        <w:trPr>
          <w:cantSplit/>
        </w:trPr>
        <w:tc>
          <w:tcPr>
            <w:tcW w:w="1805" w:type="dxa"/>
            <w:tcBorders>
              <w:bottom w:val="single" w:sz="4" w:space="0" w:color="auto"/>
            </w:tcBorders>
          </w:tcPr>
          <w:p w:rsidR="00B40966" w:rsidRDefault="00B40966">
            <w:pPr>
              <w:pStyle w:val="TableColHd"/>
            </w:pPr>
            <w:r>
              <w:t>diameter of journal in inches</w:t>
            </w:r>
          </w:p>
        </w:tc>
        <w:tc>
          <w:tcPr>
            <w:tcW w:w="1805" w:type="dxa"/>
            <w:tcBorders>
              <w:bottom w:val="single" w:sz="4" w:space="0" w:color="auto"/>
              <w:right w:val="single" w:sz="4" w:space="0" w:color="auto"/>
            </w:tcBorders>
          </w:tcPr>
          <w:p w:rsidR="00B40966" w:rsidRDefault="00B40966">
            <w:pPr>
              <w:pStyle w:val="TableColHd"/>
            </w:pPr>
            <w:r>
              <w:t>coefficient</w:t>
            </w:r>
          </w:p>
        </w:tc>
        <w:tc>
          <w:tcPr>
            <w:tcW w:w="1805" w:type="dxa"/>
            <w:tcBorders>
              <w:left w:val="single" w:sz="4" w:space="0" w:color="auto"/>
              <w:bottom w:val="single" w:sz="4" w:space="0" w:color="auto"/>
            </w:tcBorders>
          </w:tcPr>
          <w:p w:rsidR="00B40966" w:rsidRDefault="00B40966">
            <w:pPr>
              <w:pStyle w:val="TableColHd"/>
            </w:pPr>
            <w:r>
              <w:t>diameter of journal in inches</w:t>
            </w:r>
          </w:p>
        </w:tc>
        <w:tc>
          <w:tcPr>
            <w:tcW w:w="1805" w:type="dxa"/>
            <w:tcBorders>
              <w:bottom w:val="single" w:sz="4" w:space="0" w:color="auto"/>
            </w:tcBorders>
          </w:tcPr>
          <w:p w:rsidR="00B40966" w:rsidRDefault="00B40966">
            <w:pPr>
              <w:pStyle w:val="TableColHd"/>
            </w:pPr>
            <w:r>
              <w:t>coefficient</w:t>
            </w:r>
          </w:p>
        </w:tc>
      </w:tr>
      <w:tr w:rsidR="00B40966">
        <w:trPr>
          <w:cantSplit/>
        </w:trPr>
        <w:tc>
          <w:tcPr>
            <w:tcW w:w="1805" w:type="dxa"/>
            <w:tcBorders>
              <w:top w:val="single" w:sz="4" w:space="0" w:color="auto"/>
            </w:tcBorders>
          </w:tcPr>
          <w:p w:rsidR="00B40966" w:rsidRDefault="00B40966">
            <w:pPr>
              <w:pStyle w:val="TableText"/>
              <w:keepNext/>
            </w:pPr>
            <w:r>
              <w:t>1.125</w:t>
            </w:r>
          </w:p>
        </w:tc>
        <w:tc>
          <w:tcPr>
            <w:tcW w:w="1805" w:type="dxa"/>
            <w:tcBorders>
              <w:top w:val="single" w:sz="4" w:space="0" w:color="auto"/>
              <w:right w:val="single" w:sz="4" w:space="0" w:color="auto"/>
            </w:tcBorders>
          </w:tcPr>
          <w:p w:rsidR="00B40966" w:rsidRDefault="00B40966">
            <w:pPr>
              <w:pStyle w:val="TableText"/>
              <w:keepNext/>
            </w:pPr>
            <w:r>
              <w:t>0.7</w:t>
            </w:r>
          </w:p>
        </w:tc>
        <w:tc>
          <w:tcPr>
            <w:tcW w:w="1805" w:type="dxa"/>
            <w:tcBorders>
              <w:top w:val="single" w:sz="4" w:space="0" w:color="auto"/>
              <w:left w:val="single" w:sz="4" w:space="0" w:color="auto"/>
            </w:tcBorders>
          </w:tcPr>
          <w:p w:rsidR="00B40966" w:rsidRDefault="00B40966">
            <w:pPr>
              <w:pStyle w:val="TableText"/>
              <w:keepNext/>
            </w:pPr>
            <w:r>
              <w:t>0.5</w:t>
            </w:r>
          </w:p>
        </w:tc>
        <w:tc>
          <w:tcPr>
            <w:tcW w:w="1805" w:type="dxa"/>
            <w:tcBorders>
              <w:top w:val="single" w:sz="4" w:space="0" w:color="auto"/>
            </w:tcBorders>
          </w:tcPr>
          <w:p w:rsidR="00B40966" w:rsidRDefault="00B40966">
            <w:pPr>
              <w:pStyle w:val="TableText"/>
              <w:keepNext/>
            </w:pPr>
            <w:r>
              <w:t>0.3</w:t>
            </w:r>
          </w:p>
        </w:tc>
      </w:tr>
      <w:tr w:rsidR="00B40966">
        <w:trPr>
          <w:cantSplit/>
        </w:trPr>
        <w:tc>
          <w:tcPr>
            <w:tcW w:w="1805" w:type="dxa"/>
          </w:tcPr>
          <w:p w:rsidR="00B40966" w:rsidRDefault="00B40966">
            <w:pPr>
              <w:pStyle w:val="TableText"/>
            </w:pPr>
            <w:r>
              <w:t>1.0</w:t>
            </w:r>
          </w:p>
        </w:tc>
        <w:tc>
          <w:tcPr>
            <w:tcW w:w="1805" w:type="dxa"/>
            <w:tcBorders>
              <w:right w:val="single" w:sz="4" w:space="0" w:color="auto"/>
            </w:tcBorders>
          </w:tcPr>
          <w:p w:rsidR="00B40966" w:rsidRDefault="00B40966">
            <w:pPr>
              <w:pStyle w:val="TableText"/>
            </w:pPr>
            <w:r>
              <w:t>0.5</w:t>
            </w:r>
          </w:p>
        </w:tc>
        <w:tc>
          <w:tcPr>
            <w:tcW w:w="1805" w:type="dxa"/>
            <w:tcBorders>
              <w:left w:val="single" w:sz="4" w:space="0" w:color="auto"/>
            </w:tcBorders>
          </w:tcPr>
          <w:p w:rsidR="00B40966" w:rsidRDefault="00B40966">
            <w:pPr>
              <w:pStyle w:val="TableText"/>
            </w:pPr>
            <w:r>
              <w:t>0.25 or less</w:t>
            </w:r>
          </w:p>
        </w:tc>
        <w:tc>
          <w:tcPr>
            <w:tcW w:w="1805" w:type="dxa"/>
          </w:tcPr>
          <w:p w:rsidR="00B40966" w:rsidRDefault="00B40966">
            <w:pPr>
              <w:pStyle w:val="TableText"/>
            </w:pPr>
            <w:r>
              <w:t>0.25</w:t>
            </w:r>
          </w:p>
        </w:tc>
      </w:tr>
      <w:tr w:rsidR="00B40966">
        <w:trPr>
          <w:cantSplit/>
        </w:trPr>
        <w:tc>
          <w:tcPr>
            <w:tcW w:w="1805" w:type="dxa"/>
          </w:tcPr>
          <w:p w:rsidR="00B40966" w:rsidRDefault="00B40966">
            <w:pPr>
              <w:pStyle w:val="TableText"/>
            </w:pPr>
            <w:r>
              <w:t>0.75</w:t>
            </w:r>
          </w:p>
        </w:tc>
        <w:tc>
          <w:tcPr>
            <w:tcW w:w="1805" w:type="dxa"/>
            <w:tcBorders>
              <w:right w:val="single" w:sz="4" w:space="0" w:color="auto"/>
            </w:tcBorders>
          </w:tcPr>
          <w:p w:rsidR="00B40966" w:rsidRDefault="00B40966">
            <w:pPr>
              <w:pStyle w:val="TableText"/>
            </w:pPr>
            <w:r>
              <w:t>0.35</w:t>
            </w:r>
          </w:p>
        </w:tc>
        <w:tc>
          <w:tcPr>
            <w:tcW w:w="1805" w:type="dxa"/>
            <w:tcBorders>
              <w:left w:val="single" w:sz="4" w:space="0" w:color="auto"/>
            </w:tcBorders>
          </w:tcPr>
          <w:p w:rsidR="00B40966" w:rsidRDefault="00B40966">
            <w:pPr>
              <w:pStyle w:val="TableText"/>
            </w:pPr>
          </w:p>
        </w:tc>
        <w:tc>
          <w:tcPr>
            <w:tcW w:w="1805" w:type="dxa"/>
          </w:tcPr>
          <w:p w:rsidR="00B40966" w:rsidRDefault="00B40966">
            <w:pPr>
              <w:pStyle w:val="TableText"/>
            </w:pPr>
          </w:p>
        </w:tc>
      </w:tr>
    </w:tbl>
    <w:p w:rsidR="00B40966" w:rsidRDefault="00B40966"/>
    <w:p w:rsidR="00B40966" w:rsidRDefault="00B40966">
      <w:pPr>
        <w:pStyle w:val="Amain"/>
      </w:pPr>
      <w:r>
        <w:rPr>
          <w:color w:val="000000"/>
        </w:rPr>
        <w:tab/>
        <w:t>(55)</w:t>
      </w:r>
      <w:r>
        <w:rPr>
          <w:color w:val="000000"/>
        </w:rPr>
        <w:tab/>
        <w:t>For the purpose of determining loads on hard steel precision ball or roller bearings of at least equal quality to those complying with British Standard Specification No 292—1927, the force and moment increases prescribed by section 125 may be disregarded.</w:t>
      </w:r>
    </w:p>
    <w:p w:rsidR="00B40966" w:rsidRDefault="00B40966">
      <w:pPr>
        <w:pStyle w:val="Amain"/>
      </w:pPr>
      <w:r>
        <w:rPr>
          <w:color w:val="000000"/>
        </w:rPr>
        <w:tab/>
        <w:t>(56)</w:t>
      </w:r>
      <w:r>
        <w:rPr>
          <w:color w:val="000000"/>
        </w:rPr>
        <w:tab/>
        <w:t>The basic load of a ball or roller bearing shall not exceed that relevant and appropriate to the particular speed, size, type and construction of bearing, as tabulated for a 500 hours critical test life by an approved ball or roller bearing maker or an approved representative of the maker in an approved catalogue of the maker or representative.</w:t>
      </w:r>
    </w:p>
    <w:p w:rsidR="00B40966" w:rsidRDefault="00B40966">
      <w:pPr>
        <w:pStyle w:val="Amain"/>
      </w:pPr>
      <w:r>
        <w:rPr>
          <w:color w:val="000000"/>
        </w:rPr>
        <w:tab/>
        <w:t>(57)</w:t>
      </w:r>
      <w:r>
        <w:rPr>
          <w:color w:val="000000"/>
        </w:rPr>
        <w:tab/>
        <w:t>Approved ball and roller bearing makers and approved catalogues include—</w:t>
      </w:r>
    </w:p>
    <w:p w:rsidR="00B40966" w:rsidRDefault="00B40966">
      <w:pPr>
        <w:pStyle w:val="Apara"/>
      </w:pPr>
      <w:r>
        <w:tab/>
        <w:t>(a)</w:t>
      </w:r>
      <w:r>
        <w:tab/>
        <w:t>The S.K.F. Ball Bearing Co., Australia Proprietary Limited, Catalogue having registered number 1203 over A.N. 50; or</w:t>
      </w:r>
    </w:p>
    <w:p w:rsidR="00B40966" w:rsidRDefault="00B40966">
      <w:pPr>
        <w:pStyle w:val="Apara"/>
      </w:pPr>
      <w:r>
        <w:tab/>
        <w:t>(b)</w:t>
      </w:r>
      <w:r>
        <w:tab/>
        <w:t>The Ransome and Marles Bearing Co. Limited, England, Catalogue ‘Publication No 28, August, 1946’; or</w:t>
      </w:r>
    </w:p>
    <w:p w:rsidR="00B40966" w:rsidRDefault="00B40966">
      <w:pPr>
        <w:pStyle w:val="Apara"/>
      </w:pPr>
      <w:r>
        <w:tab/>
        <w:t>(c)</w:t>
      </w:r>
      <w:r>
        <w:tab/>
        <w:t>The Bearing Service Company of Australia Proprietary Limited, Catalogue entitled ‘B.S.C. Engineering Manual’, 2nd Edition, 1951; or</w:t>
      </w:r>
    </w:p>
    <w:p w:rsidR="00B40966" w:rsidRDefault="00B40966">
      <w:pPr>
        <w:pStyle w:val="Apara"/>
      </w:pPr>
      <w:r>
        <w:tab/>
        <w:t>(d)</w:t>
      </w:r>
      <w:r>
        <w:tab/>
        <w:t>Ball Bearings Proprietary Limited, Catalogue entitled ‘Hyatt Roller Bearings’ having registered number D8-8; or</w:t>
      </w:r>
    </w:p>
    <w:p w:rsidR="00B40966" w:rsidRDefault="00B40966">
      <w:pPr>
        <w:pStyle w:val="Apara"/>
      </w:pPr>
      <w:r>
        <w:tab/>
        <w:t>(e)</w:t>
      </w:r>
      <w:r>
        <w:tab/>
        <w:t>G. Vaccari &amp; Company, Melbourne, Catalogue entitled ‘R.I.V. General Catalogue’, serial number 51-03-141A.</w:t>
      </w:r>
    </w:p>
    <w:p w:rsidR="00B40966" w:rsidRDefault="00B40966">
      <w:pPr>
        <w:pStyle w:val="Amain"/>
      </w:pPr>
      <w:r>
        <w:rPr>
          <w:color w:val="000000"/>
        </w:rPr>
        <w:tab/>
        <w:t>(58)</w:t>
      </w:r>
      <w:r>
        <w:rPr>
          <w:color w:val="000000"/>
        </w:rPr>
        <w:tab/>
        <w:t>The maximum load on a hard steel precision ball or roller bearing of the quality prescribed by subsection (55) shall not exceed that obtained by dividing the basic load by a life factor of—</w:t>
      </w:r>
    </w:p>
    <w:p w:rsidR="00B40966" w:rsidRDefault="00B40966">
      <w:pPr>
        <w:pStyle w:val="Apara"/>
      </w:pPr>
      <w:r>
        <w:tab/>
        <w:t>(a)</w:t>
      </w:r>
      <w:r>
        <w:tab/>
        <w:t>1.75 if the bearing is within classification 1; or</w:t>
      </w:r>
    </w:p>
    <w:p w:rsidR="00B40966" w:rsidRDefault="00B40966">
      <w:pPr>
        <w:pStyle w:val="Apara"/>
      </w:pPr>
      <w:r>
        <w:tab/>
        <w:t>(b)</w:t>
      </w:r>
      <w:r>
        <w:tab/>
        <w:t>2.25 if the bearing is within classification 2; or</w:t>
      </w:r>
    </w:p>
    <w:p w:rsidR="00B40966" w:rsidRDefault="00B40966">
      <w:pPr>
        <w:pStyle w:val="Apara"/>
      </w:pPr>
      <w:r>
        <w:tab/>
        <w:t>(c)</w:t>
      </w:r>
      <w:r>
        <w:tab/>
        <w:t>2.75 if the bearing is within classification 3; or</w:t>
      </w:r>
    </w:p>
    <w:p w:rsidR="00B40966" w:rsidRDefault="00B40966">
      <w:pPr>
        <w:pStyle w:val="Apara"/>
      </w:pPr>
      <w:r>
        <w:tab/>
        <w:t>(d)</w:t>
      </w:r>
      <w:r>
        <w:tab/>
        <w:t>3.5 if the bearing is within classification 4.</w:t>
      </w:r>
    </w:p>
    <w:p w:rsidR="00B40966" w:rsidRDefault="00B40966">
      <w:pPr>
        <w:pStyle w:val="Amain"/>
      </w:pPr>
      <w:r>
        <w:rPr>
          <w:color w:val="000000"/>
        </w:rPr>
        <w:tab/>
        <w:t>(59)</w:t>
      </w:r>
      <w:r>
        <w:rPr>
          <w:color w:val="000000"/>
        </w:rPr>
        <w:tab/>
        <w:t>Ball or roller bearings of a lower quality than those conforming with British Standard Specification No 292—1927 shall not be used unless the written approval of the chief inspector is first obtained.</w:t>
      </w:r>
    </w:p>
    <w:p w:rsidR="00B40966" w:rsidRDefault="00B40966">
      <w:pPr>
        <w:pStyle w:val="Amain"/>
      </w:pPr>
      <w:r>
        <w:tab/>
        <w:t>(60)</w:t>
      </w:r>
      <w:r>
        <w:tab/>
        <w:t>The bearings shall not be used in contravention of any condition or stipulation made by the chief inspector in the chief inspector’s approval.</w:t>
      </w:r>
    </w:p>
    <w:p w:rsidR="00B40966" w:rsidRDefault="00B40966">
      <w:pPr>
        <w:pStyle w:val="Amain"/>
      </w:pPr>
      <w:r>
        <w:rPr>
          <w:color w:val="000000"/>
        </w:rPr>
        <w:tab/>
        <w:t>(61)</w:t>
      </w:r>
      <w:r>
        <w:rPr>
          <w:color w:val="000000"/>
        </w:rPr>
        <w:tab/>
        <w:t>The approval of the chief inspector in relation to any maker, or any catalogue of any maker of ball or roller bearings, may be conditional.</w:t>
      </w:r>
    </w:p>
    <w:p w:rsidR="00B40966" w:rsidRDefault="00B40966">
      <w:pPr>
        <w:pStyle w:val="Amain"/>
        <w:rPr>
          <w:color w:val="000000"/>
        </w:rPr>
      </w:pPr>
      <w:r>
        <w:rPr>
          <w:color w:val="000000"/>
        </w:rPr>
        <w:tab/>
        <w:t>(62)</w:t>
      </w:r>
      <w:r>
        <w:rPr>
          <w:color w:val="000000"/>
        </w:rPr>
        <w:tab/>
        <w:t>If the outer race of a self-aligning radial ball bearing rotates, the basic load shall be reduced to 90% of the value prescribed by subsection (56).</w:t>
      </w:r>
    </w:p>
    <w:p w:rsidR="00B40966" w:rsidRDefault="00B40966">
      <w:pPr>
        <w:pStyle w:val="Amain"/>
      </w:pPr>
      <w:r>
        <w:rPr>
          <w:color w:val="000000"/>
        </w:rPr>
        <w:tab/>
        <w:t>(63)</w:t>
      </w:r>
      <w:r>
        <w:rPr>
          <w:color w:val="000000"/>
        </w:rPr>
        <w:tab/>
        <w:t>If the outer race of any other type of radial bearing rotates the basic load shall be reduced to 75% of the value prescribed by subsection (56).</w:t>
      </w:r>
    </w:p>
    <w:p w:rsidR="00B40966" w:rsidRDefault="00B40966">
      <w:pPr>
        <w:pStyle w:val="Amain"/>
      </w:pPr>
      <w:r>
        <w:rPr>
          <w:color w:val="000000"/>
        </w:rPr>
        <w:tab/>
        <w:t>(64)</w:t>
      </w:r>
      <w:r>
        <w:rPr>
          <w:color w:val="000000"/>
        </w:rPr>
        <w:tab/>
        <w:t xml:space="preserve">Bush roller chains, and other types of parallel or flat link chains, including Renolds, Morse and Coventry types, shall not be loaded beyond </w:t>
      </w:r>
      <w:r>
        <w:rPr>
          <w:color w:val="000000"/>
          <w:position w:val="6"/>
          <w:sz w:val="18"/>
        </w:rPr>
        <w:t>1</w:t>
      </w:r>
      <w:r>
        <w:rPr>
          <w:color w:val="000000"/>
        </w:rPr>
        <w:t>/</w:t>
      </w:r>
      <w:r>
        <w:rPr>
          <w:color w:val="000000"/>
          <w:sz w:val="18"/>
        </w:rPr>
        <w:t>5</w:t>
      </w:r>
      <w:r>
        <w:rPr>
          <w:color w:val="000000"/>
        </w:rPr>
        <w:t xml:space="preserve"> part of that load that would produce a permanent elongation of 2</w:t>
      </w:r>
      <w:r>
        <w:rPr>
          <w:color w:val="000000"/>
          <w:position w:val="6"/>
          <w:sz w:val="18"/>
        </w:rPr>
        <w:t>1</w:t>
      </w:r>
      <w:r>
        <w:rPr>
          <w:color w:val="000000"/>
        </w:rPr>
        <w:t>/</w:t>
      </w:r>
      <w:r>
        <w:rPr>
          <w:color w:val="000000"/>
          <w:sz w:val="18"/>
        </w:rPr>
        <w:t>2</w:t>
      </w:r>
      <w:r>
        <w:rPr>
          <w:color w:val="000000"/>
          <w:sz w:val="20"/>
        </w:rPr>
        <w:t>%</w:t>
      </w:r>
      <w:r>
        <w:rPr>
          <w:color w:val="000000"/>
        </w:rPr>
        <w:t xml:space="preserve"> of the length of the chain.</w:t>
      </w:r>
    </w:p>
    <w:p w:rsidR="00B40966" w:rsidRDefault="00B40966">
      <w:pPr>
        <w:pStyle w:val="Amain"/>
      </w:pPr>
      <w:r>
        <w:tab/>
        <w:t>(65)</w:t>
      </w:r>
      <w:r>
        <w:tab/>
        <w:t>For subsection (64) the increases in applied load prescribed by section 125 may be disregarded, except if the chain is within classification 4, in which case the compensating ratio shall be assumed to be 1.2.</w:t>
      </w:r>
    </w:p>
    <w:p w:rsidR="00B40966" w:rsidRDefault="00B40966">
      <w:pPr>
        <w:pStyle w:val="Amain"/>
      </w:pPr>
      <w:r>
        <w:tab/>
        <w:t>(66)</w:t>
      </w:r>
      <w:r>
        <w:tab/>
        <w:t>Because of its lateral inflexibility this type of chain shall not be used as a load chain to suspend loads.</w:t>
      </w:r>
    </w:p>
    <w:p w:rsidR="00B40966" w:rsidRDefault="00B40966">
      <w:pPr>
        <w:pStyle w:val="AH4SubDiv"/>
      </w:pPr>
      <w:bookmarkStart w:id="253" w:name="_Toc87258089"/>
      <w:r>
        <w:t>Materials</w:t>
      </w:r>
      <w:bookmarkEnd w:id="253"/>
    </w:p>
    <w:p w:rsidR="00B40966" w:rsidRDefault="00B40966">
      <w:pPr>
        <w:pStyle w:val="AH5Sec"/>
      </w:pPr>
      <w:bookmarkStart w:id="254" w:name="_Toc87258090"/>
      <w:r>
        <w:rPr>
          <w:rStyle w:val="CharSectNo"/>
        </w:rPr>
        <w:t>131</w:t>
      </w:r>
      <w:bookmarkEnd w:id="254"/>
      <w:r>
        <w:tab/>
        <w:t xml:space="preserve">  </w:t>
      </w:r>
    </w:p>
    <w:p w:rsidR="00B40966" w:rsidRDefault="00B40966">
      <w:pPr>
        <w:pStyle w:val="Amain"/>
      </w:pPr>
      <w:r>
        <w:rPr>
          <w:color w:val="000000"/>
        </w:rPr>
        <w:tab/>
        <w:t>(1)</w:t>
      </w:r>
      <w:r>
        <w:rPr>
          <w:color w:val="000000"/>
        </w:rPr>
        <w:tab/>
        <w:t>No crane, hoist, lift, scaffolding, or plant, or member, component, part, or attachment of it shall be either in part or in whole of any material, composition or substance, or use or employ any fluid, unless—</w:t>
      </w:r>
    </w:p>
    <w:p w:rsidR="00B40966" w:rsidRDefault="00B40966">
      <w:pPr>
        <w:pStyle w:val="Apara"/>
      </w:pPr>
      <w:r>
        <w:tab/>
        <w:t>(a)</w:t>
      </w:r>
      <w:r>
        <w:tab/>
        <w:t>the physical and chemical properties of the material, composition, substance or fluid are shown in, and are in accordance with, a standard specification approved and promulgated by Standards Australia and the use is not disapproved by the chief inspector; and</w:t>
      </w:r>
    </w:p>
    <w:p w:rsidR="00B40966" w:rsidRDefault="00B40966">
      <w:pPr>
        <w:pStyle w:val="Apara"/>
      </w:pPr>
      <w:r>
        <w:tab/>
        <w:t>(b)</w:t>
      </w:r>
      <w:r>
        <w:tab/>
        <w:t>a specification setting out its physical and chemical properties, as well as fully detailed and fully dimensioned drawings showing how it is to be utilised and employed, has first been submitted to the chief inspector and approved by the chief inspector; and</w:t>
      </w:r>
    </w:p>
    <w:p w:rsidR="00B40966" w:rsidRDefault="00B40966">
      <w:pPr>
        <w:pStyle w:val="Apara"/>
      </w:pPr>
      <w:r>
        <w:tab/>
        <w:t>(c)</w:t>
      </w:r>
      <w:r>
        <w:tab/>
        <w:t>the chief inspector has been advised, in writing, of the physical and chemical properties of the material, composition, substance, or fluid, as in the state in which it is to be placed into commission.</w:t>
      </w:r>
    </w:p>
    <w:p w:rsidR="00B40966" w:rsidRDefault="00B40966">
      <w:pPr>
        <w:pStyle w:val="Amain"/>
      </w:pPr>
      <w:r>
        <w:tab/>
        <w:t>(2)</w:t>
      </w:r>
      <w:r>
        <w:tab/>
        <w:t>However, the following materials may if not disapproved by the chief inspector, or subject to any more specific provision made elsewhere in this regulation, be deemed to conform with subsection (1):</w:t>
      </w:r>
    </w:p>
    <w:tbl>
      <w:tblPr>
        <w:tblW w:w="0" w:type="auto"/>
        <w:tblInd w:w="828" w:type="dxa"/>
        <w:tblLayout w:type="fixed"/>
        <w:tblLook w:val="0000" w:firstRow="0" w:lastRow="0" w:firstColumn="0" w:lastColumn="0" w:noHBand="0" w:noVBand="0"/>
      </w:tblPr>
      <w:tblGrid>
        <w:gridCol w:w="2080"/>
        <w:gridCol w:w="2080"/>
        <w:gridCol w:w="2080"/>
      </w:tblGrid>
      <w:tr w:rsidR="00B40966">
        <w:tc>
          <w:tcPr>
            <w:tcW w:w="2080" w:type="dxa"/>
          </w:tcPr>
          <w:p w:rsidR="00B40966" w:rsidRDefault="00B40966">
            <w:r>
              <w:t>earth</w:t>
            </w:r>
          </w:p>
        </w:tc>
        <w:tc>
          <w:tcPr>
            <w:tcW w:w="2080" w:type="dxa"/>
          </w:tcPr>
          <w:p w:rsidR="00B40966" w:rsidRDefault="00B40966">
            <w:r>
              <w:t>rubber</w:t>
            </w:r>
          </w:p>
        </w:tc>
        <w:tc>
          <w:tcPr>
            <w:tcW w:w="2080" w:type="dxa"/>
          </w:tcPr>
          <w:p w:rsidR="00B40966" w:rsidRDefault="00B40966">
            <w:r>
              <w:t>salt</w:t>
            </w:r>
          </w:p>
        </w:tc>
      </w:tr>
      <w:tr w:rsidR="00B40966">
        <w:tc>
          <w:tcPr>
            <w:tcW w:w="2080" w:type="dxa"/>
          </w:tcPr>
          <w:p w:rsidR="00B40966" w:rsidRDefault="00B40966">
            <w:r>
              <w:t>clay</w:t>
            </w:r>
          </w:p>
        </w:tc>
        <w:tc>
          <w:tcPr>
            <w:tcW w:w="2080" w:type="dxa"/>
          </w:tcPr>
          <w:p w:rsidR="00B40966" w:rsidRDefault="00B40966">
            <w:r>
              <w:t>timber</w:t>
            </w:r>
          </w:p>
        </w:tc>
        <w:tc>
          <w:tcPr>
            <w:tcW w:w="2080" w:type="dxa"/>
          </w:tcPr>
          <w:p w:rsidR="00B40966" w:rsidRDefault="00B40966">
            <w:r>
              <w:t>air</w:t>
            </w:r>
          </w:p>
        </w:tc>
      </w:tr>
      <w:tr w:rsidR="00B40966">
        <w:tc>
          <w:tcPr>
            <w:tcW w:w="2080" w:type="dxa"/>
          </w:tcPr>
          <w:p w:rsidR="00B40966" w:rsidRDefault="00B40966">
            <w:r>
              <w:t>sand</w:t>
            </w:r>
          </w:p>
        </w:tc>
        <w:tc>
          <w:tcPr>
            <w:tcW w:w="2080" w:type="dxa"/>
          </w:tcPr>
          <w:p w:rsidR="00B40966" w:rsidRDefault="00B40966">
            <w:r>
              <w:t>paper</w:t>
            </w:r>
          </w:p>
        </w:tc>
        <w:tc>
          <w:tcPr>
            <w:tcW w:w="2080" w:type="dxa"/>
          </w:tcPr>
          <w:p w:rsidR="00B40966" w:rsidRDefault="00B40966">
            <w:r>
              <w:t>water</w:t>
            </w:r>
          </w:p>
        </w:tc>
      </w:tr>
      <w:tr w:rsidR="00B40966">
        <w:tc>
          <w:tcPr>
            <w:tcW w:w="2080" w:type="dxa"/>
          </w:tcPr>
          <w:p w:rsidR="00B40966" w:rsidRDefault="00B40966">
            <w:r>
              <w:t>stone</w:t>
            </w:r>
          </w:p>
        </w:tc>
        <w:tc>
          <w:tcPr>
            <w:tcW w:w="2080" w:type="dxa"/>
          </w:tcPr>
          <w:p w:rsidR="00B40966" w:rsidRDefault="00B40966">
            <w:r>
              <w:t>fuels</w:t>
            </w:r>
          </w:p>
        </w:tc>
        <w:tc>
          <w:tcPr>
            <w:tcW w:w="2080" w:type="dxa"/>
          </w:tcPr>
          <w:p w:rsidR="00B40966" w:rsidRDefault="00B40966">
            <w:r>
              <w:t>solvents</w:t>
            </w:r>
          </w:p>
        </w:tc>
      </w:tr>
      <w:tr w:rsidR="00B40966">
        <w:tc>
          <w:tcPr>
            <w:tcW w:w="2080" w:type="dxa"/>
          </w:tcPr>
          <w:p w:rsidR="00B40966" w:rsidRDefault="00B40966">
            <w:r>
              <w:t>brick</w:t>
            </w:r>
          </w:p>
        </w:tc>
        <w:tc>
          <w:tcPr>
            <w:tcW w:w="2080" w:type="dxa"/>
          </w:tcPr>
          <w:p w:rsidR="00B40966" w:rsidRDefault="00B40966">
            <w:r>
              <w:t>lubricants</w:t>
            </w:r>
          </w:p>
        </w:tc>
        <w:tc>
          <w:tcPr>
            <w:tcW w:w="2080" w:type="dxa"/>
          </w:tcPr>
          <w:p w:rsidR="00B40966" w:rsidRDefault="00B40966">
            <w:r>
              <w:t>detergents</w:t>
            </w:r>
          </w:p>
        </w:tc>
      </w:tr>
      <w:tr w:rsidR="00B40966">
        <w:tc>
          <w:tcPr>
            <w:tcW w:w="2080" w:type="dxa"/>
          </w:tcPr>
          <w:p w:rsidR="00B40966" w:rsidRDefault="00B40966">
            <w:r>
              <w:t>vitrified clay</w:t>
            </w:r>
          </w:p>
        </w:tc>
        <w:tc>
          <w:tcPr>
            <w:tcW w:w="2080" w:type="dxa"/>
          </w:tcPr>
          <w:p w:rsidR="00B40966" w:rsidRDefault="00B40966">
            <w:r>
              <w:t>coolants</w:t>
            </w:r>
          </w:p>
        </w:tc>
        <w:tc>
          <w:tcPr>
            <w:tcW w:w="2080" w:type="dxa"/>
          </w:tcPr>
          <w:p w:rsidR="00B40966" w:rsidRDefault="00B40966">
            <w:r>
              <w:t>paints</w:t>
            </w:r>
          </w:p>
        </w:tc>
      </w:tr>
      <w:tr w:rsidR="00B40966">
        <w:tc>
          <w:tcPr>
            <w:tcW w:w="2080" w:type="dxa"/>
          </w:tcPr>
          <w:p w:rsidR="00B40966" w:rsidRDefault="00B40966">
            <w:r>
              <w:t>porcelain</w:t>
            </w:r>
          </w:p>
        </w:tc>
        <w:tc>
          <w:tcPr>
            <w:tcW w:w="2080" w:type="dxa"/>
          </w:tcPr>
          <w:p w:rsidR="00B40966" w:rsidRDefault="00B40966">
            <w:r>
              <w:t>graphite</w:t>
            </w:r>
          </w:p>
        </w:tc>
        <w:tc>
          <w:tcPr>
            <w:tcW w:w="2080" w:type="dxa"/>
          </w:tcPr>
          <w:p w:rsidR="00B40966" w:rsidRDefault="00B40966">
            <w:r>
              <w:t>enamels</w:t>
            </w:r>
          </w:p>
        </w:tc>
      </w:tr>
      <w:tr w:rsidR="00B40966">
        <w:tc>
          <w:tcPr>
            <w:tcW w:w="2080" w:type="dxa"/>
          </w:tcPr>
          <w:p w:rsidR="00B40966" w:rsidRDefault="00B40966">
            <w:r>
              <w:t>glass</w:t>
            </w:r>
          </w:p>
        </w:tc>
        <w:tc>
          <w:tcPr>
            <w:tcW w:w="2080" w:type="dxa"/>
          </w:tcPr>
          <w:p w:rsidR="00B40966" w:rsidRDefault="00B40966">
            <w:r>
              <w:t>asphalt</w:t>
            </w:r>
          </w:p>
        </w:tc>
        <w:tc>
          <w:tcPr>
            <w:tcW w:w="2080" w:type="dxa"/>
          </w:tcPr>
          <w:p w:rsidR="00B40966" w:rsidRDefault="00B40966">
            <w:r>
              <w:t>varnishes</w:t>
            </w:r>
          </w:p>
        </w:tc>
      </w:tr>
      <w:tr w:rsidR="00B40966">
        <w:tc>
          <w:tcPr>
            <w:tcW w:w="2080" w:type="dxa"/>
          </w:tcPr>
          <w:p w:rsidR="00B40966" w:rsidRDefault="00B40966">
            <w:r>
              <w:t>asbestos</w:t>
            </w:r>
          </w:p>
        </w:tc>
        <w:tc>
          <w:tcPr>
            <w:tcW w:w="2080" w:type="dxa"/>
          </w:tcPr>
          <w:p w:rsidR="00B40966" w:rsidRDefault="00B40966">
            <w:r>
              <w:t>bitumen</w:t>
            </w:r>
          </w:p>
        </w:tc>
        <w:tc>
          <w:tcPr>
            <w:tcW w:w="2080" w:type="dxa"/>
          </w:tcPr>
          <w:p w:rsidR="00B40966" w:rsidRDefault="00B40966">
            <w:r>
              <w:t>lacquers</w:t>
            </w:r>
          </w:p>
        </w:tc>
      </w:tr>
      <w:tr w:rsidR="00B40966">
        <w:tc>
          <w:tcPr>
            <w:tcW w:w="2080" w:type="dxa"/>
          </w:tcPr>
          <w:p w:rsidR="00B40966" w:rsidRDefault="00B40966">
            <w:r>
              <w:t>leather</w:t>
            </w:r>
          </w:p>
        </w:tc>
        <w:tc>
          <w:tcPr>
            <w:tcW w:w="2080" w:type="dxa"/>
          </w:tcPr>
          <w:p w:rsidR="00B40966" w:rsidRDefault="00B40966">
            <w:r>
              <w:t>tar</w:t>
            </w:r>
          </w:p>
        </w:tc>
        <w:tc>
          <w:tcPr>
            <w:tcW w:w="2080" w:type="dxa"/>
          </w:tcPr>
          <w:p w:rsidR="00B40966" w:rsidRDefault="00B40966"/>
        </w:tc>
      </w:tr>
    </w:tbl>
    <w:p w:rsidR="00B40966" w:rsidRDefault="00B40966"/>
    <w:p w:rsidR="00B40966" w:rsidRDefault="00B40966">
      <w:pPr>
        <w:pStyle w:val="Amain"/>
      </w:pPr>
      <w:r>
        <w:rPr>
          <w:color w:val="000000"/>
        </w:rPr>
        <w:tab/>
        <w:t>(3)</w:t>
      </w:r>
      <w:r>
        <w:rPr>
          <w:color w:val="000000"/>
        </w:rPr>
        <w:tab/>
        <w:t>Stressed timbers of cranes, hoists, lifts, scaffolding and plant shall conform to the requirements of the Australian Standard Grading Rules for sawn and hewn timbers of select grade, Standard Number (E) 0.54—1942.</w:t>
      </w:r>
    </w:p>
    <w:p w:rsidR="00B40966" w:rsidRDefault="00B40966">
      <w:pPr>
        <w:pStyle w:val="Amain"/>
      </w:pPr>
      <w:r>
        <w:tab/>
        <w:t>(4)</w:t>
      </w:r>
      <w:r>
        <w:tab/>
        <w:t>Jarrah, karri and wandoo shall conform to the requirements of Australian Standard Grading Rules for such timbers of select grade, Standard Number 0.10 to 45—1948.</w:t>
      </w:r>
    </w:p>
    <w:p w:rsidR="00B40966" w:rsidRDefault="00B40966">
      <w:pPr>
        <w:pStyle w:val="Amain"/>
      </w:pPr>
      <w:r>
        <w:tab/>
        <w:t>(5)</w:t>
      </w:r>
      <w:r>
        <w:tab/>
        <w:t>The rules mentioned in subsections (3) and (4) being those promulgated by Standards Australia.</w:t>
      </w:r>
    </w:p>
    <w:p w:rsidR="00B40966" w:rsidRDefault="00B40966">
      <w:pPr>
        <w:pStyle w:val="Amain"/>
      </w:pPr>
      <w:r>
        <w:rPr>
          <w:color w:val="000000"/>
        </w:rPr>
        <w:tab/>
        <w:t>(6)</w:t>
      </w:r>
      <w:r>
        <w:rPr>
          <w:color w:val="000000"/>
        </w:rPr>
        <w:tab/>
        <w:t>If sizes or dimensions of timbers or other materials are prescribed or otherwise cited in this regulation, they shall mean actual sizes, as distinct from nominal or reputed sizes.</w:t>
      </w:r>
    </w:p>
    <w:p w:rsidR="00B40966" w:rsidRDefault="00B40966">
      <w:pPr>
        <w:pStyle w:val="Amain"/>
      </w:pPr>
      <w:r>
        <w:rPr>
          <w:color w:val="000000"/>
        </w:rPr>
        <w:tab/>
        <w:t>(7)</w:t>
      </w:r>
      <w:r>
        <w:rPr>
          <w:color w:val="000000"/>
        </w:rPr>
        <w:tab/>
        <w:t>Unless otherwise stated all bolts, setbolts, setscrews, tapbolts, screws etc referred to in this regulation shall be of steel.</w:t>
      </w:r>
    </w:p>
    <w:p w:rsidR="00B40966" w:rsidRDefault="00B40966">
      <w:pPr>
        <w:pStyle w:val="Amain"/>
      </w:pPr>
      <w:r>
        <w:rPr>
          <w:color w:val="000000"/>
        </w:rPr>
        <w:tab/>
        <w:t>(8)</w:t>
      </w:r>
      <w:r>
        <w:rPr>
          <w:color w:val="000000"/>
        </w:rPr>
        <w:tab/>
        <w:t>Timbers shall not be painted with any opaque or partly opaque paint or preparation, or be encased or enclosed in any way that will obscure the timber or interfere with ready inspection of it.</w:t>
      </w:r>
    </w:p>
    <w:p w:rsidR="00B40966" w:rsidRDefault="00B40966">
      <w:pPr>
        <w:pStyle w:val="Amain"/>
      </w:pPr>
      <w:r>
        <w:tab/>
        <w:t>(9)</w:t>
      </w:r>
      <w:r>
        <w:tab/>
        <w:t>If practicable, bolts in timber shall be spaced at staggered pitches.</w:t>
      </w:r>
    </w:p>
    <w:p w:rsidR="00B40966" w:rsidRDefault="00B40966">
      <w:pPr>
        <w:pStyle w:val="Amain"/>
      </w:pPr>
      <w:r>
        <w:tab/>
        <w:t>(10)</w:t>
      </w:r>
      <w:r>
        <w:tab/>
        <w:t>If practicable, effective stitch bolts shall be employed transversely to the bolts of all main connections of, or to, timber members.</w:t>
      </w:r>
    </w:p>
    <w:p w:rsidR="00B40966" w:rsidRDefault="00B40966">
      <w:pPr>
        <w:pStyle w:val="Amain"/>
      </w:pPr>
      <w:r>
        <w:tab/>
        <w:t>(11)</w:t>
      </w:r>
      <w:r>
        <w:tab/>
        <w:t>If the lower ends of timbers enter metal sockets, adequate drain holes shall be provided.</w:t>
      </w:r>
    </w:p>
    <w:p w:rsidR="00B40966" w:rsidRDefault="00B40966">
      <w:pPr>
        <w:pStyle w:val="Amain"/>
      </w:pPr>
      <w:r>
        <w:tab/>
        <w:t>(12)</w:t>
      </w:r>
      <w:r>
        <w:tab/>
        <w:t>The sockets shall be tapered and the timbers shall fit tightly in them.</w:t>
      </w:r>
    </w:p>
    <w:p w:rsidR="00B40966" w:rsidRDefault="00B40966">
      <w:pPr>
        <w:pStyle w:val="Amain"/>
      </w:pPr>
      <w:r>
        <w:tab/>
        <w:t>(13)</w:t>
      </w:r>
      <w:r>
        <w:tab/>
        <w:t>If metal is to be bolted or otherwise secured to the surface of timber, approved bituminous paper or felt sheeting shall be inserted within and throughout the full area of the joint.</w:t>
      </w:r>
    </w:p>
    <w:p w:rsidR="00B40966" w:rsidRDefault="00B40966">
      <w:pPr>
        <w:pStyle w:val="Amain"/>
      </w:pPr>
      <w:r>
        <w:tab/>
        <w:t>(14)</w:t>
      </w:r>
      <w:r>
        <w:tab/>
        <w:t>Bolts passing through timber shall have washers under heads and nuts, except if equivalent metal work renders washers unnecessary.</w:t>
      </w:r>
    </w:p>
    <w:p w:rsidR="00B40966" w:rsidRDefault="00B40966">
      <w:pPr>
        <w:pStyle w:val="Amain"/>
      </w:pPr>
      <w:r>
        <w:tab/>
        <w:t>(15)</w:t>
      </w:r>
      <w:r>
        <w:tab/>
        <w:t>Unless otherwise approved, timbers shall be joined by employing simple butt joints only.</w:t>
      </w:r>
    </w:p>
    <w:p w:rsidR="00B40966" w:rsidRDefault="00B40966">
      <w:pPr>
        <w:pStyle w:val="Amain"/>
      </w:pPr>
      <w:r>
        <w:tab/>
        <w:t>(16)</w:t>
      </w:r>
      <w:r>
        <w:tab/>
        <w:t>Unfilled holes or notches in timber shall be filled by tightly fitting timber plugs to prevent weathering and decay, and the breaking away of adjoining timber.</w:t>
      </w:r>
    </w:p>
    <w:p w:rsidR="00B40966" w:rsidRDefault="00B40966">
      <w:pPr>
        <w:pStyle w:val="Amain"/>
      </w:pPr>
      <w:r>
        <w:tab/>
        <w:t>(17)</w:t>
      </w:r>
      <w:r>
        <w:tab/>
        <w:t>The filling of any hole or notch as mentioned in subsection (16) shall not be deemed to restore or increase the strength or any dimension of the timber.</w:t>
      </w:r>
    </w:p>
    <w:p w:rsidR="00B40966" w:rsidRDefault="00B40966">
      <w:pPr>
        <w:pStyle w:val="Amain"/>
      </w:pPr>
      <w:r>
        <w:tab/>
        <w:t>(18)</w:t>
      </w:r>
      <w:r>
        <w:tab/>
        <w:t>No laminated or glued timber shall be employed unless approved, or unless so used that its failure would not be productive or conducive of danger to life or limb.</w:t>
      </w:r>
    </w:p>
    <w:p w:rsidR="00B40966" w:rsidRDefault="00B40966">
      <w:pPr>
        <w:pStyle w:val="Amain"/>
      </w:pPr>
      <w:r>
        <w:tab/>
        <w:t>(19)</w:t>
      </w:r>
      <w:r>
        <w:tab/>
        <w:t>Cast iron shall not be used in the following applications or for the following purposes, unless the specified approval of the chief inspector has first been obtained:</w:t>
      </w:r>
    </w:p>
    <w:p w:rsidR="00B40966" w:rsidRDefault="00B40966">
      <w:pPr>
        <w:pStyle w:val="Apara"/>
      </w:pPr>
      <w:r>
        <w:tab/>
        <w:t>(a)</w:t>
      </w:r>
      <w:r>
        <w:tab/>
        <w:t>the foot lugs or jibs or derricks of power cranes of all types, or the jib or derrick supporting lugs of the cranes;</w:t>
      </w:r>
    </w:p>
    <w:p w:rsidR="00B40966" w:rsidRDefault="00B40966">
      <w:pPr>
        <w:pStyle w:val="Apara"/>
      </w:pPr>
      <w:r>
        <w:tab/>
        <w:t>(b)</w:t>
      </w:r>
      <w:r>
        <w:tab/>
        <w:t>soleplates, spiders, or slewing race pinions or slewing racewheels of power derrick or power jib cranes or the brackets carrying slewing race pinions of the cranes;</w:t>
      </w:r>
    </w:p>
    <w:p w:rsidR="00B40966" w:rsidRDefault="00B40966">
      <w:pPr>
        <w:pStyle w:val="Apara"/>
      </w:pPr>
      <w:r>
        <w:tab/>
        <w:t>(c)</w:t>
      </w:r>
      <w:r>
        <w:tab/>
        <w:t>masthead castings of derrick or jib cranes;</w:t>
      </w:r>
    </w:p>
    <w:p w:rsidR="00B40966" w:rsidRDefault="00B40966">
      <w:pPr>
        <w:pStyle w:val="Apara"/>
      </w:pPr>
      <w:r>
        <w:tab/>
        <w:t>(d)</w:t>
      </w:r>
      <w:r>
        <w:tab/>
        <w:t>straight spur gears of chain blocks;</w:t>
      </w:r>
    </w:p>
    <w:p w:rsidR="00B40966" w:rsidRDefault="00B40966">
      <w:pPr>
        <w:pStyle w:val="Apara"/>
      </w:pPr>
      <w:r>
        <w:tab/>
        <w:t>(e)</w:t>
      </w:r>
      <w:r>
        <w:tab/>
        <w:t>main frame or cheek castings of winches used in connection with scaffolding;</w:t>
      </w:r>
    </w:p>
    <w:p w:rsidR="00B40966" w:rsidRDefault="00B40966">
      <w:pPr>
        <w:pStyle w:val="Apara"/>
      </w:pPr>
      <w:r>
        <w:tab/>
        <w:t>(f)</w:t>
      </w:r>
      <w:r>
        <w:tab/>
        <w:t>pawls;</w:t>
      </w:r>
    </w:p>
    <w:p w:rsidR="00B40966" w:rsidRDefault="00B40966">
      <w:pPr>
        <w:pStyle w:val="Apara"/>
      </w:pPr>
      <w:r>
        <w:tab/>
        <w:t>(g)</w:t>
      </w:r>
      <w:r>
        <w:tab/>
        <w:t>dog or toothed clutches;</w:t>
      </w:r>
    </w:p>
    <w:p w:rsidR="00B40966" w:rsidRDefault="00B40966">
      <w:pPr>
        <w:pStyle w:val="Apara"/>
      </w:pPr>
      <w:r>
        <w:tab/>
        <w:t>(h)</w:t>
      </w:r>
      <w:r>
        <w:tab/>
        <w:t>cranks or crank handles;</w:t>
      </w:r>
    </w:p>
    <w:p w:rsidR="00B40966" w:rsidRDefault="00B40966">
      <w:pPr>
        <w:pStyle w:val="Apara"/>
      </w:pPr>
      <w:r>
        <w:tab/>
        <w:t>(i)</w:t>
      </w:r>
      <w:r>
        <w:tab/>
        <w:t>hooks or their trunnions or yokes;</w:t>
      </w:r>
    </w:p>
    <w:p w:rsidR="00B40966" w:rsidRDefault="00B40966">
      <w:pPr>
        <w:pStyle w:val="Apara"/>
      </w:pPr>
      <w:r>
        <w:tab/>
        <w:t>(j)</w:t>
      </w:r>
      <w:r>
        <w:tab/>
        <w:t>structural beams or cantilevers, or loadbars or yokes subject to primary transverse stress.</w:t>
      </w:r>
    </w:p>
    <w:p w:rsidR="00B40966" w:rsidRDefault="00B40966">
      <w:pPr>
        <w:pStyle w:val="Amain"/>
      </w:pPr>
      <w:r>
        <w:tab/>
        <w:t>(20)</w:t>
      </w:r>
      <w:r>
        <w:tab/>
        <w:t>Diecast metals or alloys shall not be used for any purpose unless specifically approved by the chief inspector.</w:t>
      </w:r>
    </w:p>
    <w:p w:rsidR="00B40966" w:rsidRDefault="00B40966">
      <w:pPr>
        <w:pStyle w:val="Amain"/>
      </w:pPr>
      <w:r>
        <w:tab/>
        <w:t>(21)</w:t>
      </w:r>
      <w:r>
        <w:tab/>
        <w:t>All steel castings subject to primary transverse stress shall be radiographically examined by an approved authority, and if defects are observed, the casting concerned shall not be placed into commission unless the chief inspector specifically approves.</w:t>
      </w:r>
    </w:p>
    <w:p w:rsidR="00B40966" w:rsidRDefault="00B40966">
      <w:pPr>
        <w:pStyle w:val="AH3Div"/>
      </w:pPr>
      <w:bookmarkStart w:id="255" w:name="_Toc87258091"/>
      <w:r>
        <w:t>Fencing—general</w:t>
      </w:r>
      <w:bookmarkEnd w:id="255"/>
    </w:p>
    <w:p w:rsidR="00B40966" w:rsidRDefault="00B40966">
      <w:pPr>
        <w:pStyle w:val="AH5Sec"/>
      </w:pPr>
      <w:bookmarkStart w:id="256" w:name="_Toc87258092"/>
      <w:r>
        <w:rPr>
          <w:rStyle w:val="CharSectNo"/>
        </w:rPr>
        <w:t>132</w:t>
      </w:r>
      <w:bookmarkEnd w:id="256"/>
      <w:r>
        <w:tab/>
        <w:t xml:space="preserve">  </w:t>
      </w:r>
    </w:p>
    <w:p w:rsidR="00B40966" w:rsidRDefault="00B40966">
      <w:pPr>
        <w:pStyle w:val="Amain"/>
      </w:pPr>
      <w:r>
        <w:tab/>
        <w:t>(1)</w:t>
      </w:r>
      <w:r>
        <w:rPr>
          <w:b/>
        </w:rPr>
        <w:tab/>
      </w:r>
      <w:r>
        <w:t>The following members, components, parts or attachments of scaffoldings, cranes, hoists, plant, lifts or gear shall be effectively guarded so that they shall not be dangerous to persons nearby or persons driving, examining, testing, lubricating, tending, cleaning or adjusting the scaffoldings, cranes, hoists, plant, lifts or gear:</w:t>
      </w:r>
    </w:p>
    <w:p w:rsidR="00B40966" w:rsidRDefault="00B40966">
      <w:pPr>
        <w:pStyle w:val="Apara"/>
      </w:pPr>
      <w:r>
        <w:tab/>
        <w:t>(a)</w:t>
      </w:r>
      <w:r>
        <w:tab/>
        <w:t>toothed wheels of builders’ power hoisting winches;</w:t>
      </w:r>
    </w:p>
    <w:p w:rsidR="00B40966" w:rsidRDefault="00B40966">
      <w:pPr>
        <w:pStyle w:val="Apara"/>
      </w:pPr>
      <w:r>
        <w:tab/>
        <w:t>(b)</w:t>
      </w:r>
      <w:r>
        <w:tab/>
        <w:t>friction wheels of builders’ power hoisting winches;</w:t>
      </w:r>
    </w:p>
    <w:p w:rsidR="00B40966" w:rsidRDefault="00B40966">
      <w:pPr>
        <w:pStyle w:val="Apara"/>
      </w:pPr>
      <w:r>
        <w:tab/>
        <w:t>(c)</w:t>
      </w:r>
      <w:r>
        <w:tab/>
        <w:t>toothed wheels of the longitudinal travelling mechanism of power-driven overhead travelling cranes if exposed above or partially above access platforms, access facilities or end carriages;</w:t>
      </w:r>
    </w:p>
    <w:p w:rsidR="00B40966" w:rsidRDefault="00B40966">
      <w:pPr>
        <w:pStyle w:val="Apara"/>
      </w:pPr>
      <w:r>
        <w:tab/>
        <w:t>(d)</w:t>
      </w:r>
      <w:r>
        <w:tab/>
        <w:t>toothed wheels of locomotive type power cranes and power cranes having an analogous arrangement of machinery if the wheels revolve in close proximity to crane frame structures;</w:t>
      </w:r>
    </w:p>
    <w:p w:rsidR="00B40966" w:rsidRDefault="00B40966">
      <w:pPr>
        <w:pStyle w:val="Apara"/>
      </w:pPr>
      <w:r>
        <w:tab/>
        <w:t>(e)</w:t>
      </w:r>
      <w:r>
        <w:tab/>
        <w:t>toothed wheels of, and adjacent to, the mixing vessels of power-driven concrete mixers and like mixers, including positions at which the wheels revolve in close proximity to the frame structures of the mixers;</w:t>
      </w:r>
    </w:p>
    <w:p w:rsidR="00B40966" w:rsidRDefault="00B40966">
      <w:pPr>
        <w:pStyle w:val="Apara"/>
      </w:pPr>
      <w:r>
        <w:tab/>
        <w:t>(f)</w:t>
      </w:r>
      <w:r>
        <w:tab/>
        <w:t>those members, components, parts or attachments that are within reach of access facilities, floors, the ground, or other working surfaces and that revolve and are of irregular, radially variable, intermittent, broken or gapped contour or have projecting keys, setscrews, bolt ends, nuts, pins (including split pins), bosses, dogs, lugs, ribs, fins, arms or the like because of which they may directly or indirectly engage the person or clothing.</w:t>
      </w:r>
    </w:p>
    <w:p w:rsidR="00B40966" w:rsidRDefault="00B40966">
      <w:pPr>
        <w:pStyle w:val="Apara"/>
      </w:pPr>
      <w:r>
        <w:tab/>
        <w:t>(g)</w:t>
      </w:r>
      <w:r>
        <w:tab/>
        <w:t xml:space="preserve">ends of revolving shafts, spindles, pins or axles that are within reach and that project more than 2 inches beyond their supports; </w:t>
      </w:r>
    </w:p>
    <w:p w:rsidR="00B40966" w:rsidRDefault="00B40966">
      <w:pPr>
        <w:pStyle w:val="Apara"/>
      </w:pPr>
      <w:r>
        <w:tab/>
        <w:t>(h)</w:t>
      </w:r>
      <w:r>
        <w:tab/>
        <w:t xml:space="preserve">transmission belting and transmission chains that are within reach; </w:t>
      </w:r>
    </w:p>
    <w:p w:rsidR="00B40966" w:rsidRDefault="00B40966">
      <w:pPr>
        <w:pStyle w:val="Apara"/>
      </w:pPr>
      <w:r>
        <w:tab/>
        <w:t>(i)</w:t>
      </w:r>
      <w:r>
        <w:tab/>
        <w:t>power-driven revolving shafts, spindles, pins or axles if exposed at or near accessholes, hatchways, doorways, gateways or like facilities, or if exposed in such positions with regard to access facilities that persons are likely to make contact with them;</w:t>
      </w:r>
    </w:p>
    <w:p w:rsidR="00B40966" w:rsidRDefault="00B40966">
      <w:pPr>
        <w:pStyle w:val="Apara"/>
      </w:pPr>
      <w:r>
        <w:tab/>
        <w:t>(j)</w:t>
      </w:r>
      <w:r>
        <w:tab/>
        <w:t>power-driven shafts, spindles, pins, axles, drums, couplings, toothed wheels, rollers or the like revolving above the upper surfaces of floors, platforms, walkways, pathways and the like wherever an unobstructed minimum clearance of 2</w:t>
      </w:r>
      <w:r>
        <w:rPr>
          <w:position w:val="6"/>
          <w:sz w:val="18"/>
        </w:rPr>
        <w:t>1</w:t>
      </w:r>
      <w:r>
        <w:t>/</w:t>
      </w:r>
      <w:r>
        <w:rPr>
          <w:sz w:val="18"/>
        </w:rPr>
        <w:t>2</w:t>
      </w:r>
      <w:r>
        <w:t xml:space="preserve"> inches does not at all times exist between the revolving member and the surface; </w:t>
      </w:r>
    </w:p>
    <w:p w:rsidR="00B40966" w:rsidRDefault="00B40966">
      <w:pPr>
        <w:pStyle w:val="Apara"/>
      </w:pPr>
      <w:r>
        <w:tab/>
        <w:t>(k)</w:t>
      </w:r>
      <w:r>
        <w:tab/>
        <w:t xml:space="preserve">power-driven spoked wheels and wheels having web apertures if the wheels revolve in close proximity to the frame structures of cranes, engines or gear; </w:t>
      </w:r>
    </w:p>
    <w:p w:rsidR="00B40966" w:rsidRDefault="00B40966">
      <w:pPr>
        <w:pStyle w:val="Apara"/>
      </w:pPr>
      <w:r>
        <w:tab/>
        <w:t>(l)</w:t>
      </w:r>
      <w:r>
        <w:tab/>
        <w:t>power-driven fans or blowers, including cooling fans of internal-combustion engines;</w:t>
      </w:r>
    </w:p>
    <w:p w:rsidR="00B40966" w:rsidRDefault="00B40966">
      <w:pPr>
        <w:pStyle w:val="Apara"/>
      </w:pPr>
      <w:r>
        <w:tab/>
        <w:t>(m)</w:t>
      </w:r>
      <w:r>
        <w:tab/>
        <w:t xml:space="preserve">hoods or cowlings that may be readily removed or displaced shall not be deemed to be effective guards; </w:t>
      </w:r>
    </w:p>
    <w:p w:rsidR="00B40966" w:rsidRDefault="00B40966">
      <w:pPr>
        <w:pStyle w:val="Apara"/>
      </w:pPr>
      <w:r>
        <w:tab/>
        <w:t>(n)</w:t>
      </w:r>
      <w:r>
        <w:tab/>
        <w:t>all members, components, parts of attachments liable to attain a temperature in excess of 140° Fahrenheit or that are liable to discharge flame, gas, vapour or liquid exceeding that temperature.</w:t>
      </w:r>
    </w:p>
    <w:p w:rsidR="00B40966" w:rsidRDefault="00B40966">
      <w:pPr>
        <w:pStyle w:val="Amain"/>
      </w:pPr>
      <w:r>
        <w:tab/>
        <w:t>(2)</w:t>
      </w:r>
      <w:r>
        <w:tab/>
        <w:t>In subsection (1) (f), ordinary, plain, concentric spur or worm gearing shall not be deemed to be of irregular, radially variable, intermittent, broken or gapped contour.</w:t>
      </w:r>
    </w:p>
    <w:p w:rsidR="00B40966" w:rsidRDefault="00B40966">
      <w:pPr>
        <w:pStyle w:val="Amain"/>
      </w:pPr>
      <w:r>
        <w:tab/>
        <w:t>(3)</w:t>
      </w:r>
      <w:r>
        <w:tab/>
        <w:t>The guards shall be constantly maintained in position in a state of complete effectiveness.</w:t>
      </w:r>
    </w:p>
    <w:p w:rsidR="00B40966" w:rsidRDefault="00B40966">
      <w:pPr>
        <w:pStyle w:val="Amain"/>
      </w:pPr>
      <w:r>
        <w:tab/>
        <w:t>(4)</w:t>
      </w:r>
      <w:r>
        <w:tab/>
        <w:t>If so situated that a person may climb or rest on it each guard shall be capable of sustaining, without permanent distortion, a weight of 170 pounds placed in any position on it, together with a simultaneous force of 50 pounds applied horizontally in the same or any other position.</w:t>
      </w:r>
    </w:p>
    <w:p w:rsidR="00B40966" w:rsidRDefault="00B40966">
      <w:pPr>
        <w:pStyle w:val="Amain"/>
      </w:pPr>
      <w:r>
        <w:tab/>
        <w:t>(5)</w:t>
      </w:r>
      <w:r>
        <w:tab/>
        <w:t xml:space="preserve">Protruding or projecting levers, handles, rods, links, bolts, spikes, pins, or other members of less than 2 square inches sectional area shall be so guarded or fenced that they will not endanger the eyes of persons in the vicinity. </w:t>
      </w:r>
    </w:p>
    <w:p w:rsidR="00B40966" w:rsidRDefault="00B40966">
      <w:pPr>
        <w:pStyle w:val="AH4SubDiv"/>
      </w:pPr>
      <w:bookmarkStart w:id="257" w:name="_Toc87258093"/>
      <w:r>
        <w:t>Jointers</w:t>
      </w:r>
      <w:bookmarkEnd w:id="257"/>
    </w:p>
    <w:p w:rsidR="00B40966" w:rsidRDefault="00B40966">
      <w:pPr>
        <w:pStyle w:val="AH5Sec"/>
      </w:pPr>
      <w:bookmarkStart w:id="258" w:name="_Toc87258094"/>
      <w:r>
        <w:rPr>
          <w:rStyle w:val="CharSectNo"/>
        </w:rPr>
        <w:t>132A</w:t>
      </w:r>
      <w:bookmarkEnd w:id="258"/>
      <w:r>
        <w:tab/>
        <w:t xml:space="preserve">  </w:t>
      </w:r>
    </w:p>
    <w:p w:rsidR="00B40966" w:rsidRDefault="00B40966">
      <w:pPr>
        <w:pStyle w:val="Amain"/>
      </w:pPr>
      <w:r>
        <w:tab/>
        <w:t>(1)</w:t>
      </w:r>
      <w:r>
        <w:tab/>
        <w:t>No jointer that is plant shall be used for overhead planing unless—</w:t>
      </w:r>
    </w:p>
    <w:p w:rsidR="00B40966" w:rsidRDefault="00B40966">
      <w:pPr>
        <w:pStyle w:val="Apara"/>
      </w:pPr>
      <w:r>
        <w:tab/>
        <w:t>(a)</w:t>
      </w:r>
      <w:r>
        <w:tab/>
        <w:t xml:space="preserve">it is fitted with a cylindrical cutter block the slots of which are not more than </w:t>
      </w:r>
      <w:r>
        <w:rPr>
          <w:position w:val="6"/>
          <w:sz w:val="18"/>
        </w:rPr>
        <w:t>5</w:t>
      </w:r>
      <w:r>
        <w:t>/</w:t>
      </w:r>
      <w:r>
        <w:rPr>
          <w:sz w:val="18"/>
        </w:rPr>
        <w:t>8</w:t>
      </w:r>
      <w:r>
        <w:t xml:space="preserve"> of an inch in width and not more than </w:t>
      </w:r>
      <w:r>
        <w:rPr>
          <w:position w:val="6"/>
          <w:sz w:val="18"/>
        </w:rPr>
        <w:t>7</w:t>
      </w:r>
      <w:r>
        <w:t>/</w:t>
      </w:r>
      <w:r>
        <w:rPr>
          <w:sz w:val="18"/>
        </w:rPr>
        <w:t>16</w:t>
      </w:r>
      <w:r>
        <w:t xml:space="preserve"> of an inch in depth or are of a greater width or depth that is approved; and</w:t>
      </w:r>
    </w:p>
    <w:p w:rsidR="00B40966" w:rsidRDefault="00B40966">
      <w:pPr>
        <w:pStyle w:val="Apara"/>
      </w:pPr>
      <w:r>
        <w:tab/>
        <w:t>(b)</w:t>
      </w:r>
      <w:r>
        <w:tab/>
        <w:t>the edges of the table that form the slot or opening in which the cutter block revolves are kept as close to the block as is possible, consistently with the proper working of the machine.</w:t>
      </w:r>
    </w:p>
    <w:p w:rsidR="00B40966" w:rsidRDefault="00B40966">
      <w:pPr>
        <w:pStyle w:val="Amain"/>
      </w:pPr>
      <w:r>
        <w:tab/>
        <w:t>(2)</w:t>
      </w:r>
      <w:r>
        <w:tab/>
        <w:t>In this section:</w:t>
      </w:r>
    </w:p>
    <w:p w:rsidR="00B40966" w:rsidRDefault="00B40966">
      <w:pPr>
        <w:pStyle w:val="aDef"/>
      </w:pPr>
      <w:r>
        <w:rPr>
          <w:b/>
          <w:i/>
        </w:rPr>
        <w:t>jointer</w:t>
      </w:r>
      <w:r>
        <w:t xml:space="preserve"> means the woodworking machine commonly known as a jointer, surface planer or buzzer. </w:t>
      </w:r>
    </w:p>
    <w:p w:rsidR="00B40966" w:rsidRDefault="00B40966">
      <w:pPr>
        <w:pStyle w:val="AH4SubDiv"/>
      </w:pPr>
      <w:bookmarkStart w:id="259" w:name="_Toc87258095"/>
      <w:r>
        <w:t>Electrical</w:t>
      </w:r>
      <w:bookmarkEnd w:id="259"/>
    </w:p>
    <w:p w:rsidR="00B40966" w:rsidRDefault="00B40966">
      <w:pPr>
        <w:pStyle w:val="AH5Sec"/>
      </w:pPr>
      <w:bookmarkStart w:id="260" w:name="_Toc87258096"/>
      <w:r>
        <w:rPr>
          <w:rStyle w:val="CharSectNo"/>
        </w:rPr>
        <w:t>133</w:t>
      </w:r>
      <w:bookmarkEnd w:id="260"/>
      <w:r>
        <w:tab/>
        <w:t xml:space="preserve">  </w:t>
      </w:r>
    </w:p>
    <w:p w:rsidR="00B40966" w:rsidRDefault="00B40966">
      <w:pPr>
        <w:pStyle w:val="Amain"/>
      </w:pPr>
      <w:r>
        <w:tab/>
        <w:t>(1)</w:t>
      </w:r>
      <w:r>
        <w:tab/>
        <w:t>In this section:</w:t>
      </w:r>
    </w:p>
    <w:p w:rsidR="00B40966" w:rsidRDefault="00B40966">
      <w:pPr>
        <w:pStyle w:val="aDef"/>
      </w:pPr>
      <w:r>
        <w:rPr>
          <w:rStyle w:val="charBoldItals"/>
          <w:rFonts w:ascii="Times" w:hAnsi="Times"/>
        </w:rPr>
        <w:t>out of reach</w:t>
      </w:r>
      <w:r>
        <w:t xml:space="preserve"> means 8 feet above the nearest floor or other working surface, or object on which a person might reasonably step or stand without climbing.  An object may be regarded as out of reach if it is 7 feet above the nearest edge of a floor or working surface, and at the same time displaced 21 inches laterally outwards from the edge, or 6 feet above and 30 inches laterally, or 5 feet above and 40 inches laterally, or 4 feet above and 48 inches laterally.</w:t>
      </w:r>
    </w:p>
    <w:p w:rsidR="00B40966" w:rsidRDefault="00B40966">
      <w:pPr>
        <w:pStyle w:val="Amain"/>
      </w:pPr>
      <w:r>
        <w:tab/>
        <w:t>(2)</w:t>
      </w:r>
      <w:r>
        <w:tab/>
        <w:t>Except if provision is made elsewhere in this regulation the electrical wiring and equipment of all cranes, lifts, hoists, scaffolding, plant and gear as also that used in building, excavation and compressed air works shall conform with the S.A.A. Wiring Rules.</w:t>
      </w:r>
    </w:p>
    <w:p w:rsidR="00B40966" w:rsidRDefault="00B40966">
      <w:pPr>
        <w:pStyle w:val="Amain"/>
      </w:pPr>
      <w:r>
        <w:tab/>
        <w:t>(3)</w:t>
      </w:r>
      <w:r>
        <w:tab/>
        <w:t>Electrified conductors, terminals, fittings and apparatus within reach of access facilities, floors, platforms or other working surfaces, or stairs or ramps, or stacks of materials or goods on which persons may readily climb, or within reach of any part of any crane, lift, hoist, scaffolding, or plant, to which the driver or an attendant is liable to resort for the purposes of inspecting, lubricating, or tending, shall be safely enclosed or safely fenced.</w:t>
      </w:r>
    </w:p>
    <w:p w:rsidR="00B40966" w:rsidRDefault="00B40966">
      <w:pPr>
        <w:pStyle w:val="Amain"/>
      </w:pPr>
      <w:r>
        <w:tab/>
        <w:t>(4)</w:t>
      </w:r>
      <w:r>
        <w:tab/>
        <w:t>For subsection (3), the dielectric of the conductor, terminal, fitting or apparatus shall not be considered to be a safe enclosure or fence.</w:t>
      </w:r>
    </w:p>
    <w:p w:rsidR="00B40966" w:rsidRDefault="00B40966">
      <w:pPr>
        <w:pStyle w:val="Amain"/>
      </w:pPr>
      <w:r>
        <w:tab/>
        <w:t>(5)</w:t>
      </w:r>
      <w:r>
        <w:tab/>
        <w:t>Subsection (3) shall not apply to flexible cords, or, as far as the bridge platforms are concerned, to the bare conductors between or on the bridge beams of overhead traveller cranes.</w:t>
      </w:r>
    </w:p>
    <w:p w:rsidR="00B40966" w:rsidRDefault="00B40966">
      <w:pPr>
        <w:pStyle w:val="Amain"/>
      </w:pPr>
      <w:r>
        <w:tab/>
        <w:t>(6)</w:t>
      </w:r>
      <w:r>
        <w:tab/>
        <w:t>Flexible cords shall not, in damp places, be within reach unless boxed or enclosed in an approved way.</w:t>
      </w:r>
    </w:p>
    <w:p w:rsidR="00B40966" w:rsidRDefault="00B40966">
      <w:pPr>
        <w:pStyle w:val="Amain"/>
      </w:pPr>
      <w:r>
        <w:tab/>
        <w:t>(7)</w:t>
      </w:r>
      <w:r>
        <w:tab/>
        <w:t>No indoor electrified bare conductor, terminal, fitting or apparatus shall be set at a less distance above ground level, or above the level of any floor, platform or other working surface, or stair or ramp or any readily accessible equipment than 12 feet.</w:t>
      </w:r>
    </w:p>
    <w:p w:rsidR="00B40966" w:rsidRDefault="00B40966">
      <w:pPr>
        <w:pStyle w:val="Amain"/>
      </w:pPr>
      <w:r>
        <w:tab/>
        <w:t>(8)</w:t>
      </w:r>
      <w:r>
        <w:tab/>
        <w:t>However, if the type of goods or materials or equipment being handled in the vicinity is such that inadvertent contact might be expected with the electrified members, the distance shall be increased to at least 16 feet.</w:t>
      </w:r>
    </w:p>
    <w:p w:rsidR="00B40966" w:rsidRDefault="00B40966">
      <w:pPr>
        <w:pStyle w:val="Amain"/>
      </w:pPr>
      <w:r>
        <w:tab/>
        <w:t>(9)</w:t>
      </w:r>
      <w:r>
        <w:tab/>
        <w:t>If approved, collector wires or conductors may be of steel.</w:t>
      </w:r>
    </w:p>
    <w:p w:rsidR="00B40966" w:rsidRDefault="00B40966">
      <w:pPr>
        <w:pStyle w:val="Amain"/>
      </w:pPr>
      <w:r>
        <w:tab/>
        <w:t>(10)</w:t>
      </w:r>
      <w:r>
        <w:tab/>
        <w:t>All parts of electrically operated cranes, hoists, scaffolding and plant that are of metal shall, in earthed situations, be effectively earthed.</w:t>
      </w:r>
    </w:p>
    <w:p w:rsidR="00B40966" w:rsidRDefault="00B40966">
      <w:pPr>
        <w:pStyle w:val="Amain"/>
      </w:pPr>
      <w:r>
        <w:tab/>
        <w:t>(11)</w:t>
      </w:r>
      <w:r>
        <w:tab/>
        <w:t>However, subsection (10) shall not necessitate earthing of isolated metal parts of timber appliances if the parts cannot reasonably become electrified.</w:t>
      </w:r>
    </w:p>
    <w:p w:rsidR="00B40966" w:rsidRDefault="00B40966">
      <w:pPr>
        <w:pStyle w:val="Amain"/>
      </w:pPr>
      <w:r>
        <w:tab/>
        <w:t>(12)</w:t>
      </w:r>
      <w:r>
        <w:tab/>
        <w:t>Unless fixed in position and free from working movements, earthing conductors shall be flexible.</w:t>
      </w:r>
    </w:p>
    <w:p w:rsidR="00B40966" w:rsidRDefault="00B40966">
      <w:pPr>
        <w:pStyle w:val="Amain"/>
      </w:pPr>
      <w:r>
        <w:tab/>
        <w:t>(13)</w:t>
      </w:r>
      <w:r>
        <w:tab/>
        <w:t>All earthing conductors shall be effectively protected against mechanical damage.</w:t>
      </w:r>
    </w:p>
    <w:p w:rsidR="00B40966" w:rsidRDefault="00B40966">
      <w:pPr>
        <w:pStyle w:val="Amain"/>
      </w:pPr>
      <w:r>
        <w:tab/>
        <w:t>(14)</w:t>
      </w:r>
      <w:r>
        <w:tab/>
        <w:t xml:space="preserve">Flexible earthing conductors of copper or bronze shall not contain any wire of greater diameter than </w:t>
      </w:r>
      <w:r>
        <w:rPr>
          <w:position w:val="6"/>
          <w:sz w:val="18"/>
        </w:rPr>
        <w:t>1</w:t>
      </w:r>
      <w:r>
        <w:t>/</w:t>
      </w:r>
      <w:r>
        <w:rPr>
          <w:sz w:val="18"/>
        </w:rPr>
        <w:t>100</w:t>
      </w:r>
      <w:r>
        <w:t xml:space="preserve"> part of an inch.</w:t>
      </w:r>
    </w:p>
    <w:p w:rsidR="00B40966" w:rsidRDefault="00B40966">
      <w:pPr>
        <w:pStyle w:val="Amain"/>
      </w:pPr>
      <w:r>
        <w:tab/>
        <w:t>(15)</w:t>
      </w:r>
      <w:r>
        <w:tab/>
        <w:t xml:space="preserve">Each earthing conductor of every iceworks crane or hoist shall be of at least </w:t>
      </w:r>
      <w:r>
        <w:rPr>
          <w:position w:val="6"/>
          <w:sz w:val="18"/>
        </w:rPr>
        <w:t>1</w:t>
      </w:r>
      <w:r>
        <w:t>/</w:t>
      </w:r>
      <w:r>
        <w:rPr>
          <w:sz w:val="18"/>
        </w:rPr>
        <w:t>10</w:t>
      </w:r>
      <w:r>
        <w:t xml:space="preserve"> of 1 square inch in section area, and each crane track rail shall be separately earthed.</w:t>
      </w:r>
    </w:p>
    <w:p w:rsidR="00B40966" w:rsidRDefault="00B40966">
      <w:pPr>
        <w:pStyle w:val="Amain"/>
      </w:pPr>
      <w:r>
        <w:tab/>
        <w:t>(16)</w:t>
      </w:r>
      <w:r>
        <w:tab/>
        <w:t xml:space="preserve">Cranes or hoists used for supporting objects that are being electrically welded shall be effectively earthed with an earthing conductor not less in area than </w:t>
      </w:r>
      <w:r>
        <w:rPr>
          <w:position w:val="6"/>
          <w:sz w:val="18"/>
        </w:rPr>
        <w:t>1</w:t>
      </w:r>
      <w:r>
        <w:t>/</w:t>
      </w:r>
      <w:r>
        <w:rPr>
          <w:sz w:val="18"/>
        </w:rPr>
        <w:t>10</w:t>
      </w:r>
      <w:r>
        <w:t xml:space="preserve"> of 1 square inch.</w:t>
      </w:r>
    </w:p>
    <w:p w:rsidR="00B40966" w:rsidRDefault="00B40966">
      <w:pPr>
        <w:pStyle w:val="Amain"/>
        <w:keepLines/>
      </w:pPr>
      <w:r>
        <w:tab/>
        <w:t>(17)</w:t>
      </w:r>
      <w:r>
        <w:tab/>
        <w:t>Cranes or hoists, other than caterpillar or mobile cranes or hoists, shall not be set up or built or set or placed in position in proximity to any electrified equipment or apparatus unless effective permanent fencing or other approved safeguard has first been provided and fixed to ensure the safety of persons using, or working in connection with, the crane or hoist.</w:t>
      </w:r>
    </w:p>
    <w:p w:rsidR="00B40966" w:rsidRDefault="00B40966">
      <w:pPr>
        <w:pStyle w:val="Amain"/>
      </w:pPr>
      <w:r>
        <w:tab/>
        <w:t>(18)</w:t>
      </w:r>
      <w:r>
        <w:tab/>
        <w:t>Caterpillar, mobile or portable cranes, hoists or plant in the proximity of electrified equipment or apparatus shall be effectively earthed in a way that will ensure the safety of persons using or working in connection with the cranes, hoists or plant.</w:t>
      </w:r>
    </w:p>
    <w:p w:rsidR="00B40966" w:rsidRDefault="00B40966">
      <w:pPr>
        <w:pStyle w:val="Amain"/>
      </w:pPr>
      <w:r>
        <w:tab/>
        <w:t>(19)</w:t>
      </w:r>
      <w:r>
        <w:tab/>
        <w:t>If cranes or hoists are required, unavoidably, to handle loads in close proximity to electrified conductors, as may occur in the erection of city buildings, all loads shall be controlled by dry tail ropes of fibre or other dielectric material, and thereby prevented from approaching or being blown within 5 feet of any electrified conductor.</w:t>
      </w:r>
    </w:p>
    <w:p w:rsidR="00B40966" w:rsidRDefault="00B40966">
      <w:pPr>
        <w:pStyle w:val="Amain"/>
      </w:pPr>
      <w:r>
        <w:tab/>
        <w:t>(20)</w:t>
      </w:r>
      <w:r>
        <w:tab/>
        <w:t>Pendant switches attached to flexible conduit or other flexible supports shall not be employed in damp places.</w:t>
      </w:r>
    </w:p>
    <w:p w:rsidR="00B40966" w:rsidRDefault="00B40966">
      <w:pPr>
        <w:pStyle w:val="Amain"/>
      </w:pPr>
      <w:r>
        <w:tab/>
        <w:t>(21)</w:t>
      </w:r>
      <w:r>
        <w:tab/>
        <w:t>Plug sockets for flexible conductors or flexible cords shall be wired identically, so that identical phases will be selected by the pins of the plugs when inserted in different sockets.</w:t>
      </w:r>
    </w:p>
    <w:p w:rsidR="00B40966" w:rsidRDefault="00B40966">
      <w:pPr>
        <w:pStyle w:val="Amain"/>
      </w:pPr>
      <w:r>
        <w:tab/>
        <w:t>(22)</w:t>
      </w:r>
      <w:r>
        <w:tab/>
        <w:t>The identity of active and neutral connections shall be preserved in a like way.</w:t>
      </w:r>
    </w:p>
    <w:p w:rsidR="00B40966" w:rsidRDefault="00B40966">
      <w:pPr>
        <w:pStyle w:val="Amain"/>
      </w:pPr>
      <w:r>
        <w:tab/>
        <w:t>(23)</w:t>
      </w:r>
      <w:r>
        <w:tab/>
        <w:t>Electrical emergency limiting devices prescribed by section 127 (131) to (135) shall be wired in series with the motors concerned, and shall directly, mechanically and without recourse to relays, interrupt the whole current to it.</w:t>
      </w:r>
    </w:p>
    <w:p w:rsidR="00B40966" w:rsidRDefault="00B40966">
      <w:pPr>
        <w:pStyle w:val="Amain"/>
      </w:pPr>
      <w:r>
        <w:tab/>
        <w:t>(24)</w:t>
      </w:r>
      <w:r>
        <w:tab/>
        <w:t>Approved effective permanent facilities shall be provided by which persons may safely inspect, tend and adjust all electrical equipment.</w:t>
      </w:r>
    </w:p>
    <w:p w:rsidR="00B40966" w:rsidRDefault="00B40966">
      <w:pPr>
        <w:pStyle w:val="Amain"/>
      </w:pPr>
      <w:r>
        <w:tab/>
        <w:t>(25)</w:t>
      </w:r>
      <w:r>
        <w:tab/>
        <w:t>The facilities shall include approved permanent safe means of access.</w:t>
      </w:r>
    </w:p>
    <w:p w:rsidR="00B40966" w:rsidRDefault="00B40966">
      <w:pPr>
        <w:pStyle w:val="Amain"/>
      </w:pPr>
      <w:r>
        <w:tab/>
        <w:t>(26)</w:t>
      </w:r>
      <w:r>
        <w:tab/>
        <w:t>The circuit breakers of cranes, hoists, scaffolding and plant shall be located at the main driving stations of them, closely adjacent to the controls, and shall be so devised and fixed that the driver may, in emergency, instantly open them.</w:t>
      </w:r>
    </w:p>
    <w:p w:rsidR="00B40966" w:rsidRDefault="00B40966">
      <w:pPr>
        <w:pStyle w:val="Amain"/>
      </w:pPr>
      <w:r>
        <w:tab/>
        <w:t>(27)</w:t>
      </w:r>
      <w:r>
        <w:tab/>
        <w:t>Manual circuit breakers shall be so devised that if opened by remote push-button or switch they cannot be manually closed, either momentarily or otherwise, until the remote push-button or switch concerned has been manually reset.</w:t>
      </w:r>
    </w:p>
    <w:p w:rsidR="00B40966" w:rsidRDefault="00B40966">
      <w:pPr>
        <w:pStyle w:val="Amain"/>
      </w:pPr>
      <w:r>
        <w:tab/>
        <w:t>(28)</w:t>
      </w:r>
      <w:r>
        <w:tab/>
        <w:t>The principal isolating switch of every electric crane or hoist that travels on elevated tracks shall be a simple manually operated series switch and shall be set closely adjacent to the foot of the ladder or stair that gives access to the crane or hoist.</w:t>
      </w:r>
    </w:p>
    <w:p w:rsidR="00B40966" w:rsidRDefault="00B40966">
      <w:pPr>
        <w:pStyle w:val="Amain"/>
      </w:pPr>
      <w:r>
        <w:tab/>
        <w:t>(29)</w:t>
      </w:r>
      <w:r>
        <w:tab/>
        <w:t>If access to the crane or hoist is obtained from an adjacent floor or analogous permanent elevated surface, the switch shall be set closely adjacent to the position at which the driver is to embark and disembark.</w:t>
      </w:r>
    </w:p>
    <w:p w:rsidR="00B40966" w:rsidRDefault="00B40966">
      <w:pPr>
        <w:pStyle w:val="Amain"/>
      </w:pPr>
      <w:r>
        <w:tab/>
        <w:t>(30)</w:t>
      </w:r>
      <w:r>
        <w:tab/>
        <w:t>The principal isolating switch shall manually isolate all downshop conductors from the incoming supply of electrical current.</w:t>
      </w:r>
    </w:p>
    <w:p w:rsidR="00B40966" w:rsidRDefault="00B40966">
      <w:pPr>
        <w:pStyle w:val="Amain"/>
      </w:pPr>
      <w:r>
        <w:tab/>
        <w:t>(31)</w:t>
      </w:r>
      <w:r>
        <w:tab/>
        <w:t>It shall be plainly marked ‘Crane Switch’ or ‘Hoist Switch’ according to its purpose, and at least 2 square feet of the immediate background behind the switch shall be painted a distinctive bright yellow colour.</w:t>
      </w:r>
    </w:p>
    <w:p w:rsidR="00B40966" w:rsidRDefault="00B40966">
      <w:pPr>
        <w:pStyle w:val="Amain"/>
      </w:pPr>
      <w:r>
        <w:tab/>
        <w:t>(32)</w:t>
      </w:r>
      <w:r>
        <w:tab/>
        <w:t>In addition to the isolating switch, emergency push</w:t>
      </w:r>
      <w:r>
        <w:noBreakHyphen/>
        <w:t>buttons or switches shall be set not more than 6 feet above the principal floor or floors served and at such positions that the crane or hoist cannot travel a greater distance than 100 feet from its position when immediately adjacent to the nearest emergency switch.</w:t>
      </w:r>
    </w:p>
    <w:p w:rsidR="00B40966" w:rsidRDefault="00B40966">
      <w:pPr>
        <w:pStyle w:val="Amain"/>
        <w:keepLines/>
      </w:pPr>
      <w:r>
        <w:tab/>
        <w:t>(33)</w:t>
      </w:r>
      <w:r>
        <w:tab/>
        <w:t>The emergency switches shall, when operated, isolate all downshop conductors from the incoming supply of electrical current, and shall be so devised that the conductors cannot again be electrified until the emergency switch concerned has been manually reset.</w:t>
      </w:r>
    </w:p>
    <w:p w:rsidR="00B40966" w:rsidRDefault="00B40966">
      <w:pPr>
        <w:pStyle w:val="Amain"/>
      </w:pPr>
      <w:r>
        <w:tab/>
        <w:t>(34)</w:t>
      </w:r>
      <w:r>
        <w:tab/>
        <w:t>If the floor served by the crane or hoist is so obstructed that speedy access to all emergency switches is not assured, additional emergency switches shall be fixed so that the distance of travel of the crane or hoist is reduced to 50 feet or to any other distance that the chief inspector may direct.</w:t>
      </w:r>
    </w:p>
    <w:p w:rsidR="00B40966" w:rsidRDefault="00B40966">
      <w:pPr>
        <w:pStyle w:val="Amain"/>
      </w:pPr>
      <w:r>
        <w:tab/>
        <w:t>(35)</w:t>
      </w:r>
      <w:r>
        <w:tab/>
        <w:t>The electrical switches and control and protective equipment of each crane, lift, hoist, scaffolding or item of plant shall be clearly and distinctively marked and partitioned off from all other electrical switches and control or protective equipment.</w:t>
      </w:r>
    </w:p>
    <w:p w:rsidR="00B40966" w:rsidRDefault="00B40966">
      <w:pPr>
        <w:pStyle w:val="Amain"/>
      </w:pPr>
      <w:r>
        <w:tab/>
        <w:t>(36)</w:t>
      </w:r>
      <w:r>
        <w:tab/>
        <w:t>To avoid interference with access facilities and so that they may be more readily observed by the driver, the downshop conductors supplying electrical energy to any crane or hoist that travels on elevated tracks shall be adjacent to that track that is most remote from the main driving station of the crane or hoist.</w:t>
      </w:r>
    </w:p>
    <w:p w:rsidR="00B40966" w:rsidRDefault="00B40966">
      <w:pPr>
        <w:pStyle w:val="Amain"/>
      </w:pPr>
      <w:r>
        <w:tab/>
        <w:t>(37)</w:t>
      </w:r>
      <w:r>
        <w:tab/>
        <w:t>Collectors shall be so devised that downshop or other conductors cannot become displaced from them, and vice versa.</w:t>
      </w:r>
    </w:p>
    <w:p w:rsidR="00B40966" w:rsidRDefault="00B40966">
      <w:pPr>
        <w:pStyle w:val="Amain"/>
      </w:pPr>
      <w:r>
        <w:tab/>
        <w:t>(38)</w:t>
      </w:r>
      <w:r>
        <w:tab/>
        <w:t>If static access platforms, other than small platforms provided solely as a means by which persons may embark or disembark, are fixed in connection with any travelling crane, hoist or scaffolding, a simple manually operated series switch shall be provided on the crane, hoist or scaffolding within easy reach of the static platform.</w:t>
      </w:r>
    </w:p>
    <w:p w:rsidR="00B40966" w:rsidRDefault="00B40966">
      <w:pPr>
        <w:pStyle w:val="Amain"/>
      </w:pPr>
      <w:r>
        <w:tab/>
        <w:t>(39)</w:t>
      </w:r>
      <w:r>
        <w:tab/>
        <w:t>The switch shall, when opened, isolate the travelling motion of the crane, hoist or scaffolding from the incoming supply of electric current.</w:t>
      </w:r>
    </w:p>
    <w:p w:rsidR="00B40966" w:rsidRDefault="00B40966">
      <w:pPr>
        <w:pStyle w:val="Amain"/>
      </w:pPr>
      <w:r>
        <w:tab/>
        <w:t>(40)</w:t>
      </w:r>
      <w:r>
        <w:tab/>
        <w:t>Slots provided in floors, platforms, wharf deckings, or analogous surfaces or in other readily accessible places for electrical collectors of travelling cranes or hoists shall not exceed 1</w:t>
      </w:r>
      <w:r>
        <w:rPr>
          <w:position w:val="6"/>
          <w:sz w:val="18"/>
        </w:rPr>
        <w:t>1</w:t>
      </w:r>
      <w:r>
        <w:t>/</w:t>
      </w:r>
      <w:r>
        <w:rPr>
          <w:sz w:val="18"/>
        </w:rPr>
        <w:t>2</w:t>
      </w:r>
      <w:r>
        <w:t xml:space="preserve"> inches in width.</w:t>
      </w:r>
    </w:p>
    <w:p w:rsidR="00B40966" w:rsidRDefault="00B40966">
      <w:pPr>
        <w:pStyle w:val="Amain"/>
      </w:pPr>
      <w:r>
        <w:tab/>
        <w:t>(41)</w:t>
      </w:r>
      <w:r>
        <w:tab/>
        <w:t>The bare conductors under them, or adjacent to them, shall be so placed that they are at least 1</w:t>
      </w:r>
      <w:r>
        <w:rPr>
          <w:position w:val="6"/>
          <w:sz w:val="18"/>
        </w:rPr>
        <w:t>1</w:t>
      </w:r>
      <w:r>
        <w:t>/</w:t>
      </w:r>
      <w:r>
        <w:rPr>
          <w:sz w:val="18"/>
        </w:rPr>
        <w:t>2</w:t>
      </w:r>
      <w:r>
        <w:t xml:space="preserve"> inches clear of any straight rod that may be inserted through the slot.</w:t>
      </w:r>
    </w:p>
    <w:p w:rsidR="00B40966" w:rsidRDefault="00B40966">
      <w:pPr>
        <w:pStyle w:val="Amain"/>
      </w:pPr>
      <w:r>
        <w:tab/>
        <w:t>(42)</w:t>
      </w:r>
      <w:r>
        <w:tab/>
        <w:t>Control pendants of electric cranes and hoists shall be so devised and arranged that the person operating them is able to conveniently stand at least 6 feet from the suspended load.</w:t>
      </w:r>
    </w:p>
    <w:p w:rsidR="00B40966" w:rsidRDefault="00B40966">
      <w:pPr>
        <w:pStyle w:val="Amain"/>
      </w:pPr>
      <w:r>
        <w:tab/>
        <w:t>(43)</w:t>
      </w:r>
      <w:r>
        <w:tab/>
        <w:t>Markers or yokes suspended on pendant cords shall be of a type and fixed at a height that they will not injure persons who may collide with or be struck by them.</w:t>
      </w:r>
    </w:p>
    <w:p w:rsidR="00B40966" w:rsidRDefault="00B40966">
      <w:pPr>
        <w:pStyle w:val="Amain"/>
      </w:pPr>
      <w:r>
        <w:tab/>
        <w:t>(44)</w:t>
      </w:r>
      <w:r>
        <w:tab/>
        <w:t>Downshop and other bare conductors may be supported by and on approved single insulators.</w:t>
      </w:r>
    </w:p>
    <w:p w:rsidR="00B40966" w:rsidRDefault="00B40966">
      <w:pPr>
        <w:pStyle w:val="Amain"/>
      </w:pPr>
      <w:r>
        <w:tab/>
        <w:t>(45)</w:t>
      </w:r>
      <w:r>
        <w:tab/>
        <w:t>End straining or tensioning screws shall not be locked or otherwise rigidly attached to their supports, but shall be free to align themselves with the conductors.</w:t>
      </w:r>
    </w:p>
    <w:p w:rsidR="00B40966" w:rsidRDefault="00B40966">
      <w:pPr>
        <w:pStyle w:val="Amain"/>
      </w:pPr>
      <w:r>
        <w:tab/>
        <w:t>(46)</w:t>
      </w:r>
      <w:r>
        <w:tab/>
        <w:t>Locknuts, or other locking devices shall be employed but in a way that will permit such freedom.</w:t>
      </w:r>
    </w:p>
    <w:p w:rsidR="00B40966" w:rsidRDefault="00B40966">
      <w:pPr>
        <w:pStyle w:val="Amain"/>
        <w:keepLines/>
      </w:pPr>
      <w:r>
        <w:tab/>
        <w:t>(47)</w:t>
      </w:r>
      <w:r>
        <w:tab/>
        <w:t>If collector wires or conductors of an overhead traveller crane are on a bridge platform of them, the ends and other points of entry to the platform shall be fenced with approved gates, each bearing an approved warning notice.</w:t>
      </w:r>
    </w:p>
    <w:p w:rsidR="00B40966" w:rsidRDefault="00B40966">
      <w:pPr>
        <w:pStyle w:val="Amain"/>
      </w:pPr>
      <w:r>
        <w:tab/>
        <w:t>(48)</w:t>
      </w:r>
      <w:r>
        <w:tab/>
        <w:t>Unless an approved safety fence is erected on the platform, no other equipment, mechanism or apparatus that may require inspection or attention shall be placed on the platform on which collector wires or conductors are located.</w:t>
      </w:r>
    </w:p>
    <w:p w:rsidR="00B40966" w:rsidRDefault="00B40966">
      <w:pPr>
        <w:pStyle w:val="Amain"/>
        <w:keepLines/>
      </w:pPr>
      <w:r>
        <w:tab/>
        <w:t>(49)</w:t>
      </w:r>
      <w:r>
        <w:tab/>
        <w:t>Electrical switch or control or protective gear shall not be placed on the bridge platforms of overhead traveller cranes or of gallows or gantry cranes unless the approval of the chief inspector has first been obtained.</w:t>
      </w:r>
    </w:p>
    <w:p w:rsidR="00B40966" w:rsidRDefault="00B40966">
      <w:pPr>
        <w:pStyle w:val="Amain"/>
      </w:pPr>
      <w:r>
        <w:tab/>
        <w:t>(50)</w:t>
      </w:r>
      <w:r>
        <w:tab/>
        <w:t>Switches and controllers actuated by pendants shall be so devised and constructed that in the event of 1 pendant becoming detached, the weight of the other will not prevent the switch or controller returning to the neutral or open position.</w:t>
      </w:r>
    </w:p>
    <w:p w:rsidR="00B40966" w:rsidRDefault="00B40966">
      <w:pPr>
        <w:pStyle w:val="Amain"/>
      </w:pPr>
      <w:r>
        <w:tab/>
        <w:t>(51)</w:t>
      </w:r>
      <w:r>
        <w:tab/>
        <w:t>Pendant controls shall not be employed if they may foul or become otherwise jammed or entangled in any obstruction.</w:t>
      </w:r>
    </w:p>
    <w:p w:rsidR="00B40966" w:rsidRDefault="00B40966">
      <w:pPr>
        <w:pStyle w:val="Amain"/>
      </w:pPr>
      <w:r>
        <w:tab/>
        <w:t>(52)</w:t>
      </w:r>
      <w:r>
        <w:tab/>
        <w:t>Electric lights and the conductors supplying them with current shall not if used within reach in excavation work, or in earthed situations, be at a higher potential than 32V alternating current or 50V direct current above earth or the earthed situation.</w:t>
      </w:r>
    </w:p>
    <w:p w:rsidR="00B40966" w:rsidRDefault="00B40966">
      <w:pPr>
        <w:pStyle w:val="Amain"/>
      </w:pPr>
      <w:r>
        <w:tab/>
        <w:t>(53)</w:t>
      </w:r>
      <w:r>
        <w:tab/>
        <w:t>However, subsection (52) shall not apply if the conductors are in metal conduit and the lights fixed permanently in position.</w:t>
      </w:r>
    </w:p>
    <w:p w:rsidR="00B40966" w:rsidRDefault="00B40966">
      <w:pPr>
        <w:pStyle w:val="Amain"/>
      </w:pPr>
      <w:r>
        <w:tab/>
        <w:t>(54)</w:t>
      </w:r>
      <w:r>
        <w:tab/>
        <w:t>Electrified conductors used in building, excavation or compressed air works shall be fixed overhead and if practicable out of reach.</w:t>
      </w:r>
    </w:p>
    <w:p w:rsidR="00B40966" w:rsidRDefault="00B40966">
      <w:pPr>
        <w:pStyle w:val="Amain"/>
      </w:pPr>
      <w:r>
        <w:tab/>
        <w:t>(55)</w:t>
      </w:r>
      <w:r>
        <w:tab/>
        <w:t>If within reach, they shall be in metal or approved rubber conduit.</w:t>
      </w:r>
    </w:p>
    <w:p w:rsidR="00B40966" w:rsidRDefault="00B40966">
      <w:pPr>
        <w:pStyle w:val="Amain"/>
      </w:pPr>
      <w:r>
        <w:tab/>
        <w:t>(56)</w:t>
      </w:r>
      <w:r>
        <w:tab/>
        <w:t>If it is necessary to lay conductors on or closely adjacent to floors, they shall be in metal conduit.</w:t>
      </w:r>
    </w:p>
    <w:p w:rsidR="00B40966" w:rsidRDefault="00B40966">
      <w:pPr>
        <w:pStyle w:val="Amain"/>
      </w:pPr>
      <w:r>
        <w:tab/>
        <w:t>(57)</w:t>
      </w:r>
      <w:r>
        <w:tab/>
        <w:t>Rubber conduit shall in such case be used only in approved circumstances if damage is not to be expected.</w:t>
      </w:r>
    </w:p>
    <w:p w:rsidR="00B40966" w:rsidRDefault="00B40966">
      <w:pPr>
        <w:pStyle w:val="Amain"/>
      </w:pPr>
      <w:r>
        <w:tab/>
        <w:t>(58)</w:t>
      </w:r>
      <w:r>
        <w:tab/>
        <w:t>Subsection (54) to (57) shall not prevent the use of approved flexible cords for portable lights, tools and portable plant provided the conductors are of the least reasonable working length that can be used.</w:t>
      </w:r>
    </w:p>
    <w:p w:rsidR="00B40966" w:rsidRDefault="00B40966">
      <w:pPr>
        <w:pStyle w:val="Amain"/>
        <w:keepLines/>
      </w:pPr>
      <w:r>
        <w:tab/>
        <w:t>(59)</w:t>
      </w:r>
      <w:r>
        <w:tab/>
        <w:t>Electrified bare conductors, fittings or apparatus shall not be within reach of windows, openings or edges of floors of other working surfaces at building, demolition, excavation or compressed air works.</w:t>
      </w:r>
    </w:p>
    <w:p w:rsidR="00B40966" w:rsidRDefault="00B40966">
      <w:pPr>
        <w:pStyle w:val="Amain"/>
      </w:pPr>
      <w:r>
        <w:tab/>
        <w:t>(60)</w:t>
      </w:r>
      <w:r>
        <w:tab/>
        <w:t>Electrified conductors, fittings and apparatus under wharves shall be effectively fenced for the protection of persons in boats or climbing under the wharves.</w:t>
      </w:r>
    </w:p>
    <w:p w:rsidR="00B40966" w:rsidRDefault="00B40966">
      <w:pPr>
        <w:pStyle w:val="Amain"/>
      </w:pPr>
      <w:r>
        <w:tab/>
        <w:t>(61)</w:t>
      </w:r>
      <w:r>
        <w:tab/>
        <w:t>Electrified conductors and apparatus shall at all times be at least 6 feet clear of vessels containing gas under pressure.</w:t>
      </w:r>
    </w:p>
    <w:p w:rsidR="00B40966" w:rsidRDefault="00B40966">
      <w:pPr>
        <w:pStyle w:val="AH4SubDiv"/>
      </w:pPr>
      <w:bookmarkStart w:id="261" w:name="_Toc87258097"/>
      <w:r>
        <w:t>Stiff-leg derrick cranes</w:t>
      </w:r>
      <w:bookmarkEnd w:id="261"/>
    </w:p>
    <w:p w:rsidR="00B40966" w:rsidRDefault="00B40966">
      <w:pPr>
        <w:pStyle w:val="AH5Sec"/>
      </w:pPr>
      <w:bookmarkStart w:id="262" w:name="_Toc87258098"/>
      <w:r>
        <w:rPr>
          <w:rStyle w:val="CharSectNo"/>
        </w:rPr>
        <w:t>134</w:t>
      </w:r>
      <w:bookmarkEnd w:id="262"/>
      <w:r>
        <w:tab/>
        <w:t xml:space="preserve">  </w:t>
      </w:r>
    </w:p>
    <w:p w:rsidR="00B40966" w:rsidRDefault="00B40966">
      <w:pPr>
        <w:pStyle w:val="Amain"/>
      </w:pPr>
      <w:r>
        <w:tab/>
        <w:t>(1)</w:t>
      </w:r>
      <w:r>
        <w:tab/>
        <w:t>The main members of a stiff-leg derrick crane shall be considered to be on its left-hand side if they are to the left of a vertical plane extending through the top and bottom pivots, and passing through a point halfway along a line joining the 2 backstay foot anchorages, the direction of vision being from the last mentioned point towards the pivots.</w:t>
      </w:r>
    </w:p>
    <w:p w:rsidR="00B40966" w:rsidRDefault="00B40966">
      <w:pPr>
        <w:pStyle w:val="Amain"/>
      </w:pPr>
      <w:r>
        <w:tab/>
        <w:t>(2)</w:t>
      </w:r>
      <w:r>
        <w:tab/>
        <w:t>In determining which members or parts are on the left, and which on the right-hand side, the jib shall be deemed to be in the plane so defined.</w:t>
      </w:r>
    </w:p>
    <w:p w:rsidR="00B40966" w:rsidRDefault="00B40966">
      <w:pPr>
        <w:pStyle w:val="Amain"/>
      </w:pPr>
      <w:r>
        <w:tab/>
        <w:t>(3)</w:t>
      </w:r>
      <w:r>
        <w:tab/>
        <w:t>If 1 backstay of a crane is shorter in length than the other, the shorter stay shall be on the left-hand side of the crane.</w:t>
      </w:r>
    </w:p>
    <w:p w:rsidR="00B40966" w:rsidRDefault="00B40966">
      <w:pPr>
        <w:pStyle w:val="Amain"/>
      </w:pPr>
      <w:r>
        <w:tab/>
        <w:t>(4)</w:t>
      </w:r>
      <w:r>
        <w:tab/>
        <w:t>Jibhead bridles shall be of approved fabricated construction or of flexible steel wire rope having in each part or single not less than 6 strands, each containing not less than 19 wires.</w:t>
      </w:r>
    </w:p>
    <w:p w:rsidR="00B40966" w:rsidRDefault="00B40966">
      <w:pPr>
        <w:pStyle w:val="Amain"/>
      </w:pPr>
      <w:r>
        <w:tab/>
        <w:t>(5)</w:t>
      </w:r>
      <w:r>
        <w:tab/>
        <w:t>Approved connections shall be made between rope bridles and jibhead pins.</w:t>
      </w:r>
    </w:p>
    <w:p w:rsidR="00B40966" w:rsidRDefault="00B40966">
      <w:pPr>
        <w:pStyle w:val="Amain"/>
      </w:pPr>
      <w:r>
        <w:tab/>
        <w:t>(6)</w:t>
      </w:r>
      <w:r>
        <w:tab/>
        <w:t>If any rope is in more than 1 part or single, the loads in the respective parts or singles shall be effectively equalised.</w:t>
      </w:r>
    </w:p>
    <w:p w:rsidR="00B40966" w:rsidRDefault="00B40966">
      <w:pPr>
        <w:pStyle w:val="Amain"/>
      </w:pPr>
      <w:r>
        <w:tab/>
        <w:t>(7)</w:t>
      </w:r>
      <w:r>
        <w:tab/>
        <w:t>Ropes and their sheaves and bridles shall be so devised and constructed that they do not foul the crane members or parts, or any obstructions, particularly during slewing or luffing.</w:t>
      </w:r>
    </w:p>
    <w:p w:rsidR="00B40966" w:rsidRDefault="00B40966">
      <w:pPr>
        <w:pStyle w:val="Amain"/>
      </w:pPr>
      <w:r>
        <w:tab/>
        <w:t>(8)</w:t>
      </w:r>
      <w:r>
        <w:tab/>
        <w:t>The mast bridle collar shall be bolted through the top pivot by means of a tight-fitting bolt.</w:t>
      </w:r>
    </w:p>
    <w:p w:rsidR="00B40966" w:rsidRDefault="00B40966">
      <w:pPr>
        <w:pStyle w:val="Amain"/>
      </w:pPr>
      <w:r>
        <w:tab/>
        <w:t>(9)</w:t>
      </w:r>
      <w:r>
        <w:tab/>
        <w:t>The nut of the bolt shall be secured by a split pin.</w:t>
      </w:r>
    </w:p>
    <w:p w:rsidR="00B40966" w:rsidRDefault="00B40966">
      <w:pPr>
        <w:pStyle w:val="Amain"/>
      </w:pPr>
      <w:r>
        <w:tab/>
        <w:t>(10)</w:t>
      </w:r>
      <w:r>
        <w:tab/>
        <w:t>All other collars on the top pivot shall be secured in the same way as the mast bridle collar.</w:t>
      </w:r>
    </w:p>
    <w:p w:rsidR="00B40966" w:rsidRDefault="00B40966">
      <w:pPr>
        <w:pStyle w:val="Amain"/>
      </w:pPr>
      <w:r>
        <w:tab/>
        <w:t>(11)</w:t>
      </w:r>
      <w:r>
        <w:tab/>
        <w:t>The maximum total ‘slack’, or combined longitudinal take-up clearance, of all members encircling the top pivot shall not exceed </w:t>
      </w:r>
      <w:r>
        <w:rPr>
          <w:position w:val="6"/>
          <w:sz w:val="18"/>
        </w:rPr>
        <w:t>1</w:t>
      </w:r>
      <w:r>
        <w:t>/</w:t>
      </w:r>
      <w:r>
        <w:rPr>
          <w:sz w:val="18"/>
        </w:rPr>
        <w:t>16</w:t>
      </w:r>
      <w:r>
        <w:t xml:space="preserve"> of an inch.</w:t>
      </w:r>
    </w:p>
    <w:p w:rsidR="00B40966" w:rsidRDefault="00B40966">
      <w:pPr>
        <w:pStyle w:val="Amain"/>
      </w:pPr>
      <w:r>
        <w:tab/>
        <w:t>(12)</w:t>
      </w:r>
      <w:r>
        <w:tab/>
        <w:t xml:space="preserve">The total diametral clearance of any gland on the top pivot or on any sleeper pin, or of any member on an anchorage pin, shall not exceed when worn </w:t>
      </w:r>
      <w:r>
        <w:rPr>
          <w:position w:val="6"/>
          <w:sz w:val="18"/>
        </w:rPr>
        <w:t>1.5</w:t>
      </w:r>
      <w:r>
        <w:t>/</w:t>
      </w:r>
      <w:r>
        <w:rPr>
          <w:sz w:val="18"/>
        </w:rPr>
        <w:t>10</w:t>
      </w:r>
      <w:r>
        <w:t xml:space="preserve"> of an inch.</w:t>
      </w:r>
    </w:p>
    <w:p w:rsidR="00B40966" w:rsidRDefault="00B40966">
      <w:pPr>
        <w:pStyle w:val="Amain"/>
      </w:pPr>
      <w:r>
        <w:tab/>
        <w:t>(13)</w:t>
      </w:r>
      <w:r>
        <w:tab/>
        <w:t>Bolts, or pins with nuts, shall be used to secure bridles, and backstays to top pivot fittings.</w:t>
      </w:r>
    </w:p>
    <w:p w:rsidR="00B40966" w:rsidRDefault="00B40966">
      <w:pPr>
        <w:pStyle w:val="Amain"/>
      </w:pPr>
      <w:r>
        <w:tab/>
        <w:t>(14)</w:t>
      </w:r>
      <w:r>
        <w:tab/>
      </w:r>
      <w:r>
        <w:tab/>
        <w:t>The nuts shall be secured with split pins.</w:t>
      </w:r>
    </w:p>
    <w:p w:rsidR="00B40966" w:rsidRDefault="00B40966">
      <w:pPr>
        <w:pStyle w:val="Amain"/>
      </w:pPr>
      <w:r>
        <w:tab/>
        <w:t>(15)</w:t>
      </w:r>
      <w:r>
        <w:tab/>
        <w:t>Unless secured by approved locking plates, the pins of all sheaves shall be secured by nuts having split pins.</w:t>
      </w:r>
    </w:p>
    <w:p w:rsidR="00B40966" w:rsidRDefault="00B40966">
      <w:pPr>
        <w:pStyle w:val="Amain"/>
      </w:pPr>
      <w:r>
        <w:tab/>
        <w:t>(16)</w:t>
      </w:r>
      <w:r>
        <w:tab/>
        <w:t>Pins securing bottom glands to sleepers or to foundations shall have nuts secured by split pins.</w:t>
      </w:r>
    </w:p>
    <w:p w:rsidR="00B40966" w:rsidRDefault="00B40966">
      <w:pPr>
        <w:pStyle w:val="Amain"/>
      </w:pPr>
      <w:r>
        <w:tab/>
        <w:t>(17)</w:t>
      </w:r>
      <w:r>
        <w:tab/>
        <w:t>Race pinions, and their shafts, shall be secured by keep plates in addition to keys or splines.</w:t>
      </w:r>
    </w:p>
    <w:p w:rsidR="00B40966" w:rsidRDefault="00B40966">
      <w:pPr>
        <w:pStyle w:val="Amain"/>
      </w:pPr>
      <w:r>
        <w:tab/>
        <w:t>(18)</w:t>
      </w:r>
      <w:r>
        <w:tab/>
        <w:t>Keys or feathers shall not be used in connection with sliding pinions or sliding clutches, unless the keys or feathers are formed as an integral part of, and in 1 piece with, the shaft.</w:t>
      </w:r>
    </w:p>
    <w:p w:rsidR="00B40966" w:rsidRDefault="00B40966">
      <w:pPr>
        <w:pStyle w:val="Amain"/>
      </w:pPr>
      <w:r>
        <w:tab/>
        <w:t>(19)</w:t>
      </w:r>
      <w:r>
        <w:tab/>
        <w:t>The soleplates of all derrick cranes shall be effectively fastened down to prevent uplifting.</w:t>
      </w:r>
    </w:p>
    <w:p w:rsidR="00B40966" w:rsidRDefault="00B40966">
      <w:pPr>
        <w:pStyle w:val="Amain"/>
      </w:pPr>
      <w:r>
        <w:tab/>
        <w:t>(20)</w:t>
      </w:r>
      <w:r>
        <w:tab/>
        <w:t>Effective positive devices shall be employed to prevent all masts from lifting from their bottom pivots.</w:t>
      </w:r>
    </w:p>
    <w:p w:rsidR="00B40966" w:rsidRDefault="00B40966">
      <w:pPr>
        <w:pStyle w:val="Amain"/>
      </w:pPr>
      <w:r>
        <w:tab/>
        <w:t>(21)</w:t>
      </w:r>
      <w:r>
        <w:tab/>
        <w:t>Topmost ends of backstay timbers shall have metal weatherings to exclude moisture.</w:t>
      </w:r>
    </w:p>
    <w:p w:rsidR="00B40966" w:rsidRDefault="00B40966">
      <w:pPr>
        <w:pStyle w:val="Amain"/>
      </w:pPr>
      <w:r>
        <w:tab/>
        <w:t>(22)</w:t>
      </w:r>
      <w:r>
        <w:tab/>
        <w:t>Regular inspections shall be made of all members, components, parts and attachments of derrick cranes that shall at all times be kept in good order and condition.</w:t>
      </w:r>
    </w:p>
    <w:p w:rsidR="00B40966" w:rsidRDefault="00B40966">
      <w:pPr>
        <w:pStyle w:val="Amain"/>
      </w:pPr>
      <w:r>
        <w:tab/>
        <w:t>(23)</w:t>
      </w:r>
      <w:r>
        <w:tab/>
        <w:t>Particular attention must be given to connections and fastenings, especially if members are of timber.</w:t>
      </w:r>
    </w:p>
    <w:p w:rsidR="00B40966" w:rsidRDefault="00B40966">
      <w:pPr>
        <w:pStyle w:val="Amain"/>
      </w:pPr>
      <w:r>
        <w:tab/>
        <w:t>(24)</w:t>
      </w:r>
      <w:r>
        <w:tab/>
        <w:t>In addition to any moving flexible earthing conductor that may be used, electric derrick cranes shall be effectively earthed from the soleplate or other static part of the framework.</w:t>
      </w:r>
    </w:p>
    <w:p w:rsidR="00B40966" w:rsidRDefault="00B40966">
      <w:pPr>
        <w:pStyle w:val="Amain"/>
      </w:pPr>
      <w:r>
        <w:tab/>
        <w:t>(25)</w:t>
      </w:r>
      <w:r>
        <w:tab/>
        <w:t>The racewheels and pinions and other parts of the slewing mechanisms shall be kept in such adjustment that lost motion at the jibhead shall not exceed a total of 2 feet, measured horizontally.</w:t>
      </w:r>
    </w:p>
    <w:p w:rsidR="00B40966" w:rsidRDefault="00B40966">
      <w:pPr>
        <w:pStyle w:val="Amain"/>
      </w:pPr>
      <w:r>
        <w:tab/>
        <w:t>(26)</w:t>
      </w:r>
      <w:r>
        <w:tab/>
        <w:t>The controls of derrick cranes shall be grouped conveniently at the left-hand side of the main driving station, and the station shall be so devised and constructed that while at the controls the driver has a good view of the load.</w:t>
      </w:r>
    </w:p>
    <w:p w:rsidR="00B40966" w:rsidRDefault="00B40966">
      <w:pPr>
        <w:pStyle w:val="Amain"/>
      </w:pPr>
      <w:r>
        <w:tab/>
        <w:t>(27)</w:t>
      </w:r>
      <w:r>
        <w:tab/>
        <w:t>The counterbalance weights of derrick cranes shall be so devised, constructed and attached that they do not subject the backstays or sleepers or pivots to bending actions.</w:t>
      </w:r>
    </w:p>
    <w:p w:rsidR="00B40966" w:rsidRDefault="00B40966">
      <w:pPr>
        <w:pStyle w:val="Amain"/>
      </w:pPr>
      <w:r>
        <w:tab/>
        <w:t>(28)</w:t>
      </w:r>
      <w:r>
        <w:tab/>
        <w:t>If the sleepers or backstays of a derrick crane are lashed down, the lashings shall be of a type that may be readily tightened by shortening from time to time without the use of wedges.</w:t>
      </w:r>
    </w:p>
    <w:p w:rsidR="00B40966" w:rsidRDefault="00B40966">
      <w:pPr>
        <w:pStyle w:val="Amain"/>
      </w:pPr>
      <w:r>
        <w:tab/>
        <w:t>(29)</w:t>
      </w:r>
      <w:r>
        <w:tab/>
        <w:t>Packings greater in thickness than 3 inches shall not be used under cranes depending on lashings, unless approved.</w:t>
      </w:r>
    </w:p>
    <w:p w:rsidR="00B40966" w:rsidRDefault="00B40966">
      <w:pPr>
        <w:pStyle w:val="Amain"/>
      </w:pPr>
      <w:r>
        <w:tab/>
        <w:t>(30)</w:t>
      </w:r>
      <w:r>
        <w:tab/>
        <w:t>If derrick cranes are mounted on trucks or bogies, a rigid spar, or other rigid member, shall be secured between the 2 backstay foot trucks or bogies to ensure their correct spacing and relationship.</w:t>
      </w:r>
    </w:p>
    <w:p w:rsidR="00B40966" w:rsidRDefault="00B40966">
      <w:pPr>
        <w:pStyle w:val="Amain"/>
      </w:pPr>
      <w:r>
        <w:tab/>
        <w:t>(31)</w:t>
      </w:r>
      <w:r>
        <w:tab/>
        <w:t>Permanent blockings shall be fixed under each truck or bogie, to ensure that in the event of its derailment or axle failure, the crane members will not descend or fall more than 1</w:t>
      </w:r>
      <w:r>
        <w:rPr>
          <w:position w:val="6"/>
          <w:sz w:val="18"/>
        </w:rPr>
        <w:t>1</w:t>
      </w:r>
      <w:r>
        <w:t>/</w:t>
      </w:r>
      <w:r>
        <w:rPr>
          <w:sz w:val="18"/>
        </w:rPr>
        <w:t>2</w:t>
      </w:r>
      <w:r>
        <w:t xml:space="preserve"> inches.</w:t>
      </w:r>
    </w:p>
    <w:p w:rsidR="00B40966" w:rsidRDefault="00B40966">
      <w:pPr>
        <w:pStyle w:val="AH4SubDiv"/>
      </w:pPr>
      <w:bookmarkStart w:id="263" w:name="_Toc87258099"/>
      <w:r>
        <w:t>Caterpillar cranes and mobile cranes</w:t>
      </w:r>
      <w:bookmarkEnd w:id="263"/>
    </w:p>
    <w:p w:rsidR="00B40966" w:rsidRDefault="00B40966">
      <w:pPr>
        <w:pStyle w:val="AH5Sec"/>
      </w:pPr>
      <w:bookmarkStart w:id="264" w:name="_Toc87258100"/>
      <w:r>
        <w:rPr>
          <w:rStyle w:val="CharSectNo"/>
        </w:rPr>
        <w:t>135</w:t>
      </w:r>
      <w:bookmarkEnd w:id="264"/>
      <w:r>
        <w:tab/>
        <w:t xml:space="preserve">  </w:t>
      </w:r>
    </w:p>
    <w:p w:rsidR="00B40966" w:rsidRDefault="00B40966">
      <w:pPr>
        <w:pStyle w:val="Amain"/>
      </w:pPr>
      <w:r>
        <w:tab/>
        <w:t>(1)</w:t>
      </w:r>
      <w:r>
        <w:tab/>
        <w:t>Subject to subsections (3) and (4), if the jib is of the cantilevered type an approved limiting device shall be provided by which overluffing is prevented, and by which, in addition, the jib is prevented from being lowered on the lifting hook or block or analogous medium, or the hook, block or medium from being wound into contact with the jib.</w:t>
      </w:r>
    </w:p>
    <w:p w:rsidR="00B40966" w:rsidRDefault="00B40966">
      <w:pPr>
        <w:pStyle w:val="Amain"/>
      </w:pPr>
      <w:r>
        <w:tab/>
        <w:t>(2)</w:t>
      </w:r>
      <w:r>
        <w:tab/>
        <w:t>The limiting device shall be effective and shall be constantly maintained in good working order and condition.</w:t>
      </w:r>
    </w:p>
    <w:p w:rsidR="00B40966" w:rsidRDefault="00B40966">
      <w:pPr>
        <w:pStyle w:val="Amain"/>
      </w:pPr>
      <w:r>
        <w:tab/>
        <w:t>(3)</w:t>
      </w:r>
      <w:r>
        <w:tab/>
        <w:t>If the chief inspector so directs, or if it is advisable not to equip any caterpillar or mobile crane with the limiting devices mentioned in subsection (1), or those prescribed by section 127 (131) to (135), the crane shall instead of it be equipped with approved devices by which the loads in the crane ropes or other hoisting or luffing media shall be effectively limited in magnitude to an approved amount.</w:t>
      </w:r>
    </w:p>
    <w:p w:rsidR="00B40966" w:rsidRDefault="00B40966">
      <w:pPr>
        <w:pStyle w:val="Amain"/>
      </w:pPr>
      <w:r>
        <w:tab/>
        <w:t>(4)</w:t>
      </w:r>
      <w:r>
        <w:tab/>
        <w:t>Alternatively, the crane shall be so designed and constructed that the loads will be automatically limited as previously mentioned.</w:t>
      </w:r>
    </w:p>
    <w:p w:rsidR="00B40966" w:rsidRDefault="00B40966">
      <w:pPr>
        <w:pStyle w:val="Amain"/>
      </w:pPr>
      <w:r>
        <w:tab/>
        <w:t>(5)</w:t>
      </w:r>
      <w:r>
        <w:tab/>
        <w:t>Hydraulic or fluid pressure rams used in connection with hoisting or luffing shall have at their fluid outlet connection a restricting or throttling device that will, in the event of breakage of the pipe conveying fluid, effectively prevent the load, or the jibhead from descending at a greater speed than 100 feet per minute.</w:t>
      </w:r>
    </w:p>
    <w:p w:rsidR="00B40966" w:rsidRDefault="00B40966">
      <w:pPr>
        <w:pStyle w:val="Amain"/>
      </w:pPr>
      <w:r>
        <w:tab/>
        <w:t>(6)</w:t>
      </w:r>
      <w:r>
        <w:tab/>
        <w:t>Correctly prepared blocks or approved stops shall be provided by which the elastic action of the road wheel springs may be restricted or eliminated if desirable.</w:t>
      </w:r>
    </w:p>
    <w:p w:rsidR="00B40966" w:rsidRDefault="00B40966">
      <w:pPr>
        <w:pStyle w:val="Amain"/>
      </w:pPr>
      <w:r>
        <w:tab/>
        <w:t>(7)</w:t>
      </w:r>
      <w:r>
        <w:tab/>
        <w:t>If necessary or advisable, jacks shall be provided for adjusting the crane chassis to level the jib hinges.</w:t>
      </w:r>
    </w:p>
    <w:p w:rsidR="00B40966" w:rsidRDefault="00B40966">
      <w:pPr>
        <w:pStyle w:val="Amain"/>
      </w:pPr>
      <w:r>
        <w:tab/>
        <w:t>(8)</w:t>
      </w:r>
      <w:r>
        <w:tab/>
        <w:t>The jacks shall be complete with all auxiliary equipment necessary or advisable for their safe and effective operation.</w:t>
      </w:r>
    </w:p>
    <w:p w:rsidR="00B40966" w:rsidRDefault="00B40966">
      <w:pPr>
        <w:pStyle w:val="Amain"/>
      </w:pPr>
      <w:r>
        <w:tab/>
        <w:t>(9)</w:t>
      </w:r>
      <w:r>
        <w:tab/>
        <w:t>Jacks shall be so devised and constructed that they will strongly resist lateral and longitudinal movements of the crane.</w:t>
      </w:r>
    </w:p>
    <w:p w:rsidR="00B40966" w:rsidRDefault="00B40966">
      <w:pPr>
        <w:pStyle w:val="Amain"/>
      </w:pPr>
      <w:r>
        <w:tab/>
        <w:t>(10)</w:t>
      </w:r>
      <w:r>
        <w:tab/>
        <w:t>Each jack shall incorporate a dynamically irreversible screw thread adjustment as to length and shall have a foot of sufficient area and strength to ensure against settlement into ordinary dry soil surfaces.</w:t>
      </w:r>
    </w:p>
    <w:p w:rsidR="00B40966" w:rsidRDefault="00B40966">
      <w:pPr>
        <w:pStyle w:val="Amain"/>
      </w:pPr>
      <w:r>
        <w:tab/>
        <w:t>(11)</w:t>
      </w:r>
      <w:r>
        <w:tab/>
        <w:t>A low arm or rail shall be provided at the off side of the driver’s seat to prevent the driver sliding under the crane or losing control should it tilt or overturn laterally.</w:t>
      </w:r>
    </w:p>
    <w:p w:rsidR="00B40966" w:rsidRDefault="00B40966">
      <w:pPr>
        <w:pStyle w:val="Amain"/>
      </w:pPr>
      <w:r>
        <w:tab/>
        <w:t>(12)</w:t>
      </w:r>
      <w:r>
        <w:tab/>
        <w:t>If the driver operates the crane from a position in which the driver might be injured by the jib, derrick or load, should either fall or rebound, an approved structure shall be provided for the driver’s protection.</w:t>
      </w:r>
    </w:p>
    <w:p w:rsidR="00B40966" w:rsidRDefault="00B40966">
      <w:pPr>
        <w:pStyle w:val="AH3Div"/>
      </w:pPr>
      <w:bookmarkStart w:id="265" w:name="_Toc87258101"/>
      <w:r>
        <w:t>Gravity operated overwinding limit devices</w:t>
      </w:r>
      <w:bookmarkEnd w:id="265"/>
    </w:p>
    <w:p w:rsidR="00B40966" w:rsidRDefault="00B40966">
      <w:pPr>
        <w:pStyle w:val="AH4SubDiv"/>
      </w:pPr>
      <w:bookmarkStart w:id="266" w:name="_Toc87258102"/>
      <w:r>
        <w:t>Electrical</w:t>
      </w:r>
      <w:bookmarkEnd w:id="266"/>
    </w:p>
    <w:p w:rsidR="00B40966" w:rsidRDefault="00B40966">
      <w:pPr>
        <w:pStyle w:val="AH5Sec"/>
      </w:pPr>
      <w:bookmarkStart w:id="267" w:name="_Toc87258103"/>
      <w:r>
        <w:rPr>
          <w:rStyle w:val="CharSectNo"/>
        </w:rPr>
        <w:t>136</w:t>
      </w:r>
      <w:bookmarkEnd w:id="267"/>
      <w:r>
        <w:tab/>
        <w:t xml:space="preserve">  </w:t>
      </w:r>
    </w:p>
    <w:p w:rsidR="00B40966" w:rsidRDefault="00B40966">
      <w:pPr>
        <w:pStyle w:val="Amain"/>
      </w:pPr>
      <w:r>
        <w:tab/>
        <w:t>(1)</w:t>
      </w:r>
      <w:r>
        <w:tab/>
        <w:t>A gravity operated limit device consists of an electric switch opened by a weight attached directly or indirectly to a crank, drum, sheave or quadrant controlling the switch spindle.</w:t>
      </w:r>
    </w:p>
    <w:p w:rsidR="00B40966" w:rsidRDefault="00B40966">
      <w:pPr>
        <w:pStyle w:val="Amain"/>
        <w:keepLines/>
      </w:pPr>
      <w:r>
        <w:tab/>
        <w:t>(2)</w:t>
      </w:r>
      <w:r>
        <w:tab/>
        <w:t>A weight of greater predominance, attached in a somewhat similar way, holds the switch in the closed position until raised by some moving part of the mechanism that the limiting device is required to control.</w:t>
      </w:r>
    </w:p>
    <w:p w:rsidR="00B40966" w:rsidRDefault="00B40966">
      <w:pPr>
        <w:pStyle w:val="Amain"/>
      </w:pPr>
      <w:r>
        <w:tab/>
        <w:t>(3)</w:t>
      </w:r>
      <w:r>
        <w:tab/>
        <w:t>As the predominant weight is raised, the opening weight takes effect.</w:t>
      </w:r>
    </w:p>
    <w:p w:rsidR="00B40966" w:rsidRDefault="00B40966">
      <w:pPr>
        <w:pStyle w:val="Amain"/>
      </w:pPr>
      <w:r>
        <w:tab/>
        <w:t>(4)</w:t>
      </w:r>
      <w:r>
        <w:tab/>
        <w:t>The effective radius at which the switch opening weight acts shall be neither less than 4 inches nor more than 15 inches, measured from longitudinal axis of switch spindle, to centre of gravity of opening weight.</w:t>
      </w:r>
    </w:p>
    <w:p w:rsidR="00B40966" w:rsidRDefault="00B40966">
      <w:pPr>
        <w:pStyle w:val="Amain"/>
      </w:pPr>
      <w:r>
        <w:tab/>
        <w:t>(5)</w:t>
      </w:r>
      <w:r>
        <w:tab/>
        <w:t>The torque developed by the opening weight shall not be less than 100 pounds-inches at the switch spindle at all times, irrespective of the position of the switch actuating quadrant, or crank, or opening weight.</w:t>
      </w:r>
    </w:p>
    <w:p w:rsidR="00B40966" w:rsidRDefault="00B40966">
      <w:pPr>
        <w:pStyle w:val="Amain"/>
      </w:pPr>
      <w:r>
        <w:tab/>
        <w:t>(6)</w:t>
      </w:r>
      <w:r>
        <w:tab/>
        <w:t>When the switch is equipped with ‘hammer’ or ‘impulse’ weights to open, or assist in opening it, the abovementioned torque shall be increased by 1</w:t>
      </w:r>
      <w:r>
        <w:rPr>
          <w:position w:val="6"/>
          <w:sz w:val="18"/>
        </w:rPr>
        <w:t>1</w:t>
      </w:r>
      <w:r>
        <w:t>/</w:t>
      </w:r>
      <w:r>
        <w:rPr>
          <w:sz w:val="18"/>
        </w:rPr>
        <w:t>4</w:t>
      </w:r>
      <w:r>
        <w:t xml:space="preserve"> times the maximum torque required at the switch spindle to raise and trip the ‘impulse weights’.</w:t>
      </w:r>
    </w:p>
    <w:p w:rsidR="00B40966" w:rsidRDefault="00B40966">
      <w:pPr>
        <w:pStyle w:val="Amain"/>
      </w:pPr>
      <w:r>
        <w:tab/>
        <w:t>(7)</w:t>
      </w:r>
      <w:r>
        <w:tab/>
        <w:t>Approved resilient pads or stops shall be provided at both limits of travel of the opening weight to relieve the switch components of undue impact.</w:t>
      </w:r>
    </w:p>
    <w:p w:rsidR="00B40966" w:rsidRDefault="00B40966">
      <w:pPr>
        <w:pStyle w:val="Amain"/>
        <w:keepLines/>
      </w:pPr>
      <w:r>
        <w:tab/>
        <w:t>(8)</w:t>
      </w:r>
      <w:r>
        <w:tab/>
        <w:t xml:space="preserve">The switch actuating cord, as also all other cords employed, shall be galvanised flexible steel wire cord, not less than </w:t>
      </w:r>
      <w:r>
        <w:rPr>
          <w:position w:val="6"/>
          <w:sz w:val="18"/>
        </w:rPr>
        <w:t>3</w:t>
      </w:r>
      <w:r>
        <w:t>/</w:t>
      </w:r>
      <w:r>
        <w:rPr>
          <w:sz w:val="18"/>
        </w:rPr>
        <w:t>4</w:t>
      </w:r>
      <w:r>
        <w:t xml:space="preserve"> of an inch in circumference and shall lead directly from the striking mechanism to the opening mechanism, without guides of any kind.</w:t>
      </w:r>
    </w:p>
    <w:p w:rsidR="00B40966" w:rsidRDefault="00B40966">
      <w:pPr>
        <w:pStyle w:val="Amain"/>
      </w:pPr>
      <w:r>
        <w:tab/>
        <w:t>(9)</w:t>
      </w:r>
      <w:r>
        <w:tab/>
        <w:t>If the use of a diverting, or deflector, sheave is unavoidable, 1</w:t>
      </w:r>
      <w:r>
        <w:rPr>
          <w:b/>
        </w:rPr>
        <w:t xml:space="preserve"> </w:t>
      </w:r>
      <w:r>
        <w:t>only may be used to deflect the actuating cord in the desired direction, provided that—</w:t>
      </w:r>
    </w:p>
    <w:p w:rsidR="00B40966" w:rsidRDefault="00B40966">
      <w:pPr>
        <w:pStyle w:val="Apara"/>
      </w:pPr>
      <w:r>
        <w:tab/>
        <w:t>(a)</w:t>
      </w:r>
      <w:r>
        <w:tab/>
        <w:t>the sheave is not less than 4 inches in diameter at the bottom of the rope groove; or</w:t>
      </w:r>
    </w:p>
    <w:p w:rsidR="00B40966" w:rsidRDefault="00B40966">
      <w:pPr>
        <w:pStyle w:val="Apara"/>
      </w:pPr>
      <w:r>
        <w:tab/>
        <w:t>(b)</w:t>
      </w:r>
      <w:r>
        <w:tab/>
        <w:t>the sheave has a symmetrical rope groove at least 1 inch deep, with sides enclosing a total angle of 60°; or</w:t>
      </w:r>
    </w:p>
    <w:p w:rsidR="00B40966" w:rsidRDefault="00B40966">
      <w:pPr>
        <w:pStyle w:val="Apara"/>
      </w:pPr>
      <w:r>
        <w:tab/>
        <w:t>(c)</w:t>
      </w:r>
      <w:r>
        <w:tab/>
        <w:t xml:space="preserve">the sheave is bored at least </w:t>
      </w:r>
      <w:r>
        <w:rPr>
          <w:position w:val="6"/>
          <w:sz w:val="18"/>
        </w:rPr>
        <w:t>1</w:t>
      </w:r>
      <w:r>
        <w:t>/</w:t>
      </w:r>
      <w:r>
        <w:rPr>
          <w:sz w:val="18"/>
        </w:rPr>
        <w:t>64</w:t>
      </w:r>
      <w:r>
        <w:t xml:space="preserve"> of an inch larger in diameter than the pin on which it is to work and if practicable fitted with a self-lubricating bush; or</w:t>
      </w:r>
    </w:p>
    <w:p w:rsidR="00B40966" w:rsidRDefault="00B40966">
      <w:pPr>
        <w:pStyle w:val="Apara"/>
      </w:pPr>
      <w:r>
        <w:tab/>
        <w:t>(d)</w:t>
      </w:r>
      <w:r>
        <w:tab/>
        <w:t xml:space="preserve">the sheave shall </w:t>
      </w:r>
      <w:r>
        <w:rPr>
          <w:rStyle w:val="charItals"/>
          <w:i w:val="0"/>
        </w:rPr>
        <w:t>not</w:t>
      </w:r>
      <w:r>
        <w:t xml:space="preserve"> be fitted with any form of rope guard but shall work freely on a pin securely fastened in a rigid position on the adjacent structure, and sufficient clearances shall be allowed to ensure that the steel cord will not catch or jam in the event of it becoming frayed or displaced from the sheave; or</w:t>
      </w:r>
    </w:p>
    <w:p w:rsidR="00B40966" w:rsidRDefault="00B40966">
      <w:pPr>
        <w:pStyle w:val="Apara"/>
      </w:pPr>
      <w:r>
        <w:tab/>
        <w:t>(e)</w:t>
      </w:r>
      <w:r>
        <w:tab/>
        <w:t>free, or floating, sheave blocks attached to ropes shall not be used to deflect actuating cords.</w:t>
      </w:r>
    </w:p>
    <w:p w:rsidR="00B40966" w:rsidRDefault="00B40966">
      <w:pPr>
        <w:pStyle w:val="Amain"/>
      </w:pPr>
      <w:r>
        <w:tab/>
        <w:t>(10)</w:t>
      </w:r>
      <w:r>
        <w:tab/>
        <w:t>All freely suspended weights shall have at least 1 additional approved safety cord, chain, or device, attached to them, to prevent the weight falling in the event of failure of its normal supports.</w:t>
      </w:r>
    </w:p>
    <w:p w:rsidR="00B40966" w:rsidRDefault="00B40966">
      <w:pPr>
        <w:pStyle w:val="Amain"/>
      </w:pPr>
      <w:r>
        <w:tab/>
        <w:t>(11)</w:t>
      </w:r>
      <w:r>
        <w:tab/>
        <w:t>Suspended weights shall not have guides, or be enclosed in casings.</w:t>
      </w:r>
    </w:p>
    <w:p w:rsidR="00B40966" w:rsidRDefault="00B40966">
      <w:pPr>
        <w:pStyle w:val="Amain"/>
      </w:pPr>
      <w:r>
        <w:tab/>
        <w:t>(12)</w:t>
      </w:r>
      <w:r>
        <w:tab/>
        <w:t>Suspended switch-closing, or ‘striking’ weights, above lifting hooks or other analogous media, shall be loosely connected to the hoisting ropes, or otherwise restrained, by approved means, to prevent undue relative displacement.</w:t>
      </w:r>
    </w:p>
    <w:p w:rsidR="00B40966" w:rsidRDefault="00B40966">
      <w:pPr>
        <w:pStyle w:val="Amain"/>
      </w:pPr>
      <w:r>
        <w:tab/>
        <w:t>(13)</w:t>
      </w:r>
      <w:r>
        <w:tab/>
        <w:t>Knife switches shall not be used.</w:t>
      </w:r>
    </w:p>
    <w:p w:rsidR="00B40966" w:rsidRDefault="00B40966">
      <w:pPr>
        <w:pStyle w:val="Amain"/>
      </w:pPr>
      <w:r>
        <w:tab/>
        <w:t>(14)</w:t>
      </w:r>
      <w:r>
        <w:tab/>
        <w:t>If the torque required at the switch spindle to open the switch, when in normally good condition and free of all actuating mechanisms, exceeds or may feasibly exceed 10 pounds-inches, additional opening torque of approved magnitude shall be provided.</w:t>
      </w:r>
    </w:p>
    <w:p w:rsidR="00B40966" w:rsidRDefault="00B40966">
      <w:pPr>
        <w:pStyle w:val="Amain"/>
      </w:pPr>
      <w:r>
        <w:tab/>
        <w:t>(15)</w:t>
      </w:r>
      <w:r>
        <w:tab/>
        <w:t>Layshafts or intermediate shafts shall not be used, but this shall not prevent extension of the switch spindle in an approved way.</w:t>
      </w:r>
    </w:p>
    <w:p w:rsidR="00B40966" w:rsidRDefault="00B40966">
      <w:pPr>
        <w:pStyle w:val="AH4SubDiv"/>
      </w:pPr>
      <w:bookmarkStart w:id="268" w:name="_Toc87258104"/>
      <w:r>
        <w:t>Fork-lift trucks</w:t>
      </w:r>
      <w:bookmarkEnd w:id="268"/>
    </w:p>
    <w:p w:rsidR="00B40966" w:rsidRDefault="00B40966">
      <w:pPr>
        <w:pStyle w:val="AH5Sec"/>
      </w:pPr>
      <w:bookmarkStart w:id="269" w:name="_Toc87258105"/>
      <w:r>
        <w:rPr>
          <w:rStyle w:val="CharSectNo"/>
        </w:rPr>
        <w:t>137</w:t>
      </w:r>
      <w:bookmarkEnd w:id="269"/>
      <w:r>
        <w:tab/>
        <w:t xml:space="preserve">  </w:t>
      </w:r>
    </w:p>
    <w:p w:rsidR="00B40966" w:rsidRDefault="00B40966">
      <w:pPr>
        <w:pStyle w:val="Amain"/>
      </w:pPr>
      <w:r>
        <w:tab/>
        <w:t>(1)</w:t>
      </w:r>
      <w:r>
        <w:rPr>
          <w:b/>
        </w:rPr>
        <w:tab/>
      </w:r>
      <w:r>
        <w:t>A fork-lift truck means a short-wheelbase mobile truck or carriage having at the front end a rigid vertical steel frame or mast, usually telescopic, and commonly capable of being inclined from the vertical a few degrees fore or aft.</w:t>
      </w:r>
    </w:p>
    <w:p w:rsidR="00B40966" w:rsidRDefault="00B40966">
      <w:pPr>
        <w:pStyle w:val="Amain"/>
      </w:pPr>
      <w:r>
        <w:tab/>
        <w:t>(2)</w:t>
      </w:r>
      <w:r>
        <w:tab/>
        <w:t>On or between the members of the mast a trolley moves in a vertical or near-vertical path, and carries projecting horizontal tines by means of which loads are raised and lowered.</w:t>
      </w:r>
    </w:p>
    <w:p w:rsidR="00B40966" w:rsidRDefault="00B40966">
      <w:pPr>
        <w:pStyle w:val="Amain"/>
      </w:pPr>
      <w:r>
        <w:tab/>
        <w:t>(3)</w:t>
      </w:r>
      <w:r>
        <w:tab/>
        <w:t>Instead of tines, other lifting media such as a jib, pole, platform, scoop, or bucket may be used.</w:t>
      </w:r>
    </w:p>
    <w:p w:rsidR="00B40966" w:rsidRDefault="00B40966">
      <w:pPr>
        <w:pStyle w:val="Amain"/>
      </w:pPr>
      <w:r>
        <w:tab/>
        <w:t>(4)</w:t>
      </w:r>
      <w:r>
        <w:tab/>
        <w:t xml:space="preserve">The basic safe working load for which a fork-lift truck is rated shall be determined as though the load were placed on the tines with its centre of gravity at a horizontal distance from the vertical faces of the tines equal to 1 inch plus </w:t>
      </w:r>
      <w:r>
        <w:rPr>
          <w:position w:val="6"/>
          <w:sz w:val="18"/>
        </w:rPr>
        <w:t>1</w:t>
      </w:r>
      <w:r>
        <w:t>/</w:t>
      </w:r>
      <w:r>
        <w:rPr>
          <w:sz w:val="18"/>
        </w:rPr>
        <w:t>2</w:t>
      </w:r>
      <w:r>
        <w:t xml:space="preserve"> of the length of the longest pallet for which the tines are designed.</w:t>
      </w:r>
    </w:p>
    <w:p w:rsidR="00B40966" w:rsidRDefault="00B40966">
      <w:pPr>
        <w:pStyle w:val="Amain"/>
      </w:pPr>
      <w:r>
        <w:tab/>
        <w:t>(5)</w:t>
      </w:r>
      <w:r>
        <w:tab/>
        <w:t>The vertical height of the centre of gravity of the load shall be assumed to be 30 inches above the tines.</w:t>
      </w:r>
    </w:p>
    <w:p w:rsidR="00B40966" w:rsidRDefault="00B40966">
      <w:pPr>
        <w:pStyle w:val="Amain"/>
      </w:pPr>
      <w:r>
        <w:tab/>
        <w:t>(6)</w:t>
      </w:r>
      <w:r>
        <w:tab/>
        <w:t>Fork-lift trucks shall have approved robust overhead framings and grids to protect drivers against falling objects.</w:t>
      </w:r>
    </w:p>
    <w:p w:rsidR="00B40966" w:rsidRDefault="00B40966">
      <w:pPr>
        <w:pStyle w:val="Amain"/>
        <w:keepLines/>
      </w:pPr>
      <w:r>
        <w:tab/>
        <w:t>(7)</w:t>
      </w:r>
      <w:r>
        <w:tab/>
        <w:t>Grid apertures shall not be greater than 6 inches by 3 inches, but shall be sufficiently small to reject objects or articles of the least size handled by the truck, and must not, except if approved, reject anything less than a ball 1 inch in diameter.</w:t>
      </w:r>
    </w:p>
    <w:p w:rsidR="00B40966" w:rsidRDefault="00B40966">
      <w:pPr>
        <w:pStyle w:val="Amain"/>
      </w:pPr>
      <w:r>
        <w:tab/>
        <w:t>(8)</w:t>
      </w:r>
      <w:r>
        <w:tab/>
        <w:t>To promote good vision, grid apertures shall be rectangular, and crimped meshings shall be used only if approved.</w:t>
      </w:r>
    </w:p>
    <w:p w:rsidR="00B40966" w:rsidRDefault="00B40966">
      <w:pPr>
        <w:pStyle w:val="Amain"/>
      </w:pPr>
      <w:r>
        <w:tab/>
        <w:t>(9)</w:t>
      </w:r>
      <w:r>
        <w:tab/>
        <w:t>Guards shall be provided to prevent drivers’ feet from being injured by moving members of the mast, or the trolley or lifting equipment.</w:t>
      </w:r>
    </w:p>
    <w:p w:rsidR="00B40966" w:rsidRDefault="00B40966">
      <w:pPr>
        <w:pStyle w:val="Amain"/>
      </w:pPr>
      <w:r>
        <w:tab/>
        <w:t>(10)</w:t>
      </w:r>
      <w:r>
        <w:tab/>
        <w:t>An effective back guard shall be provided and fixed to the mast trolley to function as a back apron, and to prevent projecting loads from engaging the mast or lifting chains or mechanisms, or from becoming displaced.</w:t>
      </w:r>
    </w:p>
    <w:p w:rsidR="00B40966" w:rsidRDefault="00B40966">
      <w:pPr>
        <w:pStyle w:val="Amain"/>
      </w:pPr>
      <w:r>
        <w:tab/>
        <w:t>(11)</w:t>
      </w:r>
      <w:r>
        <w:tab/>
        <w:t>The guards shall project at least 9 inches beyond each side of the mast structure.</w:t>
      </w:r>
    </w:p>
    <w:p w:rsidR="00B40966" w:rsidRDefault="00B40966">
      <w:pPr>
        <w:pStyle w:val="Amain"/>
      </w:pPr>
      <w:r>
        <w:tab/>
        <w:t>(12)</w:t>
      </w:r>
      <w:r>
        <w:tab/>
        <w:t>Fork-lift trucks shall, when bearing loads, be used only on hard level surfaces.</w:t>
      </w:r>
    </w:p>
    <w:p w:rsidR="00B40966" w:rsidRDefault="00B40966">
      <w:pPr>
        <w:pStyle w:val="Amain"/>
      </w:pPr>
      <w:r>
        <w:tab/>
        <w:t>(13)</w:t>
      </w:r>
      <w:r>
        <w:tab/>
        <w:t>If it is necessary for a fork-lift truck to negotiate a ramp or other incline, the mast end of the truck shall at all times be uphill.</w:t>
      </w:r>
    </w:p>
    <w:p w:rsidR="00B40966" w:rsidRDefault="00B40966">
      <w:pPr>
        <w:pStyle w:val="Amain"/>
      </w:pPr>
      <w:r>
        <w:tab/>
        <w:t>(14)</w:t>
      </w:r>
      <w:r>
        <w:tab/>
        <w:t>While transporting loads, the tines or other analogous media shall not be raised above the level of the mast hinges.</w:t>
      </w:r>
    </w:p>
    <w:p w:rsidR="00B40966" w:rsidRDefault="00B40966">
      <w:pPr>
        <w:pStyle w:val="Amain"/>
      </w:pPr>
      <w:r>
        <w:tab/>
        <w:t>(15)</w:t>
      </w:r>
      <w:r>
        <w:tab/>
        <w:t>While equipped with jibs, the masts shall be kept in the vertical position.</w:t>
      </w:r>
    </w:p>
    <w:p w:rsidR="00B40966" w:rsidRDefault="00B40966">
      <w:pPr>
        <w:pStyle w:val="Amain"/>
      </w:pPr>
      <w:r>
        <w:tab/>
        <w:t>(16)</w:t>
      </w:r>
      <w:r>
        <w:tab/>
        <w:t>Reference should be made to section 127 (152) in regard to jibs.</w:t>
      </w:r>
    </w:p>
    <w:p w:rsidR="00B40966" w:rsidRDefault="00B40966">
      <w:pPr>
        <w:pStyle w:val="Amain"/>
      </w:pPr>
      <w:r>
        <w:tab/>
        <w:t>(17)</w:t>
      </w:r>
      <w:r>
        <w:tab/>
        <w:t>Masts shall not be inclined forward, away from trucks, except when the tines are near floor level, or when the truck is close to the stack of goods or materials being handled.</w:t>
      </w:r>
    </w:p>
    <w:p w:rsidR="00B40966" w:rsidRDefault="00B40966">
      <w:pPr>
        <w:pStyle w:val="Amain"/>
      </w:pPr>
      <w:r>
        <w:tab/>
        <w:t>(18)</w:t>
      </w:r>
      <w:r>
        <w:tab/>
        <w:t>Hooks of jibs of fork-lift trucks shall be so suspended that they can be freely displaced in any direction through an angle of at least 30° from the vertical.</w:t>
      </w:r>
    </w:p>
    <w:p w:rsidR="00B40966" w:rsidRDefault="00B40966">
      <w:pPr>
        <w:pStyle w:val="Amain"/>
      </w:pPr>
      <w:r>
        <w:tab/>
        <w:t>(19)</w:t>
      </w:r>
      <w:r>
        <w:tab/>
        <w:t>Only approved load markings and notices shall be exhibited on fork</w:t>
      </w:r>
      <w:r>
        <w:noBreakHyphen/>
        <w:t>lift trucks.</w:t>
      </w:r>
    </w:p>
    <w:p w:rsidR="00B40966" w:rsidRDefault="00B40966">
      <w:pPr>
        <w:pStyle w:val="Amain"/>
      </w:pPr>
      <w:r>
        <w:tab/>
        <w:t>(20)</w:t>
      </w:r>
      <w:r>
        <w:tab/>
        <w:t>The forward movement or inclination of the mast of a fork-lift truck shall not exceed 4° from the vertical.</w:t>
      </w:r>
    </w:p>
    <w:p w:rsidR="00B40966" w:rsidRDefault="00B40966">
      <w:pPr>
        <w:pStyle w:val="Amain"/>
      </w:pPr>
      <w:r>
        <w:tab/>
        <w:t>(21)</w:t>
      </w:r>
      <w:r>
        <w:tab/>
        <w:t>The backward movement, towards the truck, shall not exceed 6° from the vertical.</w:t>
      </w:r>
    </w:p>
    <w:p w:rsidR="00B40966" w:rsidRDefault="00B40966">
      <w:pPr>
        <w:pStyle w:val="AH4SubDiv"/>
      </w:pPr>
      <w:bookmarkStart w:id="270" w:name="_Toc87258106"/>
      <w:r>
        <w:t>Commercial type hoists</w:t>
      </w:r>
      <w:bookmarkEnd w:id="270"/>
    </w:p>
    <w:p w:rsidR="00B40966" w:rsidRDefault="00B40966">
      <w:pPr>
        <w:pStyle w:val="AH5Sec"/>
      </w:pPr>
      <w:bookmarkStart w:id="271" w:name="_Toc87258107"/>
      <w:r>
        <w:rPr>
          <w:rStyle w:val="CharSectNo"/>
        </w:rPr>
        <w:t>138</w:t>
      </w:r>
      <w:bookmarkEnd w:id="271"/>
      <w:r>
        <w:tab/>
        <w:t xml:space="preserve">  </w:t>
      </w:r>
    </w:p>
    <w:p w:rsidR="00B40966" w:rsidRDefault="00B40966">
      <w:pPr>
        <w:pStyle w:val="Amain"/>
      </w:pPr>
      <w:r>
        <w:tab/>
        <w:t>(1)</w:t>
      </w:r>
      <w:r>
        <w:tab/>
        <w:t>A commercial type hoist means a power-driven hoist winding or unwinding ropes, chains or other flexible media by which loads are raised or lowered from 1 floor or working surface to another.</w:t>
      </w:r>
    </w:p>
    <w:p w:rsidR="00B40966" w:rsidRDefault="00B40966">
      <w:pPr>
        <w:pStyle w:val="Amain"/>
      </w:pPr>
      <w:r>
        <w:tab/>
        <w:t>(2)</w:t>
      </w:r>
      <w:r>
        <w:tab/>
        <w:t>The natural lateral oscillations of the loads are either entirely unconstrained or loosely constrained by flexible guides or by gravitationally induced pressure against skids.</w:t>
      </w:r>
    </w:p>
    <w:p w:rsidR="00B40966" w:rsidRDefault="00B40966">
      <w:pPr>
        <w:pStyle w:val="Amain"/>
      </w:pPr>
      <w:r>
        <w:tab/>
        <w:t>(3)</w:t>
      </w:r>
      <w:r>
        <w:tab/>
        <w:t>Whether or not flexible guides or skids are employed, it is essential that the load be free to swing laterally and pass any 12 inch diameter obstruction that may enter its path.</w:t>
      </w:r>
    </w:p>
    <w:p w:rsidR="00B40966" w:rsidRDefault="00B40966">
      <w:pPr>
        <w:pStyle w:val="Amain"/>
      </w:pPr>
      <w:r>
        <w:tab/>
        <w:t>(4)</w:t>
      </w:r>
      <w:r>
        <w:tab/>
        <w:t>In addition to other notices, brands or markings that may be prescribed elsewhere in this regulation, every such hoist shall be clearly, conspicuously and permanently branded with the name of its manufacturer, and with an appropriate and distinctive serial number.</w:t>
      </w:r>
    </w:p>
    <w:p w:rsidR="00B40966" w:rsidRDefault="00B40966">
      <w:pPr>
        <w:pStyle w:val="Amain"/>
      </w:pPr>
      <w:r>
        <w:tab/>
        <w:t>(5)</w:t>
      </w:r>
      <w:r>
        <w:tab/>
        <w:t>All stations from which the hoist can be controlled shall be so placed or equipped that a driver at it can at all times clearly see the load.</w:t>
      </w:r>
    </w:p>
    <w:p w:rsidR="00B40966" w:rsidRDefault="00B40966">
      <w:pPr>
        <w:pStyle w:val="Amain"/>
      </w:pPr>
      <w:r>
        <w:tab/>
        <w:t>(6)</w:t>
      </w:r>
      <w:r>
        <w:tab/>
        <w:t>If there is more than 1 control station, the controls at each station shall have a master control that must be actuated before the controls become operable.</w:t>
      </w:r>
    </w:p>
    <w:p w:rsidR="00B40966" w:rsidRDefault="00B40966">
      <w:pPr>
        <w:pStyle w:val="Amain"/>
      </w:pPr>
      <w:r>
        <w:tab/>
        <w:t>(7)</w:t>
      </w:r>
      <w:r>
        <w:tab/>
        <w:t>On actuation of the master control at any station the controls of all other stations shall automatically become inoperable.</w:t>
      </w:r>
    </w:p>
    <w:p w:rsidR="00B40966" w:rsidRDefault="00B40966">
      <w:pPr>
        <w:pStyle w:val="Amain"/>
      </w:pPr>
      <w:r>
        <w:tab/>
        <w:t>(8)</w:t>
      </w:r>
      <w:r>
        <w:tab/>
        <w:t>Landing flaps or rolling platforms shall not be used unless specifically approved.</w:t>
      </w:r>
    </w:p>
    <w:p w:rsidR="00B40966" w:rsidRDefault="00B40966">
      <w:pPr>
        <w:pStyle w:val="Amain"/>
      </w:pPr>
      <w:r>
        <w:tab/>
        <w:t>(9)</w:t>
      </w:r>
      <w:r>
        <w:tab/>
        <w:t>The upper surfaces of landing flaps shall be inclined upwards towards their outer edges at an angle of not less than 15° to the horizontal.</w:t>
      </w:r>
    </w:p>
    <w:p w:rsidR="00B40966" w:rsidRDefault="00B40966">
      <w:pPr>
        <w:pStyle w:val="Amain"/>
      </w:pPr>
      <w:r>
        <w:tab/>
        <w:t>(10)</w:t>
      </w:r>
      <w:r>
        <w:tab/>
        <w:t>Rolling platforms shall be securely fenced to prevent persons falling through floor openings or well holes, and shall be so devised that they do not at any time leave exposed openings.</w:t>
      </w:r>
    </w:p>
    <w:p w:rsidR="00B40966" w:rsidRDefault="00B40966">
      <w:pPr>
        <w:pStyle w:val="Amain"/>
      </w:pPr>
      <w:r>
        <w:tab/>
        <w:t>(11)</w:t>
      </w:r>
      <w:r>
        <w:tab/>
        <w:t>Wherever practicable, means shall be provided by which persons may safely land or ship loads without having to closely approach the edges of floors or other working surfaces.</w:t>
      </w:r>
    </w:p>
    <w:p w:rsidR="00B40966" w:rsidRDefault="00B40966">
      <w:pPr>
        <w:pStyle w:val="Amain"/>
      </w:pPr>
      <w:r>
        <w:tab/>
        <w:t>(12)</w:t>
      </w:r>
      <w:r>
        <w:tab/>
        <w:t>Well holes and floor openings shall be securely fenced and provided with toe boards not less than 4 inches in depth.</w:t>
      </w:r>
    </w:p>
    <w:p w:rsidR="00B40966" w:rsidRDefault="00B40966">
      <w:pPr>
        <w:pStyle w:val="Amain"/>
      </w:pPr>
      <w:r>
        <w:tab/>
        <w:t>(13)</w:t>
      </w:r>
      <w:r>
        <w:tab/>
        <w:t>However, fencings and toe boards may be temporarily removed at 1 side only while loads are being landed or shipped, and that on completion of the operation, the fencings and boards shall be promptly replaced.</w:t>
      </w:r>
    </w:p>
    <w:p w:rsidR="00B40966" w:rsidRDefault="00B40966">
      <w:pPr>
        <w:pStyle w:val="Amain"/>
      </w:pPr>
      <w:r>
        <w:tab/>
        <w:t>(14)</w:t>
      </w:r>
      <w:r>
        <w:tab/>
        <w:t>If well holes or floor openings have trapdoors, the doors shall be in pairs, and shall open upwards.</w:t>
      </w:r>
    </w:p>
    <w:p w:rsidR="00B40966" w:rsidRDefault="00B40966">
      <w:pPr>
        <w:pStyle w:val="Amain"/>
      </w:pPr>
      <w:r>
        <w:tab/>
        <w:t>(15)</w:t>
      </w:r>
      <w:r>
        <w:tab/>
        <w:t>Each door shall in opening swing through an angle approximately 100° and shall constitute a fence or guard not less than 3 feet high for the opening otherwise exposed.</w:t>
      </w:r>
    </w:p>
    <w:p w:rsidR="00B40966" w:rsidRDefault="00B40966">
      <w:pPr>
        <w:pStyle w:val="Amain"/>
      </w:pPr>
      <w:r>
        <w:tab/>
        <w:t>(16)</w:t>
      </w:r>
      <w:r>
        <w:tab/>
        <w:t>The ends of the opening shall, while the doors are open, be fenced as provided by subsections (12) and (13).</w:t>
      </w:r>
    </w:p>
    <w:p w:rsidR="00B40966" w:rsidRDefault="00B40966">
      <w:pPr>
        <w:pStyle w:val="Amain"/>
      </w:pPr>
      <w:r>
        <w:tab/>
        <w:t>(17)</w:t>
      </w:r>
      <w:r>
        <w:tab/>
        <w:t>The edges of floors or working surfaces adjacent to which loads are raised or lowered shall be securely fenced.</w:t>
      </w:r>
    </w:p>
    <w:p w:rsidR="00B40966" w:rsidRDefault="00B40966">
      <w:pPr>
        <w:pStyle w:val="Amain"/>
      </w:pPr>
      <w:r>
        <w:tab/>
        <w:t>(18)</w:t>
      </w:r>
      <w:r>
        <w:tab/>
        <w:t>However, fencings may be temporarily removed only while loads are being landed or shipped, and that on completion of the operation the fencings shall be promptly replaced.</w:t>
      </w:r>
    </w:p>
    <w:p w:rsidR="00B40966" w:rsidRDefault="00B40966">
      <w:pPr>
        <w:pStyle w:val="Amain"/>
        <w:keepLines/>
      </w:pPr>
      <w:r>
        <w:tab/>
        <w:t>(19)</w:t>
      </w:r>
      <w:r>
        <w:tab/>
        <w:t>If loads are to pass through openings, the least horizontal dimension of any of the openings shall be not less than the greatest horizontal length or diagonal or diameter of the load, or of the platform, box, yoke or vessel containing the load, whichever is the greater, plus 2 feet.</w:t>
      </w:r>
    </w:p>
    <w:p w:rsidR="00B40966" w:rsidRDefault="00B40966">
      <w:pPr>
        <w:pStyle w:val="AH4SubDiv"/>
        <w:ind w:left="0" w:firstLine="0"/>
      </w:pPr>
      <w:bookmarkStart w:id="272" w:name="_Toc87258108"/>
      <w:r>
        <w:t>Tower hoists for constructional, building, demolition, or excavation works</w:t>
      </w:r>
      <w:bookmarkEnd w:id="272"/>
    </w:p>
    <w:p w:rsidR="00B40966" w:rsidRDefault="00B40966">
      <w:pPr>
        <w:pStyle w:val="AH5Sec"/>
      </w:pPr>
      <w:bookmarkStart w:id="273" w:name="_Toc87258109"/>
      <w:r>
        <w:rPr>
          <w:rStyle w:val="CharSectNo"/>
        </w:rPr>
        <w:t>139</w:t>
      </w:r>
      <w:bookmarkEnd w:id="273"/>
      <w:r>
        <w:tab/>
        <w:t xml:space="preserve">  </w:t>
      </w:r>
    </w:p>
    <w:p w:rsidR="00B40966" w:rsidRDefault="00B40966">
      <w:pPr>
        <w:pStyle w:val="Amain"/>
      </w:pPr>
      <w:r>
        <w:tab/>
        <w:t>(1)</w:t>
      </w:r>
      <w:r>
        <w:tab/>
        <w:t>A hoist tower means a vertical tower of rectangular section, within which loads are raised or lowered by means of a guided platform, guided bucket, or other convenient guided medium.</w:t>
      </w:r>
    </w:p>
    <w:p w:rsidR="00B40966" w:rsidRDefault="00B40966">
      <w:pPr>
        <w:pStyle w:val="Amain"/>
      </w:pPr>
      <w:r>
        <w:tab/>
        <w:t>(2)</w:t>
      </w:r>
      <w:r>
        <w:tab/>
        <w:t>The tower is maintained in an upright position by guys or struts, or more commonly by being secured to an adjacent building or structure.</w:t>
      </w:r>
    </w:p>
    <w:p w:rsidR="00B40966" w:rsidRDefault="00B40966">
      <w:pPr>
        <w:pStyle w:val="Amain"/>
      </w:pPr>
      <w:r>
        <w:tab/>
        <w:t>(3)</w:t>
      </w:r>
      <w:r>
        <w:tab/>
        <w:t>Each of the 4 sides, or faces, of the tower shall comprise a simple truss of plain orthodox design, capable of resisting transverse forces.</w:t>
      </w:r>
    </w:p>
    <w:p w:rsidR="00B40966" w:rsidRDefault="00B40966">
      <w:pPr>
        <w:pStyle w:val="Amain"/>
      </w:pPr>
      <w:r>
        <w:tab/>
        <w:t>(4)</w:t>
      </w:r>
      <w:r>
        <w:tab/>
        <w:t>Neither the horizontal width nor the horizontal depth of a hoist tower shall exceed 6 feet, or be less than 5 feet.</w:t>
      </w:r>
    </w:p>
    <w:p w:rsidR="00B40966" w:rsidRDefault="00B40966">
      <w:pPr>
        <w:pStyle w:val="Amain"/>
      </w:pPr>
      <w:r>
        <w:tab/>
        <w:t>(5)</w:t>
      </w:r>
      <w:r>
        <w:tab/>
        <w:t>All hoist towers shall be constructed of members not less in strength, rigidity and reliability than those prescribed by table 139, and no tower shall exceed the relevant and appropriate height prescribed, nor shall any panel of it be of any greater panel length.</w:t>
      </w:r>
    </w:p>
    <w:p w:rsidR="00B40966" w:rsidRDefault="00B40966">
      <w:pPr>
        <w:pStyle w:val="02Text"/>
        <w:sectPr w:rsidR="00B40966">
          <w:headerReference w:type="even" r:id="rId130"/>
          <w:headerReference w:type="default" r:id="rId131"/>
          <w:footerReference w:type="even" r:id="rId132"/>
          <w:footerReference w:type="default" r:id="rId133"/>
          <w:footerReference w:type="first" r:id="rId134"/>
          <w:pgSz w:w="11907" w:h="16839" w:code="9"/>
          <w:pgMar w:top="3000" w:right="1900" w:bottom="2500" w:left="2300" w:header="2480" w:footer="2100" w:gutter="0"/>
          <w:cols w:space="720"/>
          <w:docGrid w:linePitch="254"/>
        </w:sectPr>
      </w:pPr>
    </w:p>
    <w:p w:rsidR="00B40966" w:rsidRDefault="00B40966">
      <w:pPr>
        <w:pStyle w:val="TableHd"/>
      </w:pPr>
      <w:r>
        <w:t>Table 139</w:t>
      </w:r>
      <w:r>
        <w:tab/>
        <w:t>Tower hoists for constructional, building, demolition or excavation works (for hoisting materials only), maximum heights and panel length and minimum dimensions of members</w:t>
      </w:r>
    </w:p>
    <w:tbl>
      <w:tblPr>
        <w:tblW w:w="0" w:type="auto"/>
        <w:tblInd w:w="-640" w:type="dxa"/>
        <w:tblLayout w:type="fixed"/>
        <w:tblCellMar>
          <w:left w:w="80" w:type="dxa"/>
          <w:right w:w="80" w:type="dxa"/>
        </w:tblCellMar>
        <w:tblLook w:val="0000" w:firstRow="0" w:lastRow="0" w:firstColumn="0" w:lastColumn="0" w:noHBand="0" w:noVBand="0"/>
      </w:tblPr>
      <w:tblGrid>
        <w:gridCol w:w="600"/>
        <w:gridCol w:w="960"/>
        <w:gridCol w:w="720"/>
        <w:gridCol w:w="600"/>
        <w:gridCol w:w="720"/>
        <w:gridCol w:w="960"/>
        <w:gridCol w:w="840"/>
        <w:gridCol w:w="840"/>
        <w:gridCol w:w="840"/>
        <w:gridCol w:w="15"/>
        <w:gridCol w:w="855"/>
        <w:gridCol w:w="18"/>
        <w:gridCol w:w="840"/>
        <w:gridCol w:w="840"/>
        <w:gridCol w:w="15"/>
        <w:gridCol w:w="780"/>
        <w:gridCol w:w="828"/>
        <w:gridCol w:w="12"/>
        <w:gridCol w:w="945"/>
        <w:gridCol w:w="15"/>
        <w:gridCol w:w="840"/>
        <w:gridCol w:w="48"/>
      </w:tblGrid>
      <w:tr w:rsidR="00B40966">
        <w:trPr>
          <w:gridAfter w:val="1"/>
          <w:wAfter w:w="48" w:type="dxa"/>
          <w:cantSplit/>
          <w:tblHeader/>
        </w:trPr>
        <w:tc>
          <w:tcPr>
            <w:tcW w:w="1560" w:type="dxa"/>
            <w:gridSpan w:val="2"/>
            <w:tcBorders>
              <w:top w:val="single" w:sz="6" w:space="0" w:color="auto"/>
              <w:bottom w:val="single" w:sz="6" w:space="0" w:color="auto"/>
            </w:tcBorders>
            <w:vAlign w:val="bottom"/>
          </w:tcPr>
          <w:p w:rsidR="00B40966" w:rsidRDefault="00B40966">
            <w:pPr>
              <w:pStyle w:val="TableColHd"/>
              <w:jc w:val="center"/>
              <w:rPr>
                <w:sz w:val="14"/>
              </w:rPr>
            </w:pPr>
            <w:r>
              <w:rPr>
                <w:sz w:val="14"/>
              </w:rPr>
              <w:t>maximum height of tower in feet</w:t>
            </w:r>
          </w:p>
        </w:tc>
        <w:tc>
          <w:tcPr>
            <w:tcW w:w="720" w:type="dxa"/>
            <w:tcBorders>
              <w:top w:val="single" w:sz="6" w:space="0" w:color="auto"/>
              <w:left w:val="single" w:sz="6" w:space="0" w:color="auto"/>
              <w:right w:val="single" w:sz="6" w:space="0" w:color="auto"/>
            </w:tcBorders>
            <w:vAlign w:val="bottom"/>
          </w:tcPr>
          <w:p w:rsidR="00B40966" w:rsidRDefault="00B40966">
            <w:pPr>
              <w:pStyle w:val="TableColHd"/>
              <w:rPr>
                <w:sz w:val="14"/>
              </w:rPr>
            </w:pPr>
          </w:p>
        </w:tc>
        <w:tc>
          <w:tcPr>
            <w:tcW w:w="600" w:type="dxa"/>
            <w:tcBorders>
              <w:top w:val="single" w:sz="6" w:space="0" w:color="auto"/>
              <w:left w:val="single" w:sz="6" w:space="0" w:color="auto"/>
              <w:right w:val="single" w:sz="6" w:space="0" w:color="auto"/>
            </w:tcBorders>
            <w:vAlign w:val="bottom"/>
          </w:tcPr>
          <w:p w:rsidR="00B40966" w:rsidRDefault="00B40966">
            <w:pPr>
              <w:pStyle w:val="TableColHd"/>
              <w:rPr>
                <w:sz w:val="14"/>
              </w:rPr>
            </w:pPr>
          </w:p>
        </w:tc>
        <w:tc>
          <w:tcPr>
            <w:tcW w:w="720" w:type="dxa"/>
            <w:tcBorders>
              <w:top w:val="single" w:sz="6" w:space="0" w:color="auto"/>
              <w:left w:val="single" w:sz="6" w:space="0" w:color="auto"/>
              <w:right w:val="single" w:sz="6" w:space="0" w:color="auto"/>
            </w:tcBorders>
            <w:vAlign w:val="bottom"/>
          </w:tcPr>
          <w:p w:rsidR="00B40966" w:rsidRDefault="00B40966">
            <w:pPr>
              <w:pStyle w:val="TableColHd"/>
              <w:rPr>
                <w:sz w:val="14"/>
              </w:rPr>
            </w:pPr>
          </w:p>
        </w:tc>
        <w:tc>
          <w:tcPr>
            <w:tcW w:w="960" w:type="dxa"/>
            <w:tcBorders>
              <w:top w:val="single" w:sz="6" w:space="0" w:color="auto"/>
              <w:left w:val="single" w:sz="6" w:space="0" w:color="auto"/>
              <w:right w:val="single" w:sz="6" w:space="0" w:color="auto"/>
            </w:tcBorders>
            <w:vAlign w:val="bottom"/>
          </w:tcPr>
          <w:p w:rsidR="00B40966" w:rsidRDefault="00B40966">
            <w:pPr>
              <w:pStyle w:val="TableColHd"/>
              <w:rPr>
                <w:sz w:val="14"/>
              </w:rPr>
            </w:pPr>
          </w:p>
        </w:tc>
        <w:tc>
          <w:tcPr>
            <w:tcW w:w="840" w:type="dxa"/>
            <w:vMerge w:val="restart"/>
            <w:tcBorders>
              <w:top w:val="single" w:sz="6" w:space="0" w:color="auto"/>
              <w:left w:val="single" w:sz="6" w:space="0" w:color="auto"/>
              <w:right w:val="single" w:sz="6" w:space="0" w:color="auto"/>
            </w:tcBorders>
            <w:vAlign w:val="bottom"/>
          </w:tcPr>
          <w:p w:rsidR="00B40966" w:rsidRDefault="00B40966">
            <w:pPr>
              <w:pStyle w:val="TableColHd"/>
              <w:rPr>
                <w:sz w:val="14"/>
              </w:rPr>
            </w:pPr>
            <w:r>
              <w:rPr>
                <w:sz w:val="14"/>
              </w:rPr>
              <w:t>form of section of horizontal bracings II</w:t>
            </w:r>
          </w:p>
        </w:tc>
        <w:tc>
          <w:tcPr>
            <w:tcW w:w="840" w:type="dxa"/>
            <w:vMerge w:val="restart"/>
            <w:tcBorders>
              <w:top w:val="single" w:sz="6" w:space="0" w:color="auto"/>
              <w:left w:val="single" w:sz="6" w:space="0" w:color="auto"/>
              <w:right w:val="single" w:sz="6" w:space="0" w:color="auto"/>
            </w:tcBorders>
            <w:vAlign w:val="bottom"/>
          </w:tcPr>
          <w:p w:rsidR="00B40966" w:rsidRDefault="00B40966">
            <w:pPr>
              <w:pStyle w:val="TableColHd"/>
              <w:rPr>
                <w:sz w:val="14"/>
              </w:rPr>
            </w:pPr>
            <w:r>
              <w:rPr>
                <w:sz w:val="14"/>
              </w:rPr>
              <w:t xml:space="preserve">dimen-sions of </w:t>
            </w:r>
          </w:p>
          <w:p w:rsidR="00B40966" w:rsidRDefault="00B40966">
            <w:pPr>
              <w:pStyle w:val="TableColHd"/>
              <w:rPr>
                <w:sz w:val="14"/>
              </w:rPr>
            </w:pPr>
            <w:r>
              <w:rPr>
                <w:sz w:val="14"/>
              </w:rPr>
              <w:t>section of horizontal bracings II</w:t>
            </w:r>
          </w:p>
        </w:tc>
        <w:tc>
          <w:tcPr>
            <w:tcW w:w="855" w:type="dxa"/>
            <w:gridSpan w:val="2"/>
            <w:vMerge w:val="restart"/>
            <w:tcBorders>
              <w:top w:val="single" w:sz="6" w:space="0" w:color="auto"/>
              <w:left w:val="single" w:sz="6" w:space="0" w:color="auto"/>
            </w:tcBorders>
            <w:vAlign w:val="bottom"/>
          </w:tcPr>
          <w:p w:rsidR="00B40966" w:rsidRDefault="00B40966">
            <w:pPr>
              <w:pStyle w:val="TableColHd"/>
              <w:rPr>
                <w:sz w:val="14"/>
              </w:rPr>
            </w:pPr>
            <w:r>
              <w:rPr>
                <w:sz w:val="14"/>
              </w:rPr>
              <w:t>form of section of diagonal bracings II</w:t>
            </w:r>
          </w:p>
        </w:tc>
        <w:tc>
          <w:tcPr>
            <w:tcW w:w="855" w:type="dxa"/>
            <w:vMerge w:val="restart"/>
            <w:tcBorders>
              <w:top w:val="single" w:sz="6" w:space="0" w:color="auto"/>
              <w:left w:val="single" w:sz="6" w:space="0" w:color="auto"/>
            </w:tcBorders>
            <w:vAlign w:val="bottom"/>
          </w:tcPr>
          <w:p w:rsidR="00B40966" w:rsidRDefault="00B40966">
            <w:pPr>
              <w:pStyle w:val="TableColHd"/>
              <w:rPr>
                <w:sz w:val="14"/>
              </w:rPr>
            </w:pPr>
            <w:r>
              <w:rPr>
                <w:sz w:val="14"/>
              </w:rPr>
              <w:t>dimen-sions of section of diagonal bracing II</w:t>
            </w:r>
          </w:p>
        </w:tc>
        <w:tc>
          <w:tcPr>
            <w:tcW w:w="855" w:type="dxa"/>
            <w:gridSpan w:val="2"/>
            <w:vMerge w:val="restart"/>
            <w:tcBorders>
              <w:top w:val="single" w:sz="6" w:space="0" w:color="auto"/>
              <w:left w:val="single" w:sz="6" w:space="0" w:color="auto"/>
            </w:tcBorders>
            <w:vAlign w:val="bottom"/>
          </w:tcPr>
          <w:p w:rsidR="00B40966" w:rsidRDefault="00B40966">
            <w:pPr>
              <w:pStyle w:val="TableColHd"/>
              <w:rPr>
                <w:sz w:val="14"/>
              </w:rPr>
            </w:pPr>
            <w:r>
              <w:rPr>
                <w:sz w:val="14"/>
              </w:rPr>
              <w:t xml:space="preserve">form of section of  top horizontal whalings # </w:t>
            </w:r>
          </w:p>
        </w:tc>
        <w:tc>
          <w:tcPr>
            <w:tcW w:w="855" w:type="dxa"/>
            <w:gridSpan w:val="2"/>
            <w:vMerge w:val="restart"/>
            <w:tcBorders>
              <w:top w:val="single" w:sz="6" w:space="0" w:color="auto"/>
              <w:left w:val="single" w:sz="6" w:space="0" w:color="auto"/>
            </w:tcBorders>
            <w:vAlign w:val="bottom"/>
          </w:tcPr>
          <w:p w:rsidR="00B40966" w:rsidRDefault="00B40966">
            <w:pPr>
              <w:pStyle w:val="TableColHd"/>
              <w:rPr>
                <w:sz w:val="14"/>
              </w:rPr>
            </w:pPr>
            <w:r>
              <w:rPr>
                <w:sz w:val="14"/>
              </w:rPr>
              <w:t>dimen-sions of section of top horizontal whalings #</w:t>
            </w:r>
          </w:p>
        </w:tc>
        <w:tc>
          <w:tcPr>
            <w:tcW w:w="780" w:type="dxa"/>
            <w:vMerge w:val="restart"/>
            <w:tcBorders>
              <w:top w:val="single" w:sz="6" w:space="0" w:color="auto"/>
              <w:left w:val="single" w:sz="6" w:space="0" w:color="auto"/>
            </w:tcBorders>
            <w:vAlign w:val="bottom"/>
          </w:tcPr>
          <w:p w:rsidR="00B40966" w:rsidRDefault="00B40966">
            <w:pPr>
              <w:pStyle w:val="TableColHd"/>
              <w:rPr>
                <w:sz w:val="14"/>
              </w:rPr>
            </w:pPr>
            <w:r>
              <w:rPr>
                <w:sz w:val="14"/>
              </w:rPr>
              <w:t>form of section of head-beams</w:t>
            </w:r>
          </w:p>
        </w:tc>
        <w:tc>
          <w:tcPr>
            <w:tcW w:w="840" w:type="dxa"/>
            <w:gridSpan w:val="2"/>
            <w:vMerge w:val="restart"/>
            <w:tcBorders>
              <w:top w:val="single" w:sz="6" w:space="0" w:color="auto"/>
              <w:left w:val="single" w:sz="6" w:space="0" w:color="auto"/>
            </w:tcBorders>
            <w:vAlign w:val="bottom"/>
          </w:tcPr>
          <w:p w:rsidR="00B40966" w:rsidRDefault="00B40966">
            <w:pPr>
              <w:pStyle w:val="TableColHd"/>
              <w:rPr>
                <w:sz w:val="14"/>
              </w:rPr>
            </w:pPr>
            <w:r>
              <w:rPr>
                <w:sz w:val="14"/>
              </w:rPr>
              <w:t>dimen-sions of section of head-beams</w:t>
            </w:r>
          </w:p>
        </w:tc>
        <w:tc>
          <w:tcPr>
            <w:tcW w:w="945" w:type="dxa"/>
            <w:vMerge w:val="restart"/>
            <w:tcBorders>
              <w:top w:val="single" w:sz="6" w:space="0" w:color="auto"/>
              <w:left w:val="single" w:sz="6" w:space="0" w:color="auto"/>
            </w:tcBorders>
            <w:vAlign w:val="bottom"/>
          </w:tcPr>
          <w:p w:rsidR="00B40966" w:rsidRDefault="00B40966">
            <w:pPr>
              <w:pStyle w:val="TableColHd"/>
              <w:rPr>
                <w:sz w:val="14"/>
              </w:rPr>
            </w:pPr>
            <w:r>
              <w:rPr>
                <w:sz w:val="14"/>
              </w:rPr>
              <w:t>form of section of tower base whalings</w:t>
            </w:r>
          </w:p>
        </w:tc>
        <w:tc>
          <w:tcPr>
            <w:tcW w:w="855" w:type="dxa"/>
            <w:gridSpan w:val="2"/>
            <w:vMerge w:val="restart"/>
            <w:tcBorders>
              <w:top w:val="single" w:sz="6" w:space="0" w:color="auto"/>
              <w:left w:val="single" w:sz="6" w:space="0" w:color="auto"/>
            </w:tcBorders>
            <w:vAlign w:val="bottom"/>
          </w:tcPr>
          <w:p w:rsidR="00B40966" w:rsidRDefault="00B40966">
            <w:pPr>
              <w:pStyle w:val="TableColHd"/>
              <w:rPr>
                <w:sz w:val="14"/>
              </w:rPr>
            </w:pPr>
            <w:r>
              <w:rPr>
                <w:sz w:val="14"/>
              </w:rPr>
              <w:t>dimen-sions of section tower base whalings</w:t>
            </w:r>
          </w:p>
        </w:tc>
      </w:tr>
      <w:tr w:rsidR="00B40966">
        <w:trPr>
          <w:gridAfter w:val="1"/>
          <w:wAfter w:w="48" w:type="dxa"/>
          <w:cantSplit/>
          <w:tblHeader/>
        </w:trPr>
        <w:tc>
          <w:tcPr>
            <w:tcW w:w="600" w:type="dxa"/>
            <w:tcBorders>
              <w:top w:val="single" w:sz="6" w:space="0" w:color="auto"/>
              <w:bottom w:val="single" w:sz="6" w:space="0" w:color="auto"/>
            </w:tcBorders>
            <w:vAlign w:val="bottom"/>
          </w:tcPr>
          <w:p w:rsidR="00B40966" w:rsidRDefault="00B40966">
            <w:pPr>
              <w:pStyle w:val="TableColHd"/>
              <w:rPr>
                <w:sz w:val="14"/>
              </w:rPr>
            </w:pPr>
            <w:r>
              <w:rPr>
                <w:sz w:val="14"/>
              </w:rPr>
              <w:t>guyed</w:t>
            </w:r>
          </w:p>
        </w:tc>
        <w:tc>
          <w:tcPr>
            <w:tcW w:w="96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rPr>
                <w:sz w:val="14"/>
              </w:rPr>
            </w:pPr>
            <w:r>
              <w:rPr>
                <w:sz w:val="14"/>
              </w:rPr>
              <w:t>supported‡</w:t>
            </w:r>
          </w:p>
        </w:tc>
        <w:tc>
          <w:tcPr>
            <w:tcW w:w="720" w:type="dxa"/>
            <w:tcBorders>
              <w:left w:val="single" w:sz="6" w:space="0" w:color="auto"/>
              <w:bottom w:val="single" w:sz="6" w:space="0" w:color="auto"/>
              <w:right w:val="single" w:sz="6" w:space="0" w:color="auto"/>
            </w:tcBorders>
            <w:vAlign w:val="bottom"/>
          </w:tcPr>
          <w:p w:rsidR="00B40966" w:rsidRDefault="00B40966">
            <w:pPr>
              <w:pStyle w:val="TableColHd"/>
              <w:rPr>
                <w:sz w:val="14"/>
              </w:rPr>
            </w:pPr>
            <w:r>
              <w:rPr>
                <w:sz w:val="14"/>
              </w:rPr>
              <w:t>material</w:t>
            </w:r>
          </w:p>
        </w:tc>
        <w:tc>
          <w:tcPr>
            <w:tcW w:w="600" w:type="dxa"/>
            <w:tcBorders>
              <w:left w:val="single" w:sz="6" w:space="0" w:color="auto"/>
              <w:bottom w:val="single" w:sz="6" w:space="0" w:color="auto"/>
              <w:right w:val="single" w:sz="6" w:space="0" w:color="auto"/>
            </w:tcBorders>
            <w:vAlign w:val="bottom"/>
          </w:tcPr>
          <w:p w:rsidR="00B40966" w:rsidRDefault="00B40966">
            <w:pPr>
              <w:pStyle w:val="TableColHd"/>
              <w:rPr>
                <w:sz w:val="14"/>
              </w:rPr>
            </w:pPr>
            <w:r>
              <w:rPr>
                <w:sz w:val="14"/>
              </w:rPr>
              <w:t>†max panel length</w:t>
            </w:r>
          </w:p>
        </w:tc>
        <w:tc>
          <w:tcPr>
            <w:tcW w:w="720" w:type="dxa"/>
            <w:tcBorders>
              <w:left w:val="single" w:sz="6" w:space="0" w:color="auto"/>
              <w:bottom w:val="single" w:sz="6" w:space="0" w:color="auto"/>
              <w:right w:val="single" w:sz="6" w:space="0" w:color="auto"/>
            </w:tcBorders>
            <w:vAlign w:val="bottom"/>
          </w:tcPr>
          <w:p w:rsidR="00B40966" w:rsidRDefault="00B40966">
            <w:pPr>
              <w:pStyle w:val="TableColHd"/>
              <w:rPr>
                <w:sz w:val="14"/>
              </w:rPr>
            </w:pPr>
            <w:r>
              <w:rPr>
                <w:sz w:val="14"/>
              </w:rPr>
              <w:t>form of section of vertical</w:t>
            </w:r>
          </w:p>
        </w:tc>
        <w:tc>
          <w:tcPr>
            <w:tcW w:w="960" w:type="dxa"/>
            <w:tcBorders>
              <w:left w:val="single" w:sz="6" w:space="0" w:color="auto"/>
              <w:bottom w:val="single" w:sz="6" w:space="0" w:color="auto"/>
              <w:right w:val="single" w:sz="6" w:space="0" w:color="auto"/>
            </w:tcBorders>
            <w:vAlign w:val="bottom"/>
          </w:tcPr>
          <w:p w:rsidR="00B40966" w:rsidRDefault="00B40966">
            <w:pPr>
              <w:pStyle w:val="TableColHd"/>
              <w:rPr>
                <w:sz w:val="14"/>
              </w:rPr>
            </w:pPr>
            <w:r>
              <w:rPr>
                <w:sz w:val="14"/>
              </w:rPr>
              <w:t>dimensions of section of vertical</w:t>
            </w:r>
          </w:p>
        </w:tc>
        <w:tc>
          <w:tcPr>
            <w:tcW w:w="840" w:type="dxa"/>
            <w:vMerge/>
            <w:tcBorders>
              <w:left w:val="single" w:sz="6" w:space="0" w:color="auto"/>
              <w:bottom w:val="single" w:sz="6" w:space="0" w:color="auto"/>
              <w:right w:val="single" w:sz="6" w:space="0" w:color="auto"/>
            </w:tcBorders>
            <w:vAlign w:val="bottom"/>
          </w:tcPr>
          <w:p w:rsidR="00B40966" w:rsidRDefault="00B40966">
            <w:pPr>
              <w:pStyle w:val="TableColHd"/>
              <w:rPr>
                <w:sz w:val="14"/>
              </w:rPr>
            </w:pPr>
          </w:p>
        </w:tc>
        <w:tc>
          <w:tcPr>
            <w:tcW w:w="840" w:type="dxa"/>
            <w:vMerge/>
            <w:tcBorders>
              <w:left w:val="single" w:sz="6" w:space="0" w:color="auto"/>
              <w:bottom w:val="single" w:sz="6" w:space="0" w:color="auto"/>
              <w:right w:val="single" w:sz="6" w:space="0" w:color="auto"/>
            </w:tcBorders>
            <w:vAlign w:val="bottom"/>
          </w:tcPr>
          <w:p w:rsidR="00B40966" w:rsidRDefault="00B40966">
            <w:pPr>
              <w:pStyle w:val="TableColHd"/>
              <w:rPr>
                <w:sz w:val="14"/>
              </w:rPr>
            </w:pPr>
          </w:p>
        </w:tc>
        <w:tc>
          <w:tcPr>
            <w:tcW w:w="855" w:type="dxa"/>
            <w:gridSpan w:val="2"/>
            <w:vMerge/>
            <w:tcBorders>
              <w:left w:val="single" w:sz="6" w:space="0" w:color="auto"/>
              <w:bottom w:val="single" w:sz="6" w:space="0" w:color="auto"/>
            </w:tcBorders>
            <w:vAlign w:val="bottom"/>
          </w:tcPr>
          <w:p w:rsidR="00B40966" w:rsidRDefault="00B40966">
            <w:pPr>
              <w:pStyle w:val="TableColHd"/>
              <w:rPr>
                <w:sz w:val="14"/>
              </w:rPr>
            </w:pPr>
          </w:p>
        </w:tc>
        <w:tc>
          <w:tcPr>
            <w:tcW w:w="855" w:type="dxa"/>
            <w:vMerge/>
            <w:tcBorders>
              <w:left w:val="single" w:sz="6" w:space="0" w:color="auto"/>
              <w:bottom w:val="single" w:sz="6" w:space="0" w:color="auto"/>
            </w:tcBorders>
            <w:vAlign w:val="bottom"/>
          </w:tcPr>
          <w:p w:rsidR="00B40966" w:rsidRDefault="00B40966">
            <w:pPr>
              <w:pStyle w:val="TableColHd"/>
              <w:rPr>
                <w:sz w:val="14"/>
              </w:rPr>
            </w:pPr>
          </w:p>
        </w:tc>
        <w:tc>
          <w:tcPr>
            <w:tcW w:w="858" w:type="dxa"/>
            <w:gridSpan w:val="2"/>
            <w:vMerge/>
            <w:tcBorders>
              <w:left w:val="single" w:sz="6" w:space="0" w:color="auto"/>
              <w:bottom w:val="single" w:sz="6" w:space="0" w:color="auto"/>
            </w:tcBorders>
            <w:vAlign w:val="bottom"/>
          </w:tcPr>
          <w:p w:rsidR="00B40966" w:rsidRDefault="00B40966">
            <w:pPr>
              <w:pStyle w:val="TableColHd"/>
              <w:rPr>
                <w:sz w:val="14"/>
              </w:rPr>
            </w:pPr>
          </w:p>
        </w:tc>
        <w:tc>
          <w:tcPr>
            <w:tcW w:w="855" w:type="dxa"/>
            <w:gridSpan w:val="2"/>
            <w:vMerge/>
            <w:tcBorders>
              <w:left w:val="single" w:sz="6" w:space="0" w:color="auto"/>
              <w:bottom w:val="single" w:sz="6" w:space="0" w:color="auto"/>
            </w:tcBorders>
            <w:vAlign w:val="bottom"/>
          </w:tcPr>
          <w:p w:rsidR="00B40966" w:rsidRDefault="00B40966">
            <w:pPr>
              <w:pStyle w:val="TableColHd"/>
              <w:rPr>
                <w:sz w:val="14"/>
              </w:rPr>
            </w:pPr>
          </w:p>
        </w:tc>
        <w:tc>
          <w:tcPr>
            <w:tcW w:w="780" w:type="dxa"/>
            <w:vMerge/>
            <w:tcBorders>
              <w:left w:val="single" w:sz="6" w:space="0" w:color="auto"/>
              <w:bottom w:val="single" w:sz="6" w:space="0" w:color="auto"/>
            </w:tcBorders>
            <w:vAlign w:val="bottom"/>
          </w:tcPr>
          <w:p w:rsidR="00B40966" w:rsidRDefault="00B40966">
            <w:pPr>
              <w:pStyle w:val="TableColHd"/>
              <w:rPr>
                <w:sz w:val="14"/>
              </w:rPr>
            </w:pPr>
          </w:p>
        </w:tc>
        <w:tc>
          <w:tcPr>
            <w:tcW w:w="840" w:type="dxa"/>
            <w:gridSpan w:val="2"/>
            <w:vMerge/>
            <w:tcBorders>
              <w:left w:val="single" w:sz="6" w:space="0" w:color="auto"/>
              <w:bottom w:val="single" w:sz="6" w:space="0" w:color="auto"/>
            </w:tcBorders>
            <w:vAlign w:val="bottom"/>
          </w:tcPr>
          <w:p w:rsidR="00B40966" w:rsidRDefault="00B40966">
            <w:pPr>
              <w:pStyle w:val="TableColHd"/>
              <w:rPr>
                <w:sz w:val="14"/>
              </w:rPr>
            </w:pPr>
          </w:p>
        </w:tc>
        <w:tc>
          <w:tcPr>
            <w:tcW w:w="945" w:type="dxa"/>
            <w:vMerge/>
            <w:tcBorders>
              <w:left w:val="single" w:sz="6" w:space="0" w:color="auto"/>
              <w:bottom w:val="single" w:sz="6" w:space="0" w:color="auto"/>
            </w:tcBorders>
            <w:vAlign w:val="bottom"/>
          </w:tcPr>
          <w:p w:rsidR="00B40966" w:rsidRDefault="00B40966">
            <w:pPr>
              <w:pStyle w:val="TableColHd"/>
              <w:rPr>
                <w:sz w:val="14"/>
              </w:rPr>
            </w:pPr>
          </w:p>
        </w:tc>
        <w:tc>
          <w:tcPr>
            <w:tcW w:w="855" w:type="dxa"/>
            <w:gridSpan w:val="2"/>
            <w:vMerge/>
            <w:tcBorders>
              <w:left w:val="single" w:sz="6" w:space="0" w:color="auto"/>
              <w:bottom w:val="single" w:sz="6" w:space="0" w:color="auto"/>
            </w:tcBorders>
            <w:vAlign w:val="bottom"/>
          </w:tcPr>
          <w:p w:rsidR="00B40966" w:rsidRDefault="00B40966">
            <w:pPr>
              <w:pStyle w:val="TableColHd"/>
              <w:rPr>
                <w:sz w:val="14"/>
              </w:rPr>
            </w:pPr>
          </w:p>
        </w:tc>
      </w:tr>
      <w:tr w:rsidR="00B40966">
        <w:trPr>
          <w:gridAfter w:val="1"/>
          <w:wAfter w:w="48" w:type="dxa"/>
          <w:cantSplit/>
        </w:trPr>
        <w:tc>
          <w:tcPr>
            <w:tcW w:w="600" w:type="dxa"/>
            <w:tcBorders>
              <w:top w:val="single" w:sz="6" w:space="0" w:color="auto"/>
            </w:tcBorders>
          </w:tcPr>
          <w:p w:rsidR="00B40966" w:rsidRDefault="00B40966">
            <w:pPr>
              <w:pStyle w:val="TableText"/>
              <w:rPr>
                <w:sz w:val="16"/>
              </w:rPr>
            </w:pPr>
            <w:r>
              <w:rPr>
                <w:sz w:val="16"/>
              </w:rPr>
              <w:t>200</w:t>
            </w:r>
          </w:p>
        </w:tc>
        <w:tc>
          <w:tcPr>
            <w:tcW w:w="96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200</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pine timber *</w:t>
            </w:r>
          </w:p>
        </w:tc>
        <w:tc>
          <w:tcPr>
            <w:tcW w:w="60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60</w:t>
            </w:r>
          </w:p>
        </w:tc>
        <w:tc>
          <w:tcPr>
            <w:tcW w:w="72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w:t>
            </w:r>
          </w:p>
        </w:tc>
        <w:tc>
          <w:tcPr>
            <w:tcW w:w="96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one 4 × 4 or two 5  × 2</w:t>
            </w:r>
          </w:p>
        </w:tc>
        <w:tc>
          <w:tcPr>
            <w:tcW w:w="8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w:t>
            </w:r>
          </w:p>
        </w:tc>
        <w:tc>
          <w:tcPr>
            <w:tcW w:w="888" w:type="dxa"/>
            <w:gridSpan w:val="3"/>
            <w:tcBorders>
              <w:top w:val="single" w:sz="6" w:space="0" w:color="auto"/>
              <w:left w:val="single" w:sz="6" w:space="0" w:color="auto"/>
              <w:right w:val="single" w:sz="6" w:space="0" w:color="auto"/>
            </w:tcBorders>
          </w:tcPr>
          <w:p w:rsidR="00B40966" w:rsidRDefault="00B40966">
            <w:pPr>
              <w:pStyle w:val="TableText"/>
              <w:rPr>
                <w:sz w:val="16"/>
              </w:rPr>
            </w:pPr>
            <w:r>
              <w:rPr>
                <w:sz w:val="16"/>
              </w:rPr>
              <w:t>5 × 2</w:t>
            </w:r>
          </w:p>
        </w:tc>
        <w:tc>
          <w:tcPr>
            <w:tcW w:w="8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w:t>
            </w:r>
          </w:p>
        </w:tc>
        <w:tc>
          <w:tcPr>
            <w:tcW w:w="840" w:type="dxa"/>
            <w:tcBorders>
              <w:top w:val="single" w:sz="6" w:space="0" w:color="auto"/>
              <w:left w:val="single" w:sz="6" w:space="0" w:color="auto"/>
              <w:right w:val="single" w:sz="6" w:space="0" w:color="auto"/>
            </w:tcBorders>
          </w:tcPr>
          <w:p w:rsidR="00B40966" w:rsidRDefault="00B40966">
            <w:pPr>
              <w:pStyle w:val="TableText"/>
              <w:rPr>
                <w:sz w:val="16"/>
              </w:rPr>
            </w:pPr>
            <w:r>
              <w:rPr>
                <w:sz w:val="16"/>
              </w:rPr>
              <w:t>10 deep × 3</w:t>
            </w:r>
            <w:r>
              <w:rPr>
                <w:position w:val="4"/>
                <w:sz w:val="12"/>
              </w:rPr>
              <w:t>1</w:t>
            </w:r>
            <w:r>
              <w:rPr>
                <w:sz w:val="16"/>
              </w:rPr>
              <w:t>/</w:t>
            </w:r>
            <w:r>
              <w:rPr>
                <w:sz w:val="12"/>
              </w:rPr>
              <w:t>2</w:t>
            </w:r>
            <w:r>
              <w:rPr>
                <w:sz w:val="16"/>
              </w:rPr>
              <w:t xml:space="preserve"> wide</w:t>
            </w:r>
          </w:p>
        </w:tc>
        <w:tc>
          <w:tcPr>
            <w:tcW w:w="792" w:type="dxa"/>
            <w:gridSpan w:val="2"/>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 hard-wood</w:t>
            </w:r>
          </w:p>
        </w:tc>
        <w:tc>
          <w:tcPr>
            <w:tcW w:w="840" w:type="dxa"/>
            <w:gridSpan w:val="2"/>
            <w:tcBorders>
              <w:top w:val="single" w:sz="6" w:space="0" w:color="auto"/>
              <w:left w:val="single" w:sz="6" w:space="0" w:color="auto"/>
              <w:right w:val="single" w:sz="6" w:space="0" w:color="auto"/>
            </w:tcBorders>
          </w:tcPr>
          <w:p w:rsidR="00B40966" w:rsidRDefault="00B40966">
            <w:pPr>
              <w:pStyle w:val="TableText"/>
              <w:rPr>
                <w:sz w:val="16"/>
              </w:rPr>
            </w:pPr>
            <w:r>
              <w:rPr>
                <w:sz w:val="16"/>
              </w:rPr>
              <w:t>two 6 deep × 4 wide</w:t>
            </w:r>
          </w:p>
        </w:tc>
        <w:tc>
          <w:tcPr>
            <w:tcW w:w="960" w:type="dxa"/>
            <w:gridSpan w:val="2"/>
            <w:tcBorders>
              <w:top w:val="single" w:sz="6" w:space="0" w:color="auto"/>
              <w:left w:val="single" w:sz="6" w:space="0" w:color="auto"/>
              <w:right w:val="single" w:sz="6" w:space="0" w:color="auto"/>
            </w:tcBorders>
          </w:tcPr>
          <w:p w:rsidR="00B40966" w:rsidRDefault="00B40966">
            <w:pPr>
              <w:pStyle w:val="TableText"/>
              <w:rPr>
                <w:sz w:val="16"/>
              </w:rPr>
            </w:pPr>
            <w:r>
              <w:rPr>
                <w:sz w:val="16"/>
              </w:rPr>
              <w:t>rectangular</w:t>
            </w:r>
          </w:p>
        </w:tc>
        <w:tc>
          <w:tcPr>
            <w:tcW w:w="840" w:type="dxa"/>
            <w:tcBorders>
              <w:top w:val="single" w:sz="6" w:space="0" w:color="auto"/>
            </w:tcBorders>
          </w:tcPr>
          <w:p w:rsidR="00B40966" w:rsidRDefault="00B40966">
            <w:pPr>
              <w:pStyle w:val="TableText"/>
              <w:rPr>
                <w:sz w:val="16"/>
              </w:rPr>
            </w:pPr>
            <w:r>
              <w:rPr>
                <w:sz w:val="16"/>
              </w:rPr>
              <w:t>5 deep × 2 wide</w:t>
            </w:r>
          </w:p>
        </w:tc>
      </w:tr>
      <w:tr w:rsidR="00B40966">
        <w:trPr>
          <w:gridAfter w:val="1"/>
          <w:wAfter w:w="48" w:type="dxa"/>
          <w:cantSplit/>
        </w:trPr>
        <w:tc>
          <w:tcPr>
            <w:tcW w:w="600" w:type="dxa"/>
            <w:tcBorders>
              <w:top w:val="single" w:sz="6" w:space="0" w:color="auto"/>
              <w:bottom w:val="single" w:sz="6" w:space="0" w:color="auto"/>
              <w:right w:val="single" w:sz="6" w:space="0" w:color="auto"/>
            </w:tcBorders>
          </w:tcPr>
          <w:p w:rsidR="00B40966" w:rsidRDefault="00B40966">
            <w:pPr>
              <w:pStyle w:val="TableText"/>
              <w:rPr>
                <w:sz w:val="16"/>
              </w:rPr>
            </w:pPr>
            <w:r>
              <w:rPr>
                <w:sz w:val="16"/>
              </w:rPr>
              <w:t>200</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angle</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 xml:space="preserve">3 × 3 × </w:t>
            </w:r>
            <w:r>
              <w:rPr>
                <w:position w:val="4"/>
                <w:sz w:val="12"/>
              </w:rPr>
              <w:t>5</w:t>
            </w:r>
            <w:r>
              <w:rPr>
                <w:sz w:val="16"/>
              </w:rPr>
              <w:t>/</w:t>
            </w:r>
            <w:r>
              <w:rPr>
                <w:sz w:val="12"/>
              </w:rPr>
              <w:t>16</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angle</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angle or 2 flats</w:t>
            </w:r>
          </w:p>
        </w:tc>
        <w:tc>
          <w:tcPr>
            <w:tcW w:w="888"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2</w:t>
            </w:r>
            <w:r>
              <w:rPr>
                <w:position w:val="4"/>
                <w:sz w:val="12"/>
              </w:rPr>
              <w:t>1</w:t>
            </w:r>
            <w:r>
              <w:rPr>
                <w:sz w:val="16"/>
              </w:rPr>
              <w:t>/</w:t>
            </w:r>
            <w:r>
              <w:rPr>
                <w:sz w:val="12"/>
              </w:rPr>
              <w:t>2</w:t>
            </w:r>
            <w:r>
              <w:rPr>
                <w:sz w:val="16"/>
              </w:rPr>
              <w:t xml:space="preserve"> x 2</w:t>
            </w:r>
            <w:r>
              <w:rPr>
                <w:position w:val="4"/>
                <w:sz w:val="12"/>
              </w:rPr>
              <w:t>1</w:t>
            </w:r>
            <w:r>
              <w:rPr>
                <w:sz w:val="16"/>
              </w:rPr>
              <w:t>/</w:t>
            </w:r>
            <w:r>
              <w:rPr>
                <w:sz w:val="12"/>
              </w:rPr>
              <w:t xml:space="preserve">2 </w:t>
            </w:r>
            <w:r>
              <w:rPr>
                <w:sz w:val="16"/>
              </w:rPr>
              <w:t xml:space="preserve">x </w:t>
            </w:r>
            <w:r>
              <w:rPr>
                <w:position w:val="4"/>
                <w:sz w:val="12"/>
              </w:rPr>
              <w:t>¼</w:t>
            </w:r>
          </w:p>
          <w:p w:rsidR="00B40966" w:rsidRDefault="00B40966">
            <w:pPr>
              <w:pStyle w:val="TableText"/>
              <w:rPr>
                <w:sz w:val="16"/>
              </w:rPr>
            </w:pPr>
            <w:r>
              <w:rPr>
                <w:sz w:val="16"/>
              </w:rPr>
              <w:t xml:space="preserve">Two 2 × </w:t>
            </w:r>
            <w:r>
              <w:rPr>
                <w:position w:val="4"/>
                <w:sz w:val="12"/>
              </w:rPr>
              <w:t>1</w:t>
            </w:r>
            <w:r>
              <w:rPr>
                <w:sz w:val="16"/>
              </w:rPr>
              <w:t>/</w:t>
            </w:r>
            <w:r>
              <w:rPr>
                <w:sz w:val="12"/>
              </w:rPr>
              <w:t>4</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channel</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7 deep × 3 wide</w:t>
            </w:r>
          </w:p>
        </w:tc>
        <w:tc>
          <w:tcPr>
            <w:tcW w:w="79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channel</w:t>
            </w:r>
          </w:p>
        </w:tc>
        <w:tc>
          <w:tcPr>
            <w:tcW w:w="84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6 deep × 3 wide</w:t>
            </w:r>
          </w:p>
        </w:tc>
        <w:tc>
          <w:tcPr>
            <w:tcW w:w="96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channel or angle</w:t>
            </w:r>
          </w:p>
        </w:tc>
        <w:tc>
          <w:tcPr>
            <w:tcW w:w="840" w:type="dxa"/>
            <w:tcBorders>
              <w:top w:val="single" w:sz="6" w:space="0" w:color="auto"/>
              <w:left w:val="single" w:sz="6" w:space="0" w:color="auto"/>
              <w:bottom w:val="single" w:sz="6" w:space="0" w:color="auto"/>
            </w:tcBorders>
          </w:tcPr>
          <w:p w:rsidR="00B40966" w:rsidRDefault="00B40966">
            <w:pPr>
              <w:pStyle w:val="TableText"/>
              <w:rPr>
                <w:sz w:val="16"/>
              </w:rPr>
            </w:pPr>
            <w:r>
              <w:rPr>
                <w:sz w:val="16"/>
              </w:rPr>
              <w:t xml:space="preserve">4 deep × </w:t>
            </w:r>
            <w:r>
              <w:rPr>
                <w:sz w:val="16"/>
              </w:rPr>
              <w:br/>
              <w:t>2 wide</w:t>
            </w:r>
          </w:p>
          <w:p w:rsidR="00B40966" w:rsidRDefault="00B40966">
            <w:pPr>
              <w:pStyle w:val="TableText"/>
              <w:rPr>
                <w:sz w:val="16"/>
              </w:rPr>
            </w:pPr>
            <w:r>
              <w:rPr>
                <w:sz w:val="16"/>
              </w:rPr>
              <w:t xml:space="preserve">3 × 3 × </w:t>
            </w:r>
            <w:r>
              <w:rPr>
                <w:position w:val="4"/>
                <w:sz w:val="12"/>
              </w:rPr>
              <w:t>5</w:t>
            </w:r>
            <w:r>
              <w:rPr>
                <w:sz w:val="16"/>
              </w:rPr>
              <w:t>/</w:t>
            </w:r>
            <w:r>
              <w:rPr>
                <w:sz w:val="12"/>
              </w:rPr>
              <w:t>16</w:t>
            </w:r>
          </w:p>
        </w:tc>
      </w:tr>
      <w:tr w:rsidR="00B40966">
        <w:trPr>
          <w:gridAfter w:val="1"/>
          <w:wAfter w:w="48" w:type="dxa"/>
          <w:cantSplit/>
        </w:trPr>
        <w:tc>
          <w:tcPr>
            <w:tcW w:w="600" w:type="dxa"/>
            <w:tcBorders>
              <w:top w:val="single" w:sz="6" w:space="0" w:color="auto"/>
              <w:bottom w:val="single" w:sz="6" w:space="0" w:color="auto"/>
              <w:right w:val="single" w:sz="6" w:space="0" w:color="auto"/>
            </w:tcBorders>
          </w:tcPr>
          <w:p w:rsidR="00B40966" w:rsidRDefault="00B40966">
            <w:pPr>
              <w:pStyle w:val="TableText"/>
              <w:rPr>
                <w:sz w:val="16"/>
              </w:rPr>
            </w:pPr>
            <w:r>
              <w:rPr>
                <w:sz w:val="16"/>
              </w:rPr>
              <w:t>100 §</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mild steel</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0.192 wall thickness</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79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84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96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40" w:type="dxa"/>
            <w:tcBorders>
              <w:top w:val="single" w:sz="6" w:space="0" w:color="auto"/>
              <w:left w:val="single" w:sz="6" w:space="0" w:color="auto"/>
              <w:bottom w:val="single" w:sz="6" w:space="0" w:color="auto"/>
            </w:tcBorders>
          </w:tcPr>
          <w:p w:rsidR="00B40966" w:rsidRDefault="00B40966">
            <w:pPr>
              <w:pStyle w:val="TableText"/>
              <w:rPr>
                <w:sz w:val="16"/>
              </w:rPr>
            </w:pPr>
            <w:r>
              <w:rPr>
                <w:sz w:val="16"/>
              </w:rPr>
              <w:t>1.9 outside diameter × 0.192 wall thickness</w:t>
            </w:r>
          </w:p>
        </w:tc>
      </w:tr>
      <w:tr w:rsidR="00B40966">
        <w:trPr>
          <w:cantSplit/>
        </w:trPr>
        <w:tc>
          <w:tcPr>
            <w:tcW w:w="600" w:type="dxa"/>
            <w:tcBorders>
              <w:top w:val="single" w:sz="6" w:space="0" w:color="auto"/>
              <w:bottom w:val="single" w:sz="6" w:space="0" w:color="auto"/>
            </w:tcBorders>
          </w:tcPr>
          <w:p w:rsidR="00B40966" w:rsidRDefault="00B40966">
            <w:pPr>
              <w:pStyle w:val="TableText"/>
              <w:rPr>
                <w:sz w:val="16"/>
              </w:rPr>
            </w:pPr>
            <w:r>
              <w:rPr>
                <w:sz w:val="16"/>
              </w:rPr>
              <w:t>120 §</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200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alum-inium alloy *</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60</w:t>
            </w:r>
          </w:p>
        </w:tc>
        <w:tc>
          <w:tcPr>
            <w:tcW w:w="72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0.176 wall thickness</w:t>
            </w:r>
          </w:p>
        </w:tc>
        <w:tc>
          <w:tcPr>
            <w:tcW w:w="8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88"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1.9 outside diameter × 0.176 wall thickness</w:t>
            </w:r>
          </w:p>
        </w:tc>
        <w:tc>
          <w:tcPr>
            <w:tcW w:w="168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or</w:t>
            </w:r>
            <w:r>
              <w:rPr>
                <w:sz w:val="16"/>
              </w:rPr>
              <w:br/>
              <w:t>to be framed in an approved way</w:t>
            </w:r>
          </w:p>
        </w:tc>
        <w:tc>
          <w:tcPr>
            <w:tcW w:w="79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828"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ditto</w:t>
            </w:r>
          </w:p>
        </w:tc>
        <w:tc>
          <w:tcPr>
            <w:tcW w:w="972"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16"/>
              </w:rPr>
            </w:pPr>
            <w:r>
              <w:rPr>
                <w:sz w:val="16"/>
              </w:rPr>
              <w:t>round tube **</w:t>
            </w:r>
          </w:p>
        </w:tc>
        <w:tc>
          <w:tcPr>
            <w:tcW w:w="888" w:type="dxa"/>
            <w:gridSpan w:val="2"/>
            <w:tcBorders>
              <w:top w:val="single" w:sz="6" w:space="0" w:color="auto"/>
              <w:bottom w:val="single" w:sz="6" w:space="0" w:color="auto"/>
            </w:tcBorders>
          </w:tcPr>
          <w:p w:rsidR="00B40966" w:rsidRDefault="00B40966">
            <w:pPr>
              <w:pStyle w:val="TableText"/>
              <w:rPr>
                <w:sz w:val="16"/>
              </w:rPr>
            </w:pPr>
            <w:r>
              <w:rPr>
                <w:sz w:val="16"/>
              </w:rPr>
              <w:t>1.9 outside diameter × 0.176 wall thickness</w:t>
            </w:r>
          </w:p>
        </w:tc>
      </w:tr>
    </w:tbl>
    <w:p w:rsidR="00B40966" w:rsidRDefault="00B40966">
      <w:pPr>
        <w:pStyle w:val="02TextLandscape"/>
        <w:sectPr w:rsidR="00B40966">
          <w:headerReference w:type="even" r:id="rId135"/>
          <w:headerReference w:type="default" r:id="rId136"/>
          <w:footerReference w:type="even" r:id="rId137"/>
          <w:footerReference w:type="default" r:id="rId138"/>
          <w:pgSz w:w="16839" w:h="11907" w:orient="landscape" w:code="9"/>
          <w:pgMar w:top="2300" w:right="3000" w:bottom="1900" w:left="2500" w:header="2480" w:footer="2100" w:gutter="0"/>
          <w:cols w:space="720"/>
          <w:docGrid w:linePitch="254"/>
        </w:sectPr>
      </w:pPr>
    </w:p>
    <w:p w:rsidR="00B40966" w:rsidRDefault="00B40966">
      <w:pPr>
        <w:pStyle w:val="Amainreturn"/>
        <w:rPr>
          <w:sz w:val="20"/>
        </w:rPr>
      </w:pPr>
      <w:r>
        <w:rPr>
          <w:sz w:val="20"/>
        </w:rPr>
        <w:t>*</w:t>
      </w:r>
      <w:r>
        <w:rPr>
          <w:sz w:val="20"/>
        </w:rPr>
        <w:tab/>
        <w:t>These must be of approved type and quality and material.</w:t>
      </w:r>
    </w:p>
    <w:p w:rsidR="00B40966" w:rsidRDefault="00B40966">
      <w:pPr>
        <w:pStyle w:val="Amainreturn"/>
        <w:ind w:left="1440" w:hanging="340"/>
        <w:rPr>
          <w:sz w:val="20"/>
        </w:rPr>
      </w:pPr>
      <w:r>
        <w:rPr>
          <w:sz w:val="20"/>
        </w:rPr>
        <w:t>†</w:t>
      </w:r>
      <w:r>
        <w:rPr>
          <w:sz w:val="20"/>
        </w:rPr>
        <w:tab/>
        <w:t xml:space="preserve">This may be measured as a vertical distance from centre to centre of the horizontal braces referred to in note </w:t>
      </w:r>
      <w:r>
        <w:rPr>
          <w:rFonts w:ascii="Arial" w:hAnsi="Arial" w:cs="Arial"/>
          <w:sz w:val="18"/>
        </w:rPr>
        <w:t>II</w:t>
      </w:r>
      <w:r>
        <w:rPr>
          <w:sz w:val="20"/>
        </w:rPr>
        <w:t xml:space="preserve"> below.</w:t>
      </w:r>
    </w:p>
    <w:p w:rsidR="00B40966" w:rsidRDefault="00B40966">
      <w:pPr>
        <w:pStyle w:val="Amainreturn"/>
        <w:ind w:left="1440" w:hanging="340"/>
        <w:rPr>
          <w:sz w:val="20"/>
        </w:rPr>
      </w:pPr>
      <w:r>
        <w:rPr>
          <w:sz w:val="20"/>
        </w:rPr>
        <w:t>‡</w:t>
      </w:r>
      <w:r>
        <w:rPr>
          <w:sz w:val="20"/>
        </w:rPr>
        <w:tab/>
        <w:t>Provided tower is fully supported against wind and other lateral forces by being braced in an approved way to a building or structure equivalent to it.</w:t>
      </w:r>
    </w:p>
    <w:p w:rsidR="00B40966" w:rsidRDefault="00B40966">
      <w:pPr>
        <w:pStyle w:val="Amainreturn"/>
        <w:ind w:left="1440" w:hanging="340"/>
        <w:rPr>
          <w:sz w:val="20"/>
        </w:rPr>
      </w:pPr>
      <w:r>
        <w:rPr>
          <w:sz w:val="20"/>
        </w:rPr>
        <w:t>§</w:t>
      </w:r>
      <w:r>
        <w:rPr>
          <w:sz w:val="20"/>
        </w:rPr>
        <w:tab/>
        <w:t>This height may be increased by 30 feet if the major load or reaction applied by headbeams to tower is divided equally between 2 main verticals.</w:t>
      </w:r>
    </w:p>
    <w:p w:rsidR="00B40966" w:rsidRDefault="00B40966">
      <w:pPr>
        <w:pStyle w:val="Amainreturn"/>
        <w:ind w:left="1440" w:hanging="340"/>
        <w:rPr>
          <w:sz w:val="20"/>
        </w:rPr>
      </w:pPr>
      <w:r>
        <w:rPr>
          <w:rFonts w:ascii="Arial" w:hAnsi="Arial" w:cs="Arial"/>
          <w:sz w:val="18"/>
        </w:rPr>
        <w:t>II</w:t>
      </w:r>
      <w:r>
        <w:rPr>
          <w:sz w:val="20"/>
        </w:rPr>
        <w:tab/>
        <w:t>ie, internal bracings forming the web system of the tower, as distinct from the external bracings referred to in  ‡ above.</w:t>
      </w:r>
    </w:p>
    <w:p w:rsidR="00B40966" w:rsidRDefault="00B40966">
      <w:pPr>
        <w:pStyle w:val="Amainreturn"/>
        <w:ind w:left="1440" w:hanging="340"/>
        <w:rPr>
          <w:sz w:val="20"/>
        </w:rPr>
      </w:pPr>
      <w:r>
        <w:rPr>
          <w:sz w:val="20"/>
        </w:rPr>
        <w:t>#</w:t>
      </w:r>
      <w:r>
        <w:rPr>
          <w:sz w:val="20"/>
        </w:rPr>
        <w:tab/>
        <w:t>ie, the particular whaling carrying greatest load from the headbeams, other whalings may be 6 in × 3 in pine timber.  If practicable, however, the headbeams should be supported directly by the runners or by the corner posts or verticals of the tower, and in such case smaller whalings could be used.</w:t>
      </w:r>
    </w:p>
    <w:p w:rsidR="00B40966" w:rsidRDefault="00B40966">
      <w:pPr>
        <w:pStyle w:val="Amainreturn"/>
        <w:rPr>
          <w:sz w:val="20"/>
        </w:rPr>
      </w:pPr>
      <w:r>
        <w:rPr>
          <w:sz w:val="20"/>
        </w:rPr>
        <w:t>**</w:t>
      </w:r>
      <w:r>
        <w:rPr>
          <w:sz w:val="20"/>
        </w:rPr>
        <w:tab/>
        <w:t xml:space="preserve">The vertical tubes shall in addition have approved feet or base plates.  </w:t>
      </w:r>
    </w:p>
    <w:p w:rsidR="00B40966" w:rsidRDefault="00B40966">
      <w:pPr>
        <w:pStyle w:val="Amainreturn"/>
        <w:rPr>
          <w:sz w:val="20"/>
        </w:rPr>
      </w:pPr>
      <w:r>
        <w:rPr>
          <w:sz w:val="20"/>
        </w:rPr>
        <w:t>Unless otherwise stated, all dimensions are in inches.</w:t>
      </w:r>
    </w:p>
    <w:p w:rsidR="00B40966" w:rsidRDefault="00B40966">
      <w:pPr>
        <w:pStyle w:val="Amain"/>
      </w:pPr>
      <w:r>
        <w:tab/>
        <w:t>(6)</w:t>
      </w:r>
      <w:r>
        <w:tab/>
        <w:t>No person shall set up, or build, or set or place in position any hoist of greater size, or speed, or for bearing greater loads, or of different construction than prescribed in this section, until the person has submitted drawings of it to the chief inspector and obtained the chief inspector’s approval.</w:t>
      </w:r>
    </w:p>
    <w:p w:rsidR="00B40966" w:rsidRDefault="00B40966">
      <w:pPr>
        <w:pStyle w:val="Amain"/>
      </w:pPr>
      <w:r>
        <w:tab/>
        <w:t>(7)</w:t>
      </w:r>
      <w:r>
        <w:tab/>
        <w:t>The combined weight of the safe working load and the platform, bucket, or other medium by means of which it is raised or lowered shall not exceed 1 ton.</w:t>
      </w:r>
    </w:p>
    <w:p w:rsidR="00B40966" w:rsidRDefault="00B40966">
      <w:pPr>
        <w:pStyle w:val="Amain"/>
      </w:pPr>
      <w:r>
        <w:tab/>
        <w:t>(8)</w:t>
      </w:r>
      <w:r>
        <w:tab/>
        <w:t>No person shall attach to or impose on any hoist tower, or any part of it, any load other than that borne by the platform, bucket, or medium analogous to it, and no person shall attach to any hoist tower or to any part of it any device capable of imposing such load, unless approved by the chief inspector.</w:t>
      </w:r>
    </w:p>
    <w:p w:rsidR="00B40966" w:rsidRDefault="00B40966">
      <w:pPr>
        <w:pStyle w:val="Amain"/>
      </w:pPr>
      <w:r>
        <w:tab/>
        <w:t>(9)</w:t>
      </w:r>
      <w:r>
        <w:tab/>
        <w:t>However, subsection (8) shall not prevent the use of a dynamic counterbalance weight as prescribed in this section.</w:t>
      </w:r>
    </w:p>
    <w:p w:rsidR="00B40966" w:rsidRDefault="00B40966">
      <w:pPr>
        <w:pStyle w:val="Amain"/>
      </w:pPr>
      <w:r>
        <w:tab/>
        <w:t>(10)</w:t>
      </w:r>
      <w:r>
        <w:tab/>
        <w:t>The speed at which any load is raised or lowered shall not exceed 600 feet per minute.</w:t>
      </w:r>
    </w:p>
    <w:p w:rsidR="00B40966" w:rsidRDefault="00B40966">
      <w:pPr>
        <w:pStyle w:val="Amain"/>
      </w:pPr>
      <w:r>
        <w:tab/>
        <w:t>(11)</w:t>
      </w:r>
      <w:r>
        <w:tab/>
        <w:t>If dynamic (flying) counterbalance weights are employed, they shall not balance more than 70% of the unladen weight of the platform, bucket, or other medium by means of which loads are raised or lowered.</w:t>
      </w:r>
    </w:p>
    <w:p w:rsidR="00B40966" w:rsidRDefault="00B40966">
      <w:pPr>
        <w:pStyle w:val="Amain"/>
      </w:pPr>
      <w:r>
        <w:tab/>
        <w:t>(12)</w:t>
      </w:r>
      <w:r>
        <w:tab/>
        <w:t>The corner posts or verticals of every hoist tower shall be braced together with horizontal braces and by it divided into panels each not greater in vertical height than 5 feet.</w:t>
      </w:r>
    </w:p>
    <w:p w:rsidR="00B40966" w:rsidRDefault="00B40966">
      <w:pPr>
        <w:pStyle w:val="Amain"/>
      </w:pPr>
      <w:r>
        <w:tab/>
        <w:t>(13)</w:t>
      </w:r>
      <w:r>
        <w:tab/>
        <w:t>Every such panel shall contain 1 rigid, or alternatively 2 flexible braces, fixed diagonally to provide against shearing forces, and to complete the web system of the 4 trusses comprising the tower.</w:t>
      </w:r>
    </w:p>
    <w:p w:rsidR="00B40966" w:rsidRDefault="00B40966">
      <w:pPr>
        <w:pStyle w:val="Amain"/>
      </w:pPr>
      <w:r>
        <w:tab/>
        <w:t>(14)</w:t>
      </w:r>
      <w:r>
        <w:tab/>
        <w:t>If, for purposes of access, it is necessary to omit any diagonal brace, the panel thus weakened shall be adequately strengthened by other bracing at least equivalent to that omitted.</w:t>
      </w:r>
    </w:p>
    <w:p w:rsidR="00B40966" w:rsidRDefault="00B40966">
      <w:pPr>
        <w:pStyle w:val="Amain"/>
      </w:pPr>
      <w:r>
        <w:tab/>
        <w:t>(15)</w:t>
      </w:r>
      <w:r>
        <w:tab/>
        <w:t xml:space="preserve">No bolt less in diameter than </w:t>
      </w:r>
      <w:r>
        <w:rPr>
          <w:position w:val="6"/>
          <w:sz w:val="18"/>
        </w:rPr>
        <w:t>5</w:t>
      </w:r>
      <w:r>
        <w:t>/</w:t>
      </w:r>
      <w:r>
        <w:rPr>
          <w:sz w:val="18"/>
        </w:rPr>
        <w:t>8</w:t>
      </w:r>
      <w:r>
        <w:t xml:space="preserve"> of an inch shall be used to connect or interconnect the members of a hoist tower, or to attach guides or runners to it.</w:t>
      </w:r>
    </w:p>
    <w:p w:rsidR="00B40966" w:rsidRDefault="00B40966">
      <w:pPr>
        <w:pStyle w:val="Amain"/>
      </w:pPr>
      <w:r>
        <w:tab/>
        <w:t>(16)</w:t>
      </w:r>
      <w:r>
        <w:tab/>
        <w:t>Not less than 6 such bolts shall be effectively used in each splice made in the posts or verticals of every hoist tower, 3 being above, and 3 below the joint.</w:t>
      </w:r>
    </w:p>
    <w:p w:rsidR="00B40966" w:rsidRDefault="00B40966">
      <w:pPr>
        <w:pStyle w:val="Amain"/>
      </w:pPr>
      <w:r>
        <w:tab/>
        <w:t>(17)</w:t>
      </w:r>
      <w:r>
        <w:tab/>
        <w:t>Each splice in the verticals of towers of metal or alloy tubes shall be designed for the full comprehensive load, and alternatively a tensile load of not less than 2 tons.</w:t>
      </w:r>
    </w:p>
    <w:p w:rsidR="00B40966" w:rsidRDefault="00B40966">
      <w:pPr>
        <w:pStyle w:val="Amain"/>
      </w:pPr>
      <w:r>
        <w:tab/>
        <w:t>(18)</w:t>
      </w:r>
      <w:r>
        <w:tab/>
        <w:t>Every hoist tower shall be effectively supported laterally, at a level of not more than 30 feet above its base, and after that at levels not more than 30 feet apart, so that no greater length of tower than 30 feet remains unsupported.</w:t>
      </w:r>
    </w:p>
    <w:p w:rsidR="00B40966" w:rsidRDefault="00B40966">
      <w:pPr>
        <w:pStyle w:val="Amain"/>
      </w:pPr>
      <w:r>
        <w:tab/>
        <w:t>(19)</w:t>
      </w:r>
      <w:r>
        <w:tab/>
        <w:t>In addition, the top of the tower shall be so supported if more than 20 feet above the next lower lateral supports, and in any case if carrying a hopper or tipping bucket or analogous device.</w:t>
      </w:r>
    </w:p>
    <w:p w:rsidR="00B40966" w:rsidRDefault="00B40966">
      <w:pPr>
        <w:pStyle w:val="Amain"/>
      </w:pPr>
      <w:r>
        <w:tab/>
        <w:t>(20)</w:t>
      </w:r>
      <w:r>
        <w:tab/>
        <w:t>The lateral supports shall comprise at each such level not less than 4 flexible or extra flexible steel wire rope guys, each not less in circumference than 1</w:t>
      </w:r>
      <w:r>
        <w:rPr>
          <w:position w:val="6"/>
          <w:sz w:val="18"/>
        </w:rPr>
        <w:t>1</w:t>
      </w:r>
      <w:r>
        <w:t>/</w:t>
      </w:r>
      <w:r>
        <w:rPr>
          <w:sz w:val="18"/>
        </w:rPr>
        <w:t>2</w:t>
      </w:r>
      <w:r>
        <w:t xml:space="preserve"> inches and each having an ultimate tensile value of not less than 5</w:t>
      </w:r>
      <w:r>
        <w:rPr>
          <w:position w:val="6"/>
          <w:sz w:val="18"/>
        </w:rPr>
        <w:t>7</w:t>
      </w:r>
      <w:r>
        <w:t>/</w:t>
      </w:r>
      <w:r>
        <w:rPr>
          <w:sz w:val="18"/>
        </w:rPr>
        <w:t>10</w:t>
      </w:r>
      <w:r>
        <w:t xml:space="preserve"> tons.</w:t>
      </w:r>
    </w:p>
    <w:p w:rsidR="00B40966" w:rsidRDefault="00B40966">
      <w:pPr>
        <w:pStyle w:val="Amain"/>
      </w:pPr>
      <w:r>
        <w:tab/>
        <w:t>(21)</w:t>
      </w:r>
      <w:r>
        <w:tab/>
        <w:t>Each guy rope shall have not less than 6 strands and each such strand shall have at least 19 wires.</w:t>
      </w:r>
    </w:p>
    <w:p w:rsidR="00B40966" w:rsidRDefault="00B40966">
      <w:pPr>
        <w:pStyle w:val="Amain"/>
      </w:pPr>
      <w:r>
        <w:tab/>
        <w:t>(22)</w:t>
      </w:r>
      <w:r>
        <w:tab/>
        <w:t>All guys shall be effectively secured to the corner posts or verticals of the tower.</w:t>
      </w:r>
    </w:p>
    <w:p w:rsidR="00B40966" w:rsidRDefault="00B40966">
      <w:pPr>
        <w:pStyle w:val="Amain"/>
      </w:pPr>
      <w:r>
        <w:tab/>
        <w:t>(23)</w:t>
      </w:r>
      <w:r>
        <w:tab/>
        <w:t>Alternatively, at the levels previously mentioned, the tower shall be effectively braced in an approved way to an adjacent building or other structure self-evidently capable of affording the tower complete support.</w:t>
      </w:r>
    </w:p>
    <w:p w:rsidR="00B40966" w:rsidRDefault="00B40966">
      <w:pPr>
        <w:pStyle w:val="Amain"/>
      </w:pPr>
      <w:r>
        <w:tab/>
        <w:t>(24)</w:t>
      </w:r>
      <w:r>
        <w:tab/>
        <w:t>In plan view all guys shall appear as straight line continuations or extensions of the diagonals of a section of the tower.</w:t>
      </w:r>
    </w:p>
    <w:p w:rsidR="00B40966" w:rsidRDefault="00B40966">
      <w:pPr>
        <w:pStyle w:val="Amain"/>
      </w:pPr>
      <w:r>
        <w:tab/>
        <w:t>(25)</w:t>
      </w:r>
      <w:r>
        <w:tab/>
        <w:t>A closely boarded platform of planks not less in thickness than 1</w:t>
      </w:r>
      <w:r>
        <w:rPr>
          <w:position w:val="6"/>
          <w:sz w:val="18"/>
        </w:rPr>
        <w:t>1</w:t>
      </w:r>
      <w:r>
        <w:t>/</w:t>
      </w:r>
      <w:r>
        <w:rPr>
          <w:sz w:val="18"/>
        </w:rPr>
        <w:t>2 </w:t>
      </w:r>
      <w:r>
        <w:t>inches if pine timber and 1</w:t>
      </w:r>
      <w:r>
        <w:rPr>
          <w:position w:val="6"/>
          <w:sz w:val="18"/>
        </w:rPr>
        <w:t>1</w:t>
      </w:r>
      <w:r>
        <w:t>/</w:t>
      </w:r>
      <w:r>
        <w:rPr>
          <w:sz w:val="18"/>
        </w:rPr>
        <w:t>8</w:t>
      </w:r>
      <w:r>
        <w:t xml:space="preserve"> inches if hardwood, shall be provided and fixed adjacent to the tower-head rope-sheaves as prescribed by section 127 (153) and (154).</w:t>
      </w:r>
    </w:p>
    <w:p w:rsidR="00B40966" w:rsidRDefault="00B40966">
      <w:pPr>
        <w:pStyle w:val="Amain"/>
      </w:pPr>
      <w:r>
        <w:tab/>
        <w:t>(26)</w:t>
      </w:r>
      <w:r>
        <w:tab/>
        <w:t>The platform shall be protected on sides and ends by guardrails conforming with section 154.</w:t>
      </w:r>
    </w:p>
    <w:p w:rsidR="00B40966" w:rsidRDefault="00B40966">
      <w:pPr>
        <w:pStyle w:val="Amain"/>
      </w:pPr>
      <w:r>
        <w:tab/>
        <w:t>(27)</w:t>
      </w:r>
      <w:r>
        <w:tab/>
        <w:t>If access to the platform cannot be safely obtained from the platform or bucket of the hoist, safe access ladders and platforms in accordance with section 154 shall be provided and fixed.</w:t>
      </w:r>
    </w:p>
    <w:p w:rsidR="00B40966" w:rsidRDefault="00B40966">
      <w:pPr>
        <w:pStyle w:val="Amain"/>
        <w:keepLines/>
      </w:pPr>
      <w:r>
        <w:tab/>
        <w:t>(28)</w:t>
      </w:r>
      <w:r>
        <w:tab/>
        <w:t xml:space="preserve">The hoist tower shall be effectively enclosed and shall be kept so enclosed, by close-fitting timber boarding not less than </w:t>
      </w:r>
      <w:r>
        <w:rPr>
          <w:position w:val="6"/>
          <w:sz w:val="18"/>
        </w:rPr>
        <w:t>3</w:t>
      </w:r>
      <w:r>
        <w:t>/</w:t>
      </w:r>
      <w:r>
        <w:rPr>
          <w:sz w:val="18"/>
        </w:rPr>
        <w:t>4</w:t>
      </w:r>
      <w:r>
        <w:t xml:space="preserve"> of an inch in thickness or by 18-gauge wire netting having a mesh not greater than 2 inches, or by black or galvanised steel sheeting of thickness not less than 24 gauge, positively fixed to the outside of the tower frame to a height of not less than 6 feet above the level of every floor surface, scaffolding, platform or stairway adjacent to the hoist tower.</w:t>
      </w:r>
    </w:p>
    <w:p w:rsidR="00B40966" w:rsidRDefault="00B40966">
      <w:pPr>
        <w:pStyle w:val="Amain"/>
      </w:pPr>
      <w:r>
        <w:tab/>
        <w:t>(29)</w:t>
      </w:r>
      <w:r>
        <w:tab/>
        <w:t>The verticals of hoist towers of metal shall not be subjected to transverse (bending) forces, and no rope deflector block or other device or attachment capable of applying such forces shall be fixed or applied to the verticals, or used.</w:t>
      </w:r>
    </w:p>
    <w:p w:rsidR="00B40966" w:rsidRDefault="00B40966">
      <w:pPr>
        <w:pStyle w:val="Amain"/>
      </w:pPr>
      <w:r>
        <w:tab/>
        <w:t>(30)</w:t>
      </w:r>
      <w:r>
        <w:tab/>
        <w:t>Guardrails conforming with section 154 shall be provided and fixed across all openings giving access to the interior of all hoist towers.</w:t>
      </w:r>
    </w:p>
    <w:p w:rsidR="00B40966" w:rsidRDefault="00B40966">
      <w:pPr>
        <w:pStyle w:val="Amain"/>
      </w:pPr>
      <w:r>
        <w:tab/>
        <w:t>(31)</w:t>
      </w:r>
      <w:r>
        <w:tab/>
        <w:t>The rails shall be so pivoted at at least 1 side of the opening that access is obtained by raising the rail or rails, which may be suitably counterbalanced.</w:t>
      </w:r>
    </w:p>
    <w:p w:rsidR="00B40966" w:rsidRDefault="00B40966">
      <w:pPr>
        <w:pStyle w:val="Amain"/>
      </w:pPr>
      <w:r>
        <w:tab/>
        <w:t>(32)</w:t>
      </w:r>
      <w:r>
        <w:tab/>
        <w:t>Brackets or stops shall be provided which shall prevent guardrails being lowered below horizontal.</w:t>
      </w:r>
    </w:p>
    <w:p w:rsidR="00B40966" w:rsidRDefault="00B40966">
      <w:pPr>
        <w:pStyle w:val="Amain"/>
      </w:pPr>
      <w:r>
        <w:tab/>
        <w:t>(33)</w:t>
      </w:r>
      <w:r>
        <w:tab/>
        <w:t>Guardrails shall be set 12 inches back from the tower face served by them.</w:t>
      </w:r>
    </w:p>
    <w:p w:rsidR="00B40966" w:rsidRDefault="00B40966">
      <w:pPr>
        <w:pStyle w:val="Amain"/>
      </w:pPr>
      <w:r>
        <w:tab/>
        <w:t>(34)</w:t>
      </w:r>
      <w:r>
        <w:tab/>
        <w:t>No person shall raise or otherwise displace any guardrail unless the hoist platform is stationary and level with the floor or surface served by the rail, and all rails shall be replaced in the safe horizontal position before the platform moves from the floor or surface.</w:t>
      </w:r>
    </w:p>
    <w:p w:rsidR="00B40966" w:rsidRDefault="00B40966">
      <w:pPr>
        <w:pStyle w:val="Amain"/>
      </w:pPr>
      <w:r>
        <w:tab/>
        <w:t>(35)</w:t>
      </w:r>
      <w:r>
        <w:tab/>
        <w:t>The horizontal clearance between the front or back edge of a hoist platform and the adjacent interior face of the tower bracings shall not exceed 2 inches.</w:t>
      </w:r>
    </w:p>
    <w:p w:rsidR="00B40966" w:rsidRDefault="00B40966">
      <w:pPr>
        <w:pStyle w:val="Amain"/>
        <w:keepLines/>
      </w:pPr>
      <w:r>
        <w:tab/>
        <w:t>(36)</w:t>
      </w:r>
      <w:r>
        <w:tab/>
        <w:t>An efficient and safe signalling arrangement shall be provided for the purpose of transmitting signals to the hoist driver as to when to raise and to lower the hoist platform or vessel, and also as to when to stop all motion of the hoist.</w:t>
      </w:r>
    </w:p>
    <w:p w:rsidR="00B40966" w:rsidRDefault="00B40966">
      <w:pPr>
        <w:pStyle w:val="Amain"/>
      </w:pPr>
      <w:r>
        <w:tab/>
        <w:t>(37)</w:t>
      </w:r>
      <w:r>
        <w:tab/>
        <w:t>The signalling system shall be arranged so that its operation must be intentional on the part of the operator.</w:t>
      </w:r>
    </w:p>
    <w:p w:rsidR="00B40966" w:rsidRDefault="00B40966">
      <w:pPr>
        <w:pStyle w:val="Amain"/>
      </w:pPr>
      <w:r>
        <w:tab/>
        <w:t>(38)</w:t>
      </w:r>
      <w:r>
        <w:tab/>
        <w:t>A warning bell, the sound of which will be distinctly and continuously heard when the platform is moving in any position of its travel, shall be fitted to every hoist platform.</w:t>
      </w:r>
    </w:p>
    <w:p w:rsidR="00B40966" w:rsidRDefault="00B40966">
      <w:pPr>
        <w:pStyle w:val="Amain"/>
      </w:pPr>
      <w:r>
        <w:tab/>
        <w:t>(39)</w:t>
      </w:r>
      <w:r>
        <w:tab/>
        <w:t>No person other than a worker engaged in bona fide maintenance work shall ride on the hoist platform, bucket, or other medium by means of which loads are raised or lowered.</w:t>
      </w:r>
    </w:p>
    <w:p w:rsidR="00B40966" w:rsidRDefault="00B40966">
      <w:pPr>
        <w:pStyle w:val="Amain"/>
      </w:pPr>
      <w:r>
        <w:tab/>
        <w:t>(40)</w:t>
      </w:r>
      <w:r>
        <w:tab/>
        <w:t>No person shall instruct, permit, or allow any other person so to do.</w:t>
      </w:r>
    </w:p>
    <w:p w:rsidR="00B40966" w:rsidRDefault="00B40966">
      <w:pPr>
        <w:pStyle w:val="Amain"/>
      </w:pPr>
      <w:r>
        <w:tab/>
        <w:t>(41)</w:t>
      </w:r>
      <w:r>
        <w:tab/>
        <w:t>However, subsections (39) and (40) shall not apply for hoists designed and constructed in accordance with this regulation for raising or lowering workers.</w:t>
      </w:r>
    </w:p>
    <w:p w:rsidR="00B40966" w:rsidRDefault="00B40966">
      <w:pPr>
        <w:pStyle w:val="Amain"/>
      </w:pPr>
      <w:r>
        <w:tab/>
        <w:t>(42)</w:t>
      </w:r>
      <w:r>
        <w:tab/>
        <w:t>A notice stating that persons are prohibited from riding on the platform or other lifting medium shall be fixed and kept so fixed in such a position on the hoist platform or medium that it can be clearly read by a person standing at least 3 feet away from the edge of the hoist platform, bucket, or other lifting medium.</w:t>
      </w:r>
    </w:p>
    <w:p w:rsidR="00B40966" w:rsidRDefault="00B40966">
      <w:pPr>
        <w:pStyle w:val="Amain"/>
      </w:pPr>
      <w:r>
        <w:tab/>
        <w:t>(43)</w:t>
      </w:r>
      <w:r>
        <w:tab/>
        <w:t>However, subsection (42) shall not apply for hoists designed and constructed in accordance with this regulation for raising or lowering workers.</w:t>
      </w:r>
    </w:p>
    <w:p w:rsidR="00B40966" w:rsidRDefault="00B40966">
      <w:pPr>
        <w:pStyle w:val="Amain"/>
      </w:pPr>
      <w:r>
        <w:tab/>
        <w:t>(44)</w:t>
      </w:r>
      <w:r>
        <w:tab/>
        <w:t>Every hoist winch shall have legibly painted, and kept so painted on it, a number for purposes of identification and record.</w:t>
      </w:r>
    </w:p>
    <w:p w:rsidR="00B40966" w:rsidRDefault="00B40966">
      <w:pPr>
        <w:pStyle w:val="Amain"/>
      </w:pPr>
      <w:r>
        <w:tab/>
        <w:t>(45)</w:t>
      </w:r>
      <w:r>
        <w:tab/>
        <w:t>The safe working load shall be painted in positions where it will be clearly discerned by the hoist driver and by persons loading the hoist.</w:t>
      </w:r>
    </w:p>
    <w:p w:rsidR="00B40966" w:rsidRDefault="00B40966">
      <w:pPr>
        <w:pStyle w:val="Amain"/>
      </w:pPr>
      <w:r>
        <w:tab/>
        <w:t>(46)</w:t>
      </w:r>
      <w:r>
        <w:tab/>
        <w:t>All openings in floors, walls, or other parts of the building or structure through which a hoist operates shall be fenced with guardrails conforming with section 154.</w:t>
      </w:r>
    </w:p>
    <w:p w:rsidR="00B40966" w:rsidRDefault="00B40966">
      <w:pPr>
        <w:pStyle w:val="Amain"/>
      </w:pPr>
      <w:r>
        <w:tab/>
        <w:t>(47)</w:t>
      </w:r>
      <w:r>
        <w:tab/>
        <w:t>The rails shall be set 12 inches back from the adjacent edges of the openings.</w:t>
      </w:r>
    </w:p>
    <w:p w:rsidR="00B40966" w:rsidRDefault="00B40966">
      <w:pPr>
        <w:pStyle w:val="Amain"/>
      </w:pPr>
      <w:r>
        <w:tab/>
        <w:t>(48)</w:t>
      </w:r>
      <w:r>
        <w:tab/>
        <w:t>All winch control levers, and the controls of the engine or electric motor driving the winch, shall be so grouped that every such control lever and control is within workable reach of the person acting as driver in charge of the hoist from the position that the person takes up when driving the hoist.</w:t>
      </w:r>
    </w:p>
    <w:p w:rsidR="00B40966" w:rsidRDefault="00B40966">
      <w:pPr>
        <w:pStyle w:val="Amain"/>
      </w:pPr>
      <w:r>
        <w:tab/>
        <w:t>(49)</w:t>
      </w:r>
      <w:r>
        <w:tab/>
        <w:t>The maximum throw of the control lever of a friction hoist winch shall not exceed 60°.</w:t>
      </w:r>
    </w:p>
    <w:p w:rsidR="00B40966" w:rsidRDefault="00B40966">
      <w:pPr>
        <w:pStyle w:val="AH4SubDiv"/>
        <w:ind w:left="0" w:firstLine="0"/>
      </w:pPr>
      <w:bookmarkStart w:id="274" w:name="_Toc87258110"/>
      <w:r>
        <w:t>Whip or sheerleg hoists for constructional, building, demolition, or excavation works</w:t>
      </w:r>
      <w:bookmarkEnd w:id="274"/>
    </w:p>
    <w:p w:rsidR="00B40966" w:rsidRDefault="00B40966">
      <w:pPr>
        <w:pStyle w:val="AH5Sec"/>
      </w:pPr>
      <w:bookmarkStart w:id="275" w:name="_Toc87258111"/>
      <w:r>
        <w:rPr>
          <w:rStyle w:val="CharSectNo"/>
        </w:rPr>
        <w:t>140</w:t>
      </w:r>
      <w:bookmarkEnd w:id="275"/>
      <w:r>
        <w:tab/>
        <w:t xml:space="preserve">  </w:t>
      </w:r>
    </w:p>
    <w:p w:rsidR="00B40966" w:rsidRDefault="00B40966">
      <w:pPr>
        <w:pStyle w:val="Amain"/>
      </w:pPr>
      <w:r>
        <w:tab/>
        <w:t>(1)</w:t>
      </w:r>
      <w:r>
        <w:tab/>
        <w:t>A whip hoist means a simple sheerlegs or other approved frame, set at the brink of an elevated platform or surface, or of a hole, and carrying rope and sheave equipment by means of which loads are raised or lowered.</w:t>
      </w:r>
    </w:p>
    <w:p w:rsidR="00B40966" w:rsidRDefault="00B40966">
      <w:pPr>
        <w:pStyle w:val="Amain"/>
      </w:pPr>
      <w:r>
        <w:tab/>
        <w:t>(2)</w:t>
      </w:r>
      <w:r>
        <w:tab/>
        <w:t>The loads commonly consisting of barrows of building material, and being steadied and guided to some extent by being allowed to slide or drag against skidboards or equivalent devices during ascent and descent.</w:t>
      </w:r>
    </w:p>
    <w:p w:rsidR="00B40966" w:rsidRDefault="00B40966">
      <w:pPr>
        <w:pStyle w:val="Amain"/>
      </w:pPr>
      <w:r>
        <w:tab/>
        <w:t>(3)</w:t>
      </w:r>
      <w:r>
        <w:tab/>
        <w:t>Each leg of the sheerlegs shall, if of pine timber, be not less in section than 5 inches by 3 inches.</w:t>
      </w:r>
    </w:p>
    <w:p w:rsidR="00B40966" w:rsidRDefault="00B40966">
      <w:pPr>
        <w:pStyle w:val="Amain"/>
      </w:pPr>
      <w:r>
        <w:tab/>
        <w:t>(4)</w:t>
      </w:r>
      <w:r>
        <w:tab/>
        <w:t>It shall be of sufficient length to extend at least 12 inches above the top connecting bolt.</w:t>
      </w:r>
    </w:p>
    <w:p w:rsidR="00B40966" w:rsidRDefault="00B40966">
      <w:pPr>
        <w:pStyle w:val="Amain"/>
      </w:pPr>
      <w:r>
        <w:tab/>
        <w:t>(5)</w:t>
      </w:r>
      <w:r>
        <w:tab/>
        <w:t>The horizontal distance between the lower ends of the legs of the sheerlegs shall not be greater than 7 feet 6 inches, and the vertical height of the top connecting bolt of the sheerlegs shall not be less than 14 feet above the level at which that horizontal distance is measured.</w:t>
      </w:r>
    </w:p>
    <w:p w:rsidR="00B40966" w:rsidRDefault="00B40966">
      <w:pPr>
        <w:pStyle w:val="Amain"/>
      </w:pPr>
      <w:r>
        <w:tab/>
        <w:t>(6)</w:t>
      </w:r>
      <w:r>
        <w:tab/>
        <w:t>Alternatively or if a large sheerlegs is required, the angle contained between either leg and the horizontal shall not be less than 75°.</w:t>
      </w:r>
    </w:p>
    <w:p w:rsidR="00B40966" w:rsidRDefault="00B40966">
      <w:pPr>
        <w:pStyle w:val="Amain"/>
      </w:pPr>
      <w:r>
        <w:tab/>
        <w:t>(7)</w:t>
      </w:r>
      <w:r>
        <w:tab/>
        <w:t>Sheerlegs shall be symmetrical in construction.</w:t>
      </w:r>
    </w:p>
    <w:p w:rsidR="00B40966" w:rsidRDefault="00B40966">
      <w:pPr>
        <w:pStyle w:val="Amain"/>
      </w:pPr>
      <w:r>
        <w:tab/>
        <w:t>(8)</w:t>
      </w:r>
      <w:r>
        <w:tab/>
        <w:t xml:space="preserve">The top connecting bolt mentioned in subsection (4) shall not be less in diameter than </w:t>
      </w:r>
      <w:r>
        <w:rPr>
          <w:position w:val="6"/>
          <w:sz w:val="18"/>
        </w:rPr>
        <w:t>3</w:t>
      </w:r>
      <w:r>
        <w:t>/</w:t>
      </w:r>
      <w:r>
        <w:rPr>
          <w:sz w:val="18"/>
        </w:rPr>
        <w:t>4</w:t>
      </w:r>
      <w:r>
        <w:t xml:space="preserve"> of an inch and the nut shall be locked.</w:t>
      </w:r>
    </w:p>
    <w:p w:rsidR="00B40966" w:rsidRDefault="00B40966">
      <w:pPr>
        <w:pStyle w:val="Amain"/>
      </w:pPr>
      <w:r>
        <w:tab/>
        <w:t>(9)</w:t>
      </w:r>
      <w:r>
        <w:tab/>
        <w:t>The legs of the sheerlegs shall rest on a base plank not less in section than 12 inches in horizontal width by 2 inches thick.</w:t>
      </w:r>
    </w:p>
    <w:p w:rsidR="00B40966" w:rsidRDefault="00B40966">
      <w:pPr>
        <w:pStyle w:val="Amain"/>
      </w:pPr>
      <w:r>
        <w:tab/>
        <w:t>(10)</w:t>
      </w:r>
      <w:r>
        <w:tab/>
        <w:t xml:space="preserve">The legs shall be prevented from spreading, and from moving towards the edges of the base plank by hardwood battens 3 inches by 2 inches in section, bolted to the base plank by bolts not less in diameter than </w:t>
      </w:r>
      <w:r>
        <w:rPr>
          <w:position w:val="6"/>
          <w:sz w:val="18"/>
        </w:rPr>
        <w:t>1</w:t>
      </w:r>
      <w:r>
        <w:t>/</w:t>
      </w:r>
      <w:r>
        <w:rPr>
          <w:sz w:val="18"/>
        </w:rPr>
        <w:t>2</w:t>
      </w:r>
      <w:r>
        <w:t xml:space="preserve"> inch.</w:t>
      </w:r>
    </w:p>
    <w:p w:rsidR="00B40966" w:rsidRDefault="00B40966">
      <w:pPr>
        <w:pStyle w:val="Amain"/>
      </w:pPr>
      <w:r>
        <w:tab/>
        <w:t>(11)</w:t>
      </w:r>
      <w:r>
        <w:tab/>
        <w:t>In addition the legs shall be prevented from lifting over the battens by wire rope lashings passing through holes drilled not less than 6 inches above the lower ends of the legs.</w:t>
      </w:r>
    </w:p>
    <w:p w:rsidR="00B40966" w:rsidRDefault="00B40966">
      <w:pPr>
        <w:pStyle w:val="Amain"/>
      </w:pPr>
      <w:r>
        <w:tab/>
        <w:t>(12)</w:t>
      </w:r>
      <w:r>
        <w:tab/>
        <w:t>The topmost hoisting block shall be suspended on a 1</w:t>
      </w:r>
      <w:r>
        <w:rPr>
          <w:position w:val="6"/>
          <w:sz w:val="18"/>
        </w:rPr>
        <w:t>1</w:t>
      </w:r>
      <w:r>
        <w:t>/</w:t>
      </w:r>
      <w:r>
        <w:rPr>
          <w:sz w:val="18"/>
        </w:rPr>
        <w:t>2</w:t>
      </w:r>
      <w:r>
        <w:t xml:space="preserve"> inch circumference steel wire rope snotter having not less than 6 strands each containing not less than 24 wires, and the snotter shall lie or rest in the topmost V formed between the legs, above the top connecting bolt.</w:t>
      </w:r>
    </w:p>
    <w:p w:rsidR="00B40966" w:rsidRDefault="00B40966">
      <w:pPr>
        <w:pStyle w:val="Amain"/>
      </w:pPr>
      <w:r>
        <w:tab/>
        <w:t>(13)</w:t>
      </w:r>
      <w:r>
        <w:tab/>
        <w:t>The back guy shall be of steel wire rope at least 1</w:t>
      </w:r>
      <w:r>
        <w:rPr>
          <w:position w:val="6"/>
          <w:sz w:val="18"/>
        </w:rPr>
        <w:t>3</w:t>
      </w:r>
      <w:r>
        <w:t>/</w:t>
      </w:r>
      <w:r>
        <w:rPr>
          <w:sz w:val="18"/>
        </w:rPr>
        <w:t>8</w:t>
      </w:r>
      <w:r>
        <w:t xml:space="preserve"> inches in circumference, having not less than 6 strands each containing not less than 19 wires.</w:t>
      </w:r>
    </w:p>
    <w:p w:rsidR="00B40966" w:rsidRDefault="00B40966">
      <w:pPr>
        <w:pStyle w:val="Amain"/>
      </w:pPr>
      <w:r>
        <w:tab/>
        <w:t>(14)</w:t>
      </w:r>
      <w:r>
        <w:tab/>
        <w:t>It shall be secured to the sheerlegs at their intersection, by at least 2 full turns and 2 approved wire-rope grips.</w:t>
      </w:r>
    </w:p>
    <w:p w:rsidR="00B40966" w:rsidRDefault="00B40966">
      <w:pPr>
        <w:pStyle w:val="Amain"/>
      </w:pPr>
      <w:r>
        <w:tab/>
        <w:t>(15)</w:t>
      </w:r>
      <w:r>
        <w:tab/>
        <w:t>Alternatively, this fastening may comprise 2 full turns and a spliced eye.</w:t>
      </w:r>
    </w:p>
    <w:p w:rsidR="00B40966" w:rsidRDefault="00B40966">
      <w:pPr>
        <w:pStyle w:val="Amain"/>
      </w:pPr>
      <w:r>
        <w:tab/>
        <w:t>(16)</w:t>
      </w:r>
      <w:r>
        <w:tab/>
        <w:t>The front, or lazy guy, shall be of rope of the same construction as the back guy, not less in circumference than 1</w:t>
      </w:r>
      <w:r>
        <w:rPr>
          <w:position w:val="6"/>
          <w:sz w:val="18"/>
        </w:rPr>
        <w:t>1</w:t>
      </w:r>
      <w:r>
        <w:t>/</w:t>
      </w:r>
      <w:r>
        <w:rPr>
          <w:sz w:val="18"/>
        </w:rPr>
        <w:t>8</w:t>
      </w:r>
      <w:r>
        <w:t xml:space="preserve"> inches, fastened as previously mentioned.</w:t>
      </w:r>
    </w:p>
    <w:p w:rsidR="00B40966" w:rsidRDefault="00B40966">
      <w:pPr>
        <w:pStyle w:val="Amain"/>
      </w:pPr>
      <w:r>
        <w:tab/>
        <w:t>(17)</w:t>
      </w:r>
      <w:r>
        <w:tab/>
        <w:t>Alternatively, the front guy may be of approved fibre rope not less in circumference than 2</w:t>
      </w:r>
      <w:r>
        <w:rPr>
          <w:position w:val="6"/>
          <w:sz w:val="18"/>
        </w:rPr>
        <w:t>1</w:t>
      </w:r>
      <w:r>
        <w:t>/</w:t>
      </w:r>
      <w:r>
        <w:rPr>
          <w:sz w:val="18"/>
        </w:rPr>
        <w:t>2</w:t>
      </w:r>
      <w:r>
        <w:t xml:space="preserve"> inches.</w:t>
      </w:r>
    </w:p>
    <w:p w:rsidR="00B40966" w:rsidRDefault="00B40966">
      <w:pPr>
        <w:pStyle w:val="Amain"/>
      </w:pPr>
      <w:r>
        <w:tab/>
        <w:t>(18)</w:t>
      </w:r>
      <w:r>
        <w:tab/>
        <w:t>The guys shall be so adjusted that the total fore and aft movement of the topmost bolt of the sheerlegs shall not exceed 30 inches in any circumstances.</w:t>
      </w:r>
    </w:p>
    <w:p w:rsidR="00B40966" w:rsidRDefault="00B40966">
      <w:pPr>
        <w:pStyle w:val="Amain"/>
      </w:pPr>
      <w:r>
        <w:tab/>
        <w:t>(19)</w:t>
      </w:r>
      <w:r>
        <w:tab/>
        <w:t>Smooth skids not less in horizontal width than 45 inches shall be provided and fixed in such a way that they guide the barrow or other lifting medium and its load smoothly from level to level.</w:t>
      </w:r>
    </w:p>
    <w:p w:rsidR="00B40966" w:rsidRDefault="00B40966">
      <w:pPr>
        <w:pStyle w:val="Amain"/>
      </w:pPr>
      <w:r>
        <w:tab/>
        <w:t>(20)</w:t>
      </w:r>
      <w:r>
        <w:tab/>
        <w:t>Landings for barrows, or loads, shall be not less than 9 feet in width by 14 feet in length, and shall be provided with handrails at the idle sides.</w:t>
      </w:r>
    </w:p>
    <w:p w:rsidR="00B40966" w:rsidRDefault="00B40966">
      <w:pPr>
        <w:pStyle w:val="Amain"/>
      </w:pPr>
      <w:r>
        <w:tab/>
        <w:t>(21)</w:t>
      </w:r>
      <w:r>
        <w:tab/>
        <w:t>The hauling rope shall lead or pass from the top block in a direction as nearly as practicably parallel to 1 of the legs of the sheerlegs, and then through a guide or deflector block secured to the foot of the leg, or to a point closely adjacent to it, before passing to the winch.</w:t>
      </w:r>
    </w:p>
    <w:p w:rsidR="00B40966" w:rsidRDefault="00B40966">
      <w:pPr>
        <w:pStyle w:val="Amain"/>
      </w:pPr>
      <w:r>
        <w:tab/>
        <w:t>(22)</w:t>
      </w:r>
      <w:r>
        <w:tab/>
        <w:t>Guardrails shall be provided and so fixed, that persons not actively engaged in the hoisting operations are restrained from entering within 15 feet of the skids, and no person unless so engaged shall so enter.</w:t>
      </w:r>
    </w:p>
    <w:p w:rsidR="00B40966" w:rsidRDefault="00B40966">
      <w:pPr>
        <w:pStyle w:val="PageBreak"/>
      </w:pPr>
      <w:r>
        <w:br w:type="page"/>
      </w:r>
    </w:p>
    <w:p w:rsidR="00B40966" w:rsidRDefault="00B40966">
      <w:pPr>
        <w:pStyle w:val="AH2Part"/>
      </w:pPr>
      <w:bookmarkStart w:id="276" w:name="_Toc87258112"/>
      <w:r>
        <w:rPr>
          <w:rStyle w:val="CharPartNo"/>
        </w:rPr>
        <w:t>Part 12</w:t>
      </w:r>
      <w:r>
        <w:tab/>
      </w:r>
      <w:r>
        <w:rPr>
          <w:rStyle w:val="CharPartText"/>
        </w:rPr>
        <w:t>Plant and gear</w:t>
      </w:r>
      <w:bookmarkEnd w:id="276"/>
    </w:p>
    <w:p w:rsidR="00B40966" w:rsidRDefault="00B40966">
      <w:pPr>
        <w:pStyle w:val="AH4SubDiv"/>
      </w:pPr>
      <w:bookmarkStart w:id="277" w:name="_Toc87258113"/>
      <w:r>
        <w:t>General</w:t>
      </w:r>
      <w:bookmarkEnd w:id="277"/>
    </w:p>
    <w:p w:rsidR="00B40966" w:rsidRDefault="00B40966">
      <w:pPr>
        <w:pStyle w:val="AH5Sec"/>
      </w:pPr>
      <w:bookmarkStart w:id="278" w:name="_Toc87258114"/>
      <w:r>
        <w:rPr>
          <w:rStyle w:val="CharSectNo"/>
        </w:rPr>
        <w:t>141</w:t>
      </w:r>
      <w:bookmarkEnd w:id="278"/>
      <w:r>
        <w:tab/>
        <w:t xml:space="preserve">  </w:t>
      </w:r>
    </w:p>
    <w:p w:rsidR="00B40966" w:rsidRDefault="00B40966">
      <w:pPr>
        <w:pStyle w:val="Amain"/>
      </w:pPr>
      <w:r>
        <w:tab/>
        <w:t>(1)</w:t>
      </w:r>
      <w:r>
        <w:tab/>
        <w:t>All plant and gear and every part of it shall be of sound material, good construction, adequate strength, free from patent defects and be suitable and safe for the purpose for which it is intended.</w:t>
      </w:r>
    </w:p>
    <w:p w:rsidR="00B40966" w:rsidRDefault="00B40966">
      <w:pPr>
        <w:pStyle w:val="Amain"/>
      </w:pPr>
      <w:r>
        <w:tab/>
        <w:t>(2)</w:t>
      </w:r>
      <w:r>
        <w:tab/>
        <w:t>If in this part reference is made to any of the rules, codes or specifications of Standards Australia or the British Standards Institution, each shall be interpreted as intended by the rules, codes or specifications.</w:t>
      </w:r>
    </w:p>
    <w:p w:rsidR="00B40966" w:rsidRDefault="00B40966">
      <w:pPr>
        <w:pStyle w:val="Amain"/>
      </w:pPr>
      <w:r>
        <w:tab/>
        <w:t>(3)</w:t>
      </w:r>
      <w:r>
        <w:tab/>
        <w:t>Unless elsewhere more specifically prescribed by this regulation all hooks, rings, egg links, intermediate links, shackles, Bordeaux connections, rope clips, rope sockets, eyebolts, rigging screws, turnbuckles, swivels, and analogous media that conform in all respects with the requirements of a standard specification promulgated by Standards Australia shall be deemed to be within classification 3 of section 122.</w:t>
      </w:r>
    </w:p>
    <w:p w:rsidR="00B40966" w:rsidRDefault="00B40966">
      <w:pPr>
        <w:pStyle w:val="Amain"/>
      </w:pPr>
      <w:r>
        <w:tab/>
        <w:t>(4)</w:t>
      </w:r>
      <w:r>
        <w:tab/>
        <w:t>If the media are to be used in connection with any crane, lift, hoist, scaffolding or plant within classification 4 of section 122, they shall be further increased in strength by not less than 18</w:t>
      </w:r>
      <w:r>
        <w:rPr>
          <w:position w:val="6"/>
          <w:sz w:val="18"/>
        </w:rPr>
        <w:t>1</w:t>
      </w:r>
      <w:r>
        <w:t>/</w:t>
      </w:r>
      <w:r>
        <w:rPr>
          <w:sz w:val="18"/>
        </w:rPr>
        <w:t>2</w:t>
      </w:r>
      <w:r>
        <w:rPr>
          <w:sz w:val="20"/>
        </w:rPr>
        <w:t>%</w:t>
      </w:r>
      <w:r>
        <w:t xml:space="preserve"> .</w:t>
      </w:r>
    </w:p>
    <w:p w:rsidR="00B40966" w:rsidRDefault="00B40966">
      <w:pPr>
        <w:pStyle w:val="AH3Div"/>
      </w:pPr>
      <w:bookmarkStart w:id="279" w:name="_Toc87258115"/>
      <w:r>
        <w:t>Ladders</w:t>
      </w:r>
      <w:bookmarkEnd w:id="279"/>
    </w:p>
    <w:p w:rsidR="00B40966" w:rsidRDefault="00B40966">
      <w:pPr>
        <w:pStyle w:val="AH4SubDiv"/>
      </w:pPr>
      <w:bookmarkStart w:id="280" w:name="_Toc87258116"/>
      <w:r>
        <w:t>Definitions</w:t>
      </w:r>
      <w:bookmarkEnd w:id="280"/>
    </w:p>
    <w:p w:rsidR="00B40966" w:rsidRDefault="00B40966">
      <w:pPr>
        <w:pStyle w:val="AH5Sec"/>
      </w:pPr>
      <w:bookmarkStart w:id="281" w:name="_Toc87258117"/>
      <w:r>
        <w:rPr>
          <w:rStyle w:val="CharSectNo"/>
        </w:rPr>
        <w:t>142</w:t>
      </w:r>
      <w:bookmarkEnd w:id="281"/>
      <w:r>
        <w:tab/>
        <w:t xml:space="preserve">  </w:t>
      </w:r>
    </w:p>
    <w:p w:rsidR="00B40966" w:rsidRDefault="00B40966">
      <w:pPr>
        <w:pStyle w:val="Amain"/>
        <w:keepNext/>
      </w:pPr>
      <w:r>
        <w:tab/>
        <w:t>(1)</w:t>
      </w:r>
      <w:r>
        <w:tab/>
        <w:t>In this section:</w:t>
      </w:r>
    </w:p>
    <w:p w:rsidR="00B40966" w:rsidRDefault="00B40966">
      <w:pPr>
        <w:pStyle w:val="aDef"/>
      </w:pPr>
      <w:r>
        <w:rPr>
          <w:rStyle w:val="charBoldItals"/>
        </w:rPr>
        <w:t>ladder</w:t>
      </w:r>
      <w:r>
        <w:t xml:space="preserve"> means an appliance usually consisting of 2 side rails or stiles joined at regular intervals by cross pieces called steps, rungs or treads, on which a person may rest or step in ascending or descending.</w:t>
      </w:r>
    </w:p>
    <w:p w:rsidR="00B40966" w:rsidRDefault="00B40966">
      <w:pPr>
        <w:pStyle w:val="aDef"/>
      </w:pPr>
      <w:r>
        <w:rPr>
          <w:rStyle w:val="charBoldItals"/>
        </w:rPr>
        <w:t>single ladder</w:t>
      </w:r>
      <w:r>
        <w:t xml:space="preserve"> means a non-self-supporting portable ladder, non</w:t>
      </w:r>
      <w:r>
        <w:noBreakHyphen/>
        <w:t>adjustable in length consisting of but 1 section and its size is designated by the overall length of a side rail.</w:t>
      </w:r>
    </w:p>
    <w:p w:rsidR="00B40966" w:rsidRDefault="00B40966">
      <w:pPr>
        <w:pStyle w:val="aDef"/>
      </w:pPr>
      <w:r>
        <w:rPr>
          <w:rStyle w:val="charBoldItals"/>
        </w:rPr>
        <w:t>extension ladder</w:t>
      </w:r>
      <w:r>
        <w:t xml:space="preserve"> means a non-self-supporting portable ladder adjustable in length, consisting of 2 or more sections being in guides or brackets so arranged to permit length adjustment and its size being designated by the maximum extended working length of the ladder measured along the side rails.</w:t>
      </w:r>
    </w:p>
    <w:p w:rsidR="00B40966" w:rsidRDefault="00B40966">
      <w:pPr>
        <w:pStyle w:val="aDef"/>
      </w:pPr>
      <w:r>
        <w:rPr>
          <w:rStyle w:val="charBoldItals"/>
        </w:rPr>
        <w:t>stepladder</w:t>
      </w:r>
      <w:r>
        <w:t xml:space="preserve"> means a self-supporting portable ladder, non-adjustable in length, having flat steps or treads and hinged back legs and its size being designated by the overall length of the ladder measured along the front edge of the side rails.</w:t>
      </w:r>
    </w:p>
    <w:p w:rsidR="00B40966" w:rsidRDefault="00B40966">
      <w:pPr>
        <w:pStyle w:val="aDef"/>
      </w:pPr>
      <w:r>
        <w:rPr>
          <w:rStyle w:val="charBoldItals"/>
        </w:rPr>
        <w:t>trestle ladder</w:t>
      </w:r>
      <w:r>
        <w:t xml:space="preserve"> means a self-supporting portable ladder consisting of 2 sections hinged at the top to form equal angles with the base and its size is designated by the length of the side rails measured along the front edge.</w:t>
      </w:r>
    </w:p>
    <w:p w:rsidR="00B40966" w:rsidRDefault="00B40966">
      <w:pPr>
        <w:pStyle w:val="aDef"/>
      </w:pPr>
      <w:r>
        <w:rPr>
          <w:rStyle w:val="charBoldItals"/>
        </w:rPr>
        <w:t>fixed ladder</w:t>
      </w:r>
      <w:r>
        <w:t xml:space="preserve"> means a ladder that is permanently attached to a building or structure.</w:t>
      </w:r>
    </w:p>
    <w:p w:rsidR="00B40966" w:rsidRDefault="00B40966">
      <w:pPr>
        <w:pStyle w:val="Assectheading"/>
        <w:rPr>
          <w:i w:val="0"/>
        </w:rPr>
      </w:pPr>
      <w:r>
        <w:rPr>
          <w:rStyle w:val="charItals"/>
          <w:i/>
        </w:rPr>
        <w:t>General</w:t>
      </w:r>
    </w:p>
    <w:p w:rsidR="00B40966" w:rsidRDefault="00B40966">
      <w:pPr>
        <w:pStyle w:val="Amain"/>
      </w:pPr>
      <w:r>
        <w:tab/>
        <w:t>(2)</w:t>
      </w:r>
      <w:r>
        <w:tab/>
        <w:t>Timber used in a ladder shall not be painted.</w:t>
      </w:r>
    </w:p>
    <w:p w:rsidR="00B40966" w:rsidRDefault="00B40966">
      <w:pPr>
        <w:pStyle w:val="Amain"/>
      </w:pPr>
      <w:r>
        <w:tab/>
        <w:t>(3)</w:t>
      </w:r>
      <w:r>
        <w:tab/>
        <w:t>If a timber preservative is used it shall be and remain transparent on the timber.</w:t>
      </w:r>
    </w:p>
    <w:p w:rsidR="00B40966" w:rsidRDefault="00B40966">
      <w:pPr>
        <w:pStyle w:val="Amain"/>
      </w:pPr>
      <w:r>
        <w:tab/>
        <w:t>(4)</w:t>
      </w:r>
      <w:r>
        <w:tab/>
        <w:t>Ladders shall be kept clean and free from dirt, moisture or splashing of paint or materials.</w:t>
      </w:r>
    </w:p>
    <w:p w:rsidR="00B40966" w:rsidRDefault="00B40966">
      <w:pPr>
        <w:pStyle w:val="Amain"/>
      </w:pPr>
      <w:r>
        <w:tab/>
        <w:t>(5)</w:t>
      </w:r>
      <w:r>
        <w:tab/>
        <w:t>Ladders with broken, split, or otherwise defective or loose components shall not be used, or kept or placed where they may be used.</w:t>
      </w:r>
    </w:p>
    <w:p w:rsidR="00B40966" w:rsidRDefault="00B40966">
      <w:pPr>
        <w:pStyle w:val="Amain"/>
      </w:pPr>
      <w:r>
        <w:tab/>
        <w:t>(6)</w:t>
      </w:r>
      <w:r>
        <w:tab/>
        <w:t>All timber shall be dressed on all sides and shall have all corners rounded and free from splinters or slivers.</w:t>
      </w:r>
    </w:p>
    <w:p w:rsidR="00B40966" w:rsidRDefault="00B40966">
      <w:pPr>
        <w:pStyle w:val="Amain"/>
      </w:pPr>
      <w:r>
        <w:tab/>
        <w:t>(7)</w:t>
      </w:r>
      <w:r>
        <w:tab/>
        <w:t>Where nails or screws are required in a connection, at least 2 shall be used unless otherwise prescribed in this section.</w:t>
      </w:r>
    </w:p>
    <w:p w:rsidR="00B40966" w:rsidRDefault="00B40966">
      <w:pPr>
        <w:pStyle w:val="Amain"/>
      </w:pPr>
      <w:r>
        <w:tab/>
        <w:t>(8)</w:t>
      </w:r>
      <w:r>
        <w:tab/>
        <w:t>Unless otherwise approved all materials shall comply with this regulation.</w:t>
      </w:r>
    </w:p>
    <w:p w:rsidR="00B40966" w:rsidRDefault="00B40966">
      <w:pPr>
        <w:pStyle w:val="Amain"/>
      </w:pPr>
      <w:r>
        <w:tab/>
        <w:t>(9)</w:t>
      </w:r>
      <w:r>
        <w:tab/>
        <w:t>Every ladder and every part of it shall be of sound material, good construction, adequate strength, free from patent defects, and be suitable and safe for the purpose for which it is intended.</w:t>
      </w:r>
    </w:p>
    <w:p w:rsidR="00B40966" w:rsidRDefault="00B40966">
      <w:pPr>
        <w:pStyle w:val="Assectheading"/>
        <w:rPr>
          <w:i w:val="0"/>
        </w:rPr>
      </w:pPr>
      <w:r>
        <w:rPr>
          <w:rStyle w:val="charItals"/>
          <w:i/>
        </w:rPr>
        <w:t>Materials</w:t>
      </w:r>
    </w:p>
    <w:p w:rsidR="00B40966" w:rsidRDefault="00B40966">
      <w:pPr>
        <w:pStyle w:val="Amain"/>
      </w:pPr>
      <w:r>
        <w:tab/>
        <w:t>(10)</w:t>
      </w:r>
      <w:r>
        <w:tab/>
        <w:t>All timber used in the construction of ladders shall be of Oregon or other approved timber.</w:t>
      </w:r>
    </w:p>
    <w:p w:rsidR="00B40966" w:rsidRDefault="00B40966">
      <w:pPr>
        <w:pStyle w:val="Amain"/>
      </w:pPr>
      <w:r>
        <w:tab/>
        <w:t>(11)</w:t>
      </w:r>
      <w:r>
        <w:tab/>
        <w:t>All timber shall comply with the provisions of ‘select grade for scantlings’ provided in the Australian Standard Grading Rules (Emergency Series) for Sawn and Hewn Structural Timbers, No (E) O.54-1942, promulgated by Standards Australia, as amended in June, 1944.</w:t>
      </w:r>
    </w:p>
    <w:p w:rsidR="00B40966" w:rsidRDefault="00B40966">
      <w:pPr>
        <w:pStyle w:val="Amain"/>
      </w:pPr>
      <w:r>
        <w:tab/>
        <w:t>(12)</w:t>
      </w:r>
      <w:r>
        <w:tab/>
        <w:t>In addition, the slope of the grain shall not exceed 1 inch in 20 inches and no defect shall occur except in the middle 3rd of the timber cross-section.</w:t>
      </w:r>
    </w:p>
    <w:p w:rsidR="00B40966" w:rsidRDefault="00B40966">
      <w:pPr>
        <w:pStyle w:val="Amain"/>
      </w:pPr>
      <w:r>
        <w:tab/>
        <w:t>(13)</w:t>
      </w:r>
      <w:r>
        <w:tab/>
        <w:t>Brash (Carrotty) timber shall not be used.</w:t>
      </w:r>
    </w:p>
    <w:p w:rsidR="00B40966" w:rsidRDefault="00B40966">
      <w:pPr>
        <w:pStyle w:val="Amain"/>
      </w:pPr>
      <w:r>
        <w:tab/>
        <w:t>(14)</w:t>
      </w:r>
      <w:r>
        <w:tab/>
        <w:t>Low density timber of weight less than 30 pounds per cubic foot shall not be used.</w:t>
      </w:r>
    </w:p>
    <w:p w:rsidR="00B40966" w:rsidRDefault="00B40966">
      <w:pPr>
        <w:pStyle w:val="Assectheading"/>
        <w:rPr>
          <w:i w:val="0"/>
        </w:rPr>
      </w:pPr>
      <w:r>
        <w:rPr>
          <w:rStyle w:val="charItals"/>
          <w:i/>
        </w:rPr>
        <w:t>Single ladders</w:t>
      </w:r>
      <w:r>
        <w:rPr>
          <w:i w:val="0"/>
          <w:color w:val="000000"/>
        </w:rPr>
        <w:t>—</w:t>
      </w:r>
      <w:r>
        <w:rPr>
          <w:rStyle w:val="charItals"/>
          <w:i/>
        </w:rPr>
        <w:t>ladders not to exceed 30 feet in length</w:t>
      </w:r>
    </w:p>
    <w:p w:rsidR="00B40966" w:rsidRDefault="00B40966">
      <w:pPr>
        <w:pStyle w:val="Amain"/>
      </w:pPr>
      <w:r>
        <w:tab/>
        <w:t>(15)</w:t>
      </w:r>
      <w:r>
        <w:tab/>
        <w:t>Single ladders exceeding 30 feet in length shall not be used unless otherwise approved.</w:t>
      </w:r>
    </w:p>
    <w:p w:rsidR="00B40966" w:rsidRDefault="00B40966">
      <w:pPr>
        <w:pStyle w:val="Assectheading"/>
        <w:rPr>
          <w:i w:val="0"/>
          <w:color w:val="000000"/>
        </w:rPr>
      </w:pPr>
      <w:r>
        <w:rPr>
          <w:color w:val="000000"/>
        </w:rPr>
        <w:t>Single ladders—s</w:t>
      </w:r>
      <w:r>
        <w:rPr>
          <w:rStyle w:val="charItals"/>
          <w:i/>
        </w:rPr>
        <w:t>ide rails (stiles)</w:t>
      </w:r>
      <w:r>
        <w:rPr>
          <w:i w:val="0"/>
          <w:color w:val="000000"/>
        </w:rPr>
        <w:t>—</w:t>
      </w:r>
      <w:r>
        <w:rPr>
          <w:rStyle w:val="charItals"/>
          <w:i/>
        </w:rPr>
        <w:t>dimensions</w:t>
      </w:r>
    </w:p>
    <w:p w:rsidR="00B40966" w:rsidRDefault="00B40966">
      <w:pPr>
        <w:pStyle w:val="Amain"/>
      </w:pPr>
      <w:r>
        <w:tab/>
        <w:t>(16)</w:t>
      </w:r>
      <w:r>
        <w:tab/>
        <w:t>The dimensions of side rails shall be not less than those provided in table 142.1:</w:t>
      </w:r>
    </w:p>
    <w:p w:rsidR="00B40966" w:rsidRDefault="00B40966">
      <w:pPr>
        <w:pStyle w:val="TableHd"/>
        <w:ind w:left="1368" w:hanging="1368"/>
      </w:pPr>
      <w:r>
        <w:t>Table 142.1</w:t>
      </w:r>
      <w:r>
        <w:tab/>
        <w:t>Dimensions of timber single ladders</w:t>
      </w:r>
    </w:p>
    <w:tbl>
      <w:tblPr>
        <w:tblW w:w="0" w:type="auto"/>
        <w:tblLayout w:type="fixed"/>
        <w:tblCellMar>
          <w:left w:w="80" w:type="dxa"/>
          <w:right w:w="80" w:type="dxa"/>
        </w:tblCellMar>
        <w:tblLook w:val="0000" w:firstRow="0" w:lastRow="0" w:firstColumn="0" w:lastColumn="0" w:noHBand="0" w:noVBand="0"/>
      </w:tblPr>
      <w:tblGrid>
        <w:gridCol w:w="3240"/>
        <w:gridCol w:w="4040"/>
      </w:tblGrid>
      <w:tr w:rsidR="00B40966">
        <w:trPr>
          <w:cantSplit/>
        </w:trPr>
        <w:tc>
          <w:tcPr>
            <w:tcW w:w="3240" w:type="dxa"/>
            <w:tcBorders>
              <w:bottom w:val="single" w:sz="4" w:space="0" w:color="auto"/>
            </w:tcBorders>
          </w:tcPr>
          <w:p w:rsidR="00B40966" w:rsidRDefault="00B40966">
            <w:pPr>
              <w:pStyle w:val="TableColHd"/>
            </w:pPr>
            <w:r>
              <w:t xml:space="preserve">ladder length </w:t>
            </w:r>
            <w:r>
              <w:br/>
              <w:t>(in feet)</w:t>
            </w:r>
          </w:p>
        </w:tc>
        <w:tc>
          <w:tcPr>
            <w:tcW w:w="4040" w:type="dxa"/>
            <w:tcBorders>
              <w:bottom w:val="single" w:sz="4" w:space="0" w:color="auto"/>
            </w:tcBorders>
          </w:tcPr>
          <w:p w:rsidR="00B40966" w:rsidRDefault="00B40966">
            <w:pPr>
              <w:pStyle w:val="TableColHd"/>
            </w:pPr>
            <w:r>
              <w:t>side rails (stiles) least dimensions</w:t>
            </w:r>
            <w:r>
              <w:br/>
              <w:t xml:space="preserve"> (in inches)</w:t>
            </w:r>
          </w:p>
        </w:tc>
      </w:tr>
      <w:tr w:rsidR="00B40966">
        <w:trPr>
          <w:cantSplit/>
        </w:trPr>
        <w:tc>
          <w:tcPr>
            <w:tcW w:w="3240" w:type="dxa"/>
            <w:tcBorders>
              <w:top w:val="single" w:sz="4" w:space="0" w:color="auto"/>
            </w:tcBorders>
          </w:tcPr>
          <w:p w:rsidR="00B40966" w:rsidRDefault="00B40966">
            <w:pPr>
              <w:pStyle w:val="TableText"/>
            </w:pPr>
            <w:r>
              <w:t>14 and under</w:t>
            </w:r>
          </w:p>
        </w:tc>
        <w:tc>
          <w:tcPr>
            <w:tcW w:w="4040" w:type="dxa"/>
            <w:tcBorders>
              <w:top w:val="single" w:sz="4" w:space="0" w:color="auto"/>
            </w:tcBorders>
          </w:tcPr>
          <w:p w:rsidR="00B40966" w:rsidRDefault="00B40966">
            <w:pPr>
              <w:pStyle w:val="TableText"/>
            </w:pPr>
            <w:r>
              <w:t>2</w:t>
            </w:r>
            <w:r>
              <w:rPr>
                <w:position w:val="6"/>
                <w:sz w:val="18"/>
              </w:rPr>
              <w:t>1</w:t>
            </w:r>
            <w:r>
              <w:t>/</w:t>
            </w:r>
            <w:r>
              <w:rPr>
                <w:sz w:val="18"/>
              </w:rPr>
              <w:t>2</w:t>
            </w:r>
            <w:r>
              <w:t xml:space="preserve"> </w:t>
            </w:r>
            <w:r>
              <w:sym w:font="Symbol" w:char="F0B4"/>
            </w:r>
            <w:r>
              <w:t xml:space="preserve"> 1</w:t>
            </w:r>
            <w:r>
              <w:rPr>
                <w:position w:val="6"/>
                <w:sz w:val="18"/>
              </w:rPr>
              <w:t>3</w:t>
            </w:r>
            <w:r>
              <w:t>/</w:t>
            </w:r>
            <w:r>
              <w:rPr>
                <w:sz w:val="18"/>
              </w:rPr>
              <w:t>8</w:t>
            </w:r>
          </w:p>
        </w:tc>
      </w:tr>
      <w:tr w:rsidR="00B40966">
        <w:trPr>
          <w:cantSplit/>
        </w:trPr>
        <w:tc>
          <w:tcPr>
            <w:tcW w:w="3240" w:type="dxa"/>
          </w:tcPr>
          <w:p w:rsidR="00B40966" w:rsidRDefault="00B40966">
            <w:pPr>
              <w:pStyle w:val="TableText"/>
            </w:pPr>
            <w:r>
              <w:t>15 to 22</w:t>
            </w:r>
          </w:p>
        </w:tc>
        <w:tc>
          <w:tcPr>
            <w:tcW w:w="4040" w:type="dxa"/>
          </w:tcPr>
          <w:p w:rsidR="00B40966" w:rsidRDefault="00B40966">
            <w:pPr>
              <w:pStyle w:val="TableText"/>
            </w:pPr>
            <w:r>
              <w:t>3</w:t>
            </w:r>
            <w:r>
              <w:rPr>
                <w:position w:val="6"/>
                <w:sz w:val="18"/>
              </w:rPr>
              <w:t>1</w:t>
            </w:r>
            <w:r>
              <w:t>/</w:t>
            </w:r>
            <w:r>
              <w:rPr>
                <w:sz w:val="18"/>
              </w:rPr>
              <w:t>4</w:t>
            </w:r>
            <w:r>
              <w:t xml:space="preserve"> </w:t>
            </w:r>
            <w:r>
              <w:sym w:font="Symbol" w:char="F0B4"/>
            </w:r>
            <w:r>
              <w:t xml:space="preserve"> 1</w:t>
            </w:r>
            <w:r>
              <w:rPr>
                <w:position w:val="6"/>
                <w:sz w:val="18"/>
              </w:rPr>
              <w:t>3</w:t>
            </w:r>
            <w:r>
              <w:t>/</w:t>
            </w:r>
            <w:r>
              <w:rPr>
                <w:sz w:val="18"/>
              </w:rPr>
              <w:t>8</w:t>
            </w:r>
          </w:p>
        </w:tc>
      </w:tr>
      <w:tr w:rsidR="00B40966">
        <w:trPr>
          <w:cantSplit/>
        </w:trPr>
        <w:tc>
          <w:tcPr>
            <w:tcW w:w="3240" w:type="dxa"/>
          </w:tcPr>
          <w:p w:rsidR="00B40966" w:rsidRDefault="00B40966">
            <w:pPr>
              <w:pStyle w:val="TableText"/>
            </w:pPr>
            <w:r>
              <w:t>22 to 30</w:t>
            </w:r>
          </w:p>
        </w:tc>
        <w:tc>
          <w:tcPr>
            <w:tcW w:w="4040" w:type="dxa"/>
          </w:tcPr>
          <w:p w:rsidR="00B40966" w:rsidRDefault="00B40966">
            <w:pPr>
              <w:pStyle w:val="TableText"/>
            </w:pPr>
            <w:r>
              <w:t>3</w:t>
            </w:r>
            <w:r>
              <w:rPr>
                <w:position w:val="6"/>
                <w:sz w:val="18"/>
              </w:rPr>
              <w:t>3</w:t>
            </w:r>
            <w:r>
              <w:t>/</w:t>
            </w:r>
            <w:r>
              <w:rPr>
                <w:sz w:val="18"/>
              </w:rPr>
              <w:t>4</w:t>
            </w:r>
            <w:r>
              <w:t xml:space="preserve"> </w:t>
            </w:r>
            <w:r>
              <w:sym w:font="Symbol" w:char="F0B4"/>
            </w:r>
            <w:r>
              <w:t xml:space="preserve"> 1</w:t>
            </w:r>
            <w:r>
              <w:rPr>
                <w:position w:val="6"/>
                <w:sz w:val="18"/>
              </w:rPr>
              <w:t>3</w:t>
            </w:r>
            <w:r>
              <w:t>/</w:t>
            </w:r>
            <w:r>
              <w:rPr>
                <w:sz w:val="18"/>
              </w:rPr>
              <w:t>4</w:t>
            </w:r>
          </w:p>
        </w:tc>
      </w:tr>
    </w:tbl>
    <w:p w:rsidR="00B40966" w:rsidRDefault="00B40966">
      <w:pPr>
        <w:pStyle w:val="Assectheading"/>
        <w:rPr>
          <w:i w:val="0"/>
          <w:color w:val="000000"/>
        </w:rPr>
      </w:pPr>
      <w:r>
        <w:rPr>
          <w:color w:val="000000"/>
        </w:rPr>
        <w:t>Single ladders—s</w:t>
      </w:r>
      <w:r>
        <w:rPr>
          <w:rStyle w:val="charItals"/>
          <w:i/>
        </w:rPr>
        <w:t>ide rails (stiles)</w:t>
      </w:r>
      <w:r>
        <w:rPr>
          <w:i w:val="0"/>
          <w:color w:val="000000"/>
        </w:rPr>
        <w:t>—</w:t>
      </w:r>
      <w:r>
        <w:rPr>
          <w:rStyle w:val="charItals"/>
          <w:i/>
        </w:rPr>
        <w:t>drilling for rungs</w:t>
      </w:r>
    </w:p>
    <w:p w:rsidR="00B40966" w:rsidRDefault="00B40966">
      <w:pPr>
        <w:pStyle w:val="Amain"/>
      </w:pPr>
      <w:r>
        <w:tab/>
        <w:t>(17)</w:t>
      </w:r>
      <w:r>
        <w:tab/>
        <w:t>All holes for rungs shall be accurately bored through the centre-line of the wide face of each side rail.</w:t>
      </w:r>
    </w:p>
    <w:p w:rsidR="00B40966" w:rsidRDefault="00B40966">
      <w:pPr>
        <w:pStyle w:val="Amain"/>
      </w:pPr>
      <w:r>
        <w:tab/>
        <w:t>(18)</w:t>
      </w:r>
      <w:r>
        <w:tab/>
        <w:t>If practicable rungs shall not fit through the full thickness of side rail.</w:t>
      </w:r>
    </w:p>
    <w:p w:rsidR="00B40966" w:rsidRDefault="00B40966">
      <w:pPr>
        <w:pStyle w:val="Amain"/>
      </w:pPr>
      <w:r>
        <w:tab/>
        <w:t>(19)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B40966" w:rsidRDefault="00B40966">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between side rails</w:t>
      </w:r>
    </w:p>
    <w:p w:rsidR="00B40966" w:rsidRDefault="00B40966">
      <w:pPr>
        <w:pStyle w:val="Amain"/>
      </w:pPr>
      <w:r>
        <w:tab/>
        <w:t>(20)</w:t>
      </w:r>
      <w:r>
        <w:tab/>
        <w:t>The width between inside faces of side rails shall be not less than 10</w:t>
      </w:r>
      <w:r>
        <w:rPr>
          <w:position w:val="6"/>
          <w:sz w:val="18"/>
        </w:rPr>
        <w:t>1</w:t>
      </w:r>
      <w:r>
        <w:t>/</w:t>
      </w:r>
      <w:r>
        <w:rPr>
          <w:sz w:val="18"/>
        </w:rPr>
        <w:t>2</w:t>
      </w:r>
      <w:r>
        <w:t xml:space="preserve"> inches and shall not be more than 14 inches, unless otherwise approved.</w:t>
      </w:r>
    </w:p>
    <w:p w:rsidR="00B40966" w:rsidRDefault="00B40966">
      <w:pPr>
        <w:pStyle w:val="Assectheading"/>
        <w:rPr>
          <w:i w:val="0"/>
          <w:color w:val="000000"/>
        </w:rPr>
      </w:pPr>
      <w:r>
        <w:rPr>
          <w:color w:val="000000"/>
        </w:rPr>
        <w:t>Single ladders—s</w:t>
      </w:r>
      <w:r>
        <w:rPr>
          <w:rStyle w:val="charItals"/>
          <w:i/>
        </w:rPr>
        <w:t>ide rails (stiles)</w:t>
      </w:r>
      <w:r>
        <w:rPr>
          <w:i w:val="0"/>
          <w:color w:val="000000"/>
        </w:rPr>
        <w:t>—</w:t>
      </w:r>
      <w:r>
        <w:rPr>
          <w:rStyle w:val="charItals"/>
          <w:i/>
        </w:rPr>
        <w:t>spacing of rungs</w:t>
      </w:r>
    </w:p>
    <w:p w:rsidR="00B40966" w:rsidRDefault="00B40966">
      <w:pPr>
        <w:pStyle w:val="Amain"/>
      </w:pPr>
      <w:r>
        <w:tab/>
        <w:t>(21)</w:t>
      </w:r>
      <w:r>
        <w:tab/>
        <w:t>All rungs shall be equally spaced.</w:t>
      </w:r>
    </w:p>
    <w:p w:rsidR="00B40966" w:rsidRDefault="00B40966">
      <w:pPr>
        <w:pStyle w:val="Amain"/>
      </w:pPr>
      <w:r>
        <w:tab/>
        <w:t>(22)</w:t>
      </w:r>
      <w:r>
        <w:tab/>
        <w:t>The spacing shall be not less than 8</w:t>
      </w:r>
      <w:r>
        <w:rPr>
          <w:position w:val="6"/>
          <w:sz w:val="18"/>
        </w:rPr>
        <w:t>1</w:t>
      </w:r>
      <w:r>
        <w:t>/</w:t>
      </w:r>
      <w:r>
        <w:rPr>
          <w:sz w:val="18"/>
        </w:rPr>
        <w:t>2</w:t>
      </w:r>
      <w:r>
        <w:t xml:space="preserve"> inches or more than 10</w:t>
      </w:r>
      <w:r>
        <w:rPr>
          <w:position w:val="6"/>
          <w:sz w:val="18"/>
        </w:rPr>
        <w:t>1</w:t>
      </w:r>
      <w:r>
        <w:t>/</w:t>
      </w:r>
      <w:r>
        <w:rPr>
          <w:sz w:val="18"/>
        </w:rPr>
        <w:t>2 </w:t>
      </w:r>
      <w:r>
        <w:t>inches measured centre to centre unless otherwise approved.</w:t>
      </w:r>
    </w:p>
    <w:p w:rsidR="00B40966" w:rsidRDefault="00B40966">
      <w:pPr>
        <w:pStyle w:val="Amain"/>
      </w:pPr>
      <w:r>
        <w:tab/>
        <w:t>(23)</w:t>
      </w:r>
      <w:r>
        <w:tab/>
        <w:t>The distance from the bottom of the side rails to the centre of the nearest rung shall be the same as the spacing of the rungs.</w:t>
      </w:r>
    </w:p>
    <w:p w:rsidR="00B40966" w:rsidRDefault="00B40966">
      <w:pPr>
        <w:pStyle w:val="Assectheading"/>
        <w:rPr>
          <w:i w:val="0"/>
          <w:color w:val="000000"/>
        </w:rPr>
      </w:pPr>
      <w:r>
        <w:rPr>
          <w:color w:val="000000"/>
        </w:rPr>
        <w:t>Single ladders—</w:t>
      </w:r>
      <w:r>
        <w:rPr>
          <w:rStyle w:val="charItals"/>
          <w:i/>
        </w:rPr>
        <w:t>rungs—material</w:t>
      </w:r>
    </w:p>
    <w:p w:rsidR="00B40966" w:rsidRDefault="00B40966">
      <w:pPr>
        <w:pStyle w:val="Amain"/>
      </w:pPr>
      <w:r>
        <w:tab/>
        <w:t>(24)</w:t>
      </w:r>
      <w:r>
        <w:tab/>
        <w:t>All rungs shall be of spotted gum or other timber of at least equivalent strength and suitability.</w:t>
      </w:r>
    </w:p>
    <w:p w:rsidR="00B40966" w:rsidRDefault="00B40966">
      <w:pPr>
        <w:pStyle w:val="Amain"/>
      </w:pPr>
      <w:r>
        <w:tab/>
        <w:t>(25)</w:t>
      </w:r>
      <w:r>
        <w:tab/>
        <w:t>All timber so used shall be well-seasoned, straight-grained, free from sap wood, knots and other defects.</w:t>
      </w:r>
    </w:p>
    <w:p w:rsidR="00B40966" w:rsidRDefault="00B40966">
      <w:pPr>
        <w:pStyle w:val="Assectheading"/>
        <w:rPr>
          <w:i w:val="0"/>
          <w:color w:val="000000"/>
        </w:rPr>
      </w:pPr>
      <w:r>
        <w:rPr>
          <w:color w:val="000000"/>
        </w:rPr>
        <w:t>Single ladders—</w:t>
      </w:r>
      <w:r>
        <w:rPr>
          <w:rStyle w:val="charItals"/>
          <w:i/>
        </w:rPr>
        <w:t>rungs—dimensions</w:t>
      </w:r>
    </w:p>
    <w:p w:rsidR="00B40966" w:rsidRDefault="00B40966">
      <w:pPr>
        <w:pStyle w:val="Amain"/>
      </w:pPr>
      <w:r>
        <w:tab/>
        <w:t>(26)</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B40966" w:rsidRDefault="00B40966">
      <w:pPr>
        <w:pStyle w:val="Amain"/>
      </w:pPr>
      <w:r>
        <w:tab/>
        <w:t>(27)</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rails.</w:t>
      </w:r>
    </w:p>
    <w:p w:rsidR="00B40966" w:rsidRDefault="00B40966">
      <w:pPr>
        <w:pStyle w:val="Assectheading"/>
        <w:rPr>
          <w:i w:val="0"/>
          <w:color w:val="000000"/>
        </w:rPr>
      </w:pPr>
      <w:r>
        <w:rPr>
          <w:color w:val="000000"/>
        </w:rPr>
        <w:t>Single ladders—</w:t>
      </w:r>
      <w:r>
        <w:rPr>
          <w:rStyle w:val="charItals"/>
          <w:i/>
        </w:rPr>
        <w:t>rungs—attachment of rungs to side rails</w:t>
      </w:r>
    </w:p>
    <w:p w:rsidR="00B40966" w:rsidRDefault="00B40966">
      <w:pPr>
        <w:pStyle w:val="Amain"/>
      </w:pPr>
      <w:r>
        <w:tab/>
        <w:t>(28)</w:t>
      </w:r>
      <w:r>
        <w:tab/>
        <w:t>Rung tenons shall be a tight fit in the side rails and the shoulders shall fit accurately against the side rails.</w:t>
      </w:r>
    </w:p>
    <w:p w:rsidR="00B40966" w:rsidRDefault="00B40966">
      <w:pPr>
        <w:pStyle w:val="Amain"/>
      </w:pPr>
      <w:r>
        <w:tab/>
        <w:t>(29)</w:t>
      </w:r>
      <w:r>
        <w:tab/>
        <w:t>Each rung tenon shall be prevented from turning by means of a nail at least 0.104 inches diameter (12</w:t>
      </w:r>
      <w:r>
        <w:rPr>
          <w:b/>
        </w:rPr>
        <w:t xml:space="preserve"> </w:t>
      </w:r>
      <w:r>
        <w:t>gauge), driven through the narrow edge of the side rail and passing completely through the rung tenon.</w:t>
      </w:r>
    </w:p>
    <w:p w:rsidR="00B40966" w:rsidRDefault="00B40966">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material</w:t>
      </w:r>
    </w:p>
    <w:p w:rsidR="00B40966" w:rsidRDefault="00B40966">
      <w:pPr>
        <w:pStyle w:val="Amain"/>
      </w:pPr>
      <w:r>
        <w:tab/>
        <w:t>(30)</w:t>
      </w:r>
      <w:r>
        <w:tab/>
        <w:t>Ties shall be of steel or other approved material.</w:t>
      </w:r>
    </w:p>
    <w:p w:rsidR="00B40966" w:rsidRDefault="00B40966">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dimensions</w:t>
      </w:r>
    </w:p>
    <w:p w:rsidR="00B40966" w:rsidRDefault="00B40966">
      <w:pPr>
        <w:pStyle w:val="Amain"/>
      </w:pPr>
      <w:r>
        <w:tab/>
        <w:t>(31)</w:t>
      </w:r>
      <w:r>
        <w:tab/>
        <w:t xml:space="preserve">Ties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diameter and shall be fitted with washers at each end made of at least 0.05 inches thickness (18 gauge steel), twice the diameter of the tie rod hole in each side rail.</w:t>
      </w:r>
    </w:p>
    <w:p w:rsidR="00B40966" w:rsidRDefault="00B40966">
      <w:pPr>
        <w:pStyle w:val="Assectheading"/>
        <w:rPr>
          <w:i w:val="0"/>
          <w:color w:val="000000"/>
        </w:rPr>
      </w:pPr>
      <w:r>
        <w:rPr>
          <w:color w:val="000000"/>
        </w:rPr>
        <w:t>Single ladders—</w:t>
      </w:r>
      <w:r>
        <w:rPr>
          <w:rStyle w:val="charItals"/>
          <w:i/>
        </w:rPr>
        <w:t xml:space="preserve"> ties—side rail to side rail</w:t>
      </w:r>
      <w:r>
        <w:rPr>
          <w:i w:val="0"/>
          <w:color w:val="000000"/>
        </w:rPr>
        <w:t>—</w:t>
      </w:r>
      <w:r>
        <w:rPr>
          <w:rStyle w:val="charItals"/>
          <w:i/>
        </w:rPr>
        <w:t>spacing of ties</w:t>
      </w:r>
    </w:p>
    <w:p w:rsidR="00B40966" w:rsidRDefault="00B40966">
      <w:pPr>
        <w:pStyle w:val="Amain"/>
      </w:pPr>
      <w:r>
        <w:tab/>
        <w:t>(32)</w:t>
      </w:r>
      <w:r>
        <w:tab/>
        <w:t>A tie shall be fitted at the top and bottom rungs.</w:t>
      </w:r>
    </w:p>
    <w:p w:rsidR="00B40966" w:rsidRDefault="00B40966">
      <w:pPr>
        <w:pStyle w:val="Amain"/>
      </w:pPr>
      <w:r>
        <w:tab/>
        <w:t>(33)</w:t>
      </w:r>
      <w:r>
        <w:tab/>
        <w:t>Intermediate ties shall be fitted to at least every 6th rung.</w:t>
      </w:r>
    </w:p>
    <w:p w:rsidR="00B40966" w:rsidRDefault="00B40966">
      <w:pPr>
        <w:pStyle w:val="Amain"/>
      </w:pPr>
      <w:r>
        <w:tab/>
        <w:t>(34)</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B40966" w:rsidRDefault="00B40966">
      <w:pPr>
        <w:pStyle w:val="Assectheading"/>
        <w:rPr>
          <w:i w:val="0"/>
        </w:rPr>
      </w:pPr>
      <w:r>
        <w:rPr>
          <w:rStyle w:val="charItals"/>
          <w:i/>
        </w:rPr>
        <w:t>Extension ladders</w:t>
      </w:r>
      <w:r>
        <w:rPr>
          <w:i w:val="0"/>
          <w:color w:val="000000"/>
        </w:rPr>
        <w:t>—</w:t>
      </w:r>
      <w:r>
        <w:rPr>
          <w:rStyle w:val="charItals"/>
          <w:i/>
        </w:rPr>
        <w:t>extension ladders not to exceed 50 feet in length</w:t>
      </w:r>
    </w:p>
    <w:p w:rsidR="00B40966" w:rsidRDefault="00B40966">
      <w:pPr>
        <w:pStyle w:val="Amain"/>
      </w:pPr>
      <w:r>
        <w:tab/>
        <w:t>(35)</w:t>
      </w:r>
      <w:r>
        <w:tab/>
        <w:t>An extension ladder exceeding 50 feet in length shall not be used unless otherwise approved.</w:t>
      </w:r>
    </w:p>
    <w:p w:rsidR="00B40966" w:rsidRDefault="00B40966">
      <w:pPr>
        <w:pStyle w:val="Assectheading"/>
        <w:rPr>
          <w:i w:val="0"/>
        </w:rPr>
      </w:pPr>
      <w:r>
        <w:rPr>
          <w:rStyle w:val="charItals"/>
          <w:i/>
        </w:rPr>
        <w:t>Extension ladders—side rails (stiles)—dimensions</w:t>
      </w:r>
    </w:p>
    <w:p w:rsidR="00B40966" w:rsidRDefault="00B40966">
      <w:pPr>
        <w:pStyle w:val="Amain"/>
      </w:pPr>
      <w:r>
        <w:tab/>
        <w:t>(36)</w:t>
      </w:r>
      <w:r>
        <w:tab/>
        <w:t>Side rails shall have dimensions not less than those provided in table 142.2.</w:t>
      </w:r>
    </w:p>
    <w:p w:rsidR="00B40966" w:rsidRDefault="00B40966">
      <w:pPr>
        <w:pStyle w:val="aNote"/>
      </w:pPr>
      <w:r>
        <w:rPr>
          <w:i/>
          <w:iCs/>
        </w:rPr>
        <w:t>Note</w:t>
      </w:r>
      <w:r>
        <w:tab/>
        <w:t>Table 142.2 is after s (66).</w:t>
      </w:r>
    </w:p>
    <w:p w:rsidR="00B40966" w:rsidRDefault="00B40966">
      <w:pPr>
        <w:pStyle w:val="Assectheading"/>
        <w:rPr>
          <w:i w:val="0"/>
        </w:rPr>
      </w:pPr>
      <w:r>
        <w:rPr>
          <w:rStyle w:val="charItals"/>
          <w:i/>
        </w:rPr>
        <w:t>Extension ladders—side rails (stiles)—drilling for rungs</w:t>
      </w:r>
    </w:p>
    <w:p w:rsidR="00B40966" w:rsidRDefault="00B40966">
      <w:pPr>
        <w:pStyle w:val="Amain"/>
      </w:pPr>
      <w:r>
        <w:tab/>
        <w:t>(37)</w:t>
      </w:r>
      <w:r>
        <w:tab/>
        <w:t>All holes for rungs shall be accurately bored through the centre-line of the wide face of side rails.</w:t>
      </w:r>
    </w:p>
    <w:p w:rsidR="00B40966" w:rsidRDefault="00B40966">
      <w:pPr>
        <w:pStyle w:val="Amain"/>
      </w:pPr>
      <w:r>
        <w:tab/>
        <w:t>(38)</w:t>
      </w:r>
      <w:r>
        <w:tab/>
        <w:t>If practicable rungs shall not fit through the full thickness of side rail.</w:t>
      </w:r>
    </w:p>
    <w:p w:rsidR="00B40966" w:rsidRDefault="00B40966">
      <w:pPr>
        <w:pStyle w:val="Amain"/>
      </w:pPr>
      <w:r>
        <w:tab/>
        <w:t>(39)</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B40966" w:rsidRDefault="00B40966">
      <w:pPr>
        <w:pStyle w:val="Assectheading"/>
        <w:rPr>
          <w:i w:val="0"/>
        </w:rPr>
      </w:pPr>
      <w:r>
        <w:rPr>
          <w:rStyle w:val="charItals"/>
          <w:i/>
        </w:rPr>
        <w:t>Extension ladders—side rails (stiles)—spacing of rungs</w:t>
      </w:r>
    </w:p>
    <w:p w:rsidR="00B40966" w:rsidRDefault="00B40966">
      <w:pPr>
        <w:pStyle w:val="Amain"/>
      </w:pPr>
      <w:r>
        <w:tab/>
        <w:t>(40)</w:t>
      </w:r>
      <w:r>
        <w:tab/>
        <w:t>All rungs shall be equally spaced.</w:t>
      </w:r>
    </w:p>
    <w:p w:rsidR="00B40966" w:rsidRDefault="00B40966">
      <w:pPr>
        <w:pStyle w:val="Amain"/>
      </w:pPr>
      <w:r>
        <w:tab/>
        <w:t>(41)</w:t>
      </w:r>
      <w:r>
        <w:tab/>
        <w:t>The spacing shall be 12</w:t>
      </w:r>
      <w:r>
        <w:rPr>
          <w:b/>
        </w:rPr>
        <w:t xml:space="preserve"> </w:t>
      </w:r>
      <w:r>
        <w:t>inches measured centre to centre.</w:t>
      </w:r>
    </w:p>
    <w:p w:rsidR="00B40966" w:rsidRDefault="00B40966">
      <w:pPr>
        <w:pStyle w:val="Assectheading"/>
        <w:rPr>
          <w:i w:val="0"/>
        </w:rPr>
      </w:pPr>
      <w:r>
        <w:rPr>
          <w:rStyle w:val="charItals"/>
          <w:i/>
        </w:rPr>
        <w:t>Extension ladders—side rails (stiles)—spacing between side rails</w:t>
      </w:r>
    </w:p>
    <w:p w:rsidR="00B40966" w:rsidRDefault="00B40966">
      <w:pPr>
        <w:pStyle w:val="Amain"/>
      </w:pPr>
      <w:r>
        <w:tab/>
        <w:t>(42)</w:t>
      </w:r>
      <w:r>
        <w:tab/>
        <w:t>The width between inside faces of side rails shall be not less than 10</w:t>
      </w:r>
      <w:r>
        <w:rPr>
          <w:position w:val="6"/>
          <w:sz w:val="18"/>
        </w:rPr>
        <w:t>1</w:t>
      </w:r>
      <w:r>
        <w:t>/</w:t>
      </w:r>
      <w:r>
        <w:rPr>
          <w:sz w:val="18"/>
        </w:rPr>
        <w:t>2</w:t>
      </w:r>
      <w:r>
        <w:t xml:space="preserve"> inches and not more than 15 inches.</w:t>
      </w:r>
    </w:p>
    <w:p w:rsidR="00B40966" w:rsidRDefault="00B40966">
      <w:pPr>
        <w:pStyle w:val="Assectheading"/>
        <w:rPr>
          <w:i w:val="0"/>
        </w:rPr>
      </w:pPr>
      <w:r>
        <w:rPr>
          <w:rStyle w:val="charItals"/>
          <w:i/>
        </w:rPr>
        <w:t>Extension ladders—side rails (stiles)—reinforcing of side rails</w:t>
      </w:r>
    </w:p>
    <w:p w:rsidR="00B40966" w:rsidRDefault="00B40966">
      <w:pPr>
        <w:pStyle w:val="Amain"/>
      </w:pPr>
      <w:r>
        <w:tab/>
        <w:t>(43)</w:t>
      </w:r>
      <w:r>
        <w:tab/>
        <w:t>The tension edge of each side rail shall be grooved and fitted with galvanised steel reinforcing wire or its approved equivalent.</w:t>
      </w:r>
    </w:p>
    <w:p w:rsidR="00B40966" w:rsidRDefault="00B40966">
      <w:pPr>
        <w:pStyle w:val="Amain"/>
        <w:keepLines/>
      </w:pPr>
      <w:r>
        <w:tab/>
        <w:t>(44)</w:t>
      </w:r>
      <w:r>
        <w:tab/>
        <w:t>Wire of size not less than 0.128 inches diameter (10 gauge) shall be used for extension ladders of 32 feet or under and wire of size of not less than 0.16 inches diameter (8</w:t>
      </w:r>
      <w:r>
        <w:rPr>
          <w:b/>
        </w:rPr>
        <w:t xml:space="preserve"> </w:t>
      </w:r>
      <w:r>
        <w:t>gauge) shall be used for extension ladders over 32 feet in length.</w:t>
      </w:r>
    </w:p>
    <w:p w:rsidR="00B40966" w:rsidRDefault="00B40966">
      <w:pPr>
        <w:pStyle w:val="Amain"/>
      </w:pPr>
      <w:r>
        <w:tab/>
        <w:t>(45)</w:t>
      </w:r>
      <w:r>
        <w:tab/>
        <w:t>This wire shall be so fitted that when the ladder is straight the wire is sufficiently tensioned to keep it taut at the bottom of the groove.</w:t>
      </w:r>
    </w:p>
    <w:p w:rsidR="00B40966" w:rsidRDefault="00B40966">
      <w:pPr>
        <w:pStyle w:val="Amain"/>
      </w:pPr>
      <w:r>
        <w:tab/>
        <w:t>(46)</w:t>
      </w:r>
      <w:r>
        <w:tab/>
        <w:t>The wire shall be stapled in the groove and anchored at each end in an approved way.</w:t>
      </w:r>
    </w:p>
    <w:p w:rsidR="00B40966" w:rsidRDefault="00B40966">
      <w:pPr>
        <w:pStyle w:val="Assectheading"/>
        <w:rPr>
          <w:i w:val="0"/>
        </w:rPr>
      </w:pPr>
      <w:r>
        <w:rPr>
          <w:rStyle w:val="charItals"/>
          <w:i/>
        </w:rPr>
        <w:t>Extension ladders—side rails (stiles)—overlap of side rails when fully extended</w:t>
      </w:r>
    </w:p>
    <w:p w:rsidR="00B40966" w:rsidRDefault="00B40966">
      <w:pPr>
        <w:pStyle w:val="Amain"/>
      </w:pPr>
      <w:r>
        <w:tab/>
        <w:t>(47)</w:t>
      </w:r>
      <w:r>
        <w:tab/>
        <w:t>The overlap of each side rail in the fully extended position shall be not less than that in table 142.2.</w:t>
      </w:r>
    </w:p>
    <w:p w:rsidR="00B40966" w:rsidRDefault="00B40966">
      <w:pPr>
        <w:pStyle w:val="aNote"/>
      </w:pPr>
      <w:r>
        <w:rPr>
          <w:i/>
          <w:iCs/>
        </w:rPr>
        <w:t>Note</w:t>
      </w:r>
      <w:r>
        <w:tab/>
        <w:t>Table 142.2 is after s (66).</w:t>
      </w:r>
    </w:p>
    <w:p w:rsidR="00B40966" w:rsidRDefault="00B40966">
      <w:pPr>
        <w:pStyle w:val="Assectheading"/>
        <w:rPr>
          <w:i w:val="0"/>
        </w:rPr>
      </w:pPr>
      <w:r>
        <w:rPr>
          <w:rStyle w:val="charItals"/>
          <w:i/>
        </w:rPr>
        <w:t>Extension ladders—rungs—material</w:t>
      </w:r>
    </w:p>
    <w:p w:rsidR="00B40966" w:rsidRDefault="00B40966">
      <w:pPr>
        <w:pStyle w:val="Amain"/>
      </w:pPr>
      <w:r>
        <w:tab/>
        <w:t>(48)</w:t>
      </w:r>
      <w:r>
        <w:tab/>
        <w:t>All rungs shall be made of spotted gum or other approved timber of equivalent characteristics and suitability.</w:t>
      </w:r>
    </w:p>
    <w:p w:rsidR="00B40966" w:rsidRDefault="00B40966">
      <w:pPr>
        <w:pStyle w:val="Amain"/>
      </w:pPr>
      <w:r>
        <w:tab/>
        <w:t>(49)</w:t>
      </w:r>
      <w:r>
        <w:tab/>
        <w:t>The timber so used shall be well-seasoned, straight-grained, free from sapwood, knots and other defects.</w:t>
      </w:r>
    </w:p>
    <w:p w:rsidR="00B40966" w:rsidRDefault="00B40966">
      <w:pPr>
        <w:pStyle w:val="Assectheading"/>
        <w:rPr>
          <w:i w:val="0"/>
        </w:rPr>
      </w:pPr>
      <w:r>
        <w:rPr>
          <w:rStyle w:val="charItals"/>
          <w:i/>
        </w:rPr>
        <w:t>Extension ladders—rungs—dimensions</w:t>
      </w:r>
    </w:p>
    <w:p w:rsidR="00B40966" w:rsidRDefault="00B40966">
      <w:pPr>
        <w:pStyle w:val="Amain"/>
      </w:pPr>
      <w:r>
        <w:tab/>
        <w:t>(50)</w:t>
      </w:r>
      <w:r>
        <w:tab/>
        <w:t>Rungs shall be 1</w:t>
      </w:r>
      <w:r>
        <w:rPr>
          <w:position w:val="6"/>
          <w:sz w:val="18"/>
        </w:rPr>
        <w:t>1</w:t>
      </w:r>
      <w:r>
        <w:t>/</w:t>
      </w:r>
      <w:r>
        <w:rPr>
          <w:sz w:val="18"/>
        </w:rPr>
        <w:t>8</w:t>
      </w:r>
      <w:r>
        <w:t xml:space="preserve"> inches diameter reduced at each end to form tenons </w:t>
      </w:r>
      <w:r>
        <w:rPr>
          <w:position w:val="6"/>
          <w:sz w:val="18"/>
        </w:rPr>
        <w:t>7</w:t>
      </w:r>
      <w:r>
        <w:t>/</w:t>
      </w:r>
      <w:r>
        <w:rPr>
          <w:sz w:val="18"/>
        </w:rPr>
        <w:t>8</w:t>
      </w:r>
      <w:r>
        <w:t xml:space="preserve"> of an inch diameter.</w:t>
      </w:r>
    </w:p>
    <w:p w:rsidR="00B40966" w:rsidRDefault="00B40966">
      <w:pPr>
        <w:pStyle w:val="Amain"/>
      </w:pPr>
      <w:r>
        <w:tab/>
        <w:t>(51)</w:t>
      </w:r>
      <w:r>
        <w:tab/>
        <w:t xml:space="preserve">Rungs shall extend at least </w:t>
      </w:r>
      <w:r>
        <w:rPr>
          <w:position w:val="6"/>
          <w:sz w:val="18"/>
        </w:rPr>
        <w:t>3</w:t>
      </w:r>
      <w:r>
        <w:t>/</w:t>
      </w:r>
      <w:r>
        <w:rPr>
          <w:sz w:val="18"/>
        </w:rPr>
        <w:t>4</w:t>
      </w:r>
      <w:r>
        <w:t xml:space="preserve"> of an inch into side rails and if practicable shall finish </w:t>
      </w:r>
      <w:r>
        <w:rPr>
          <w:position w:val="6"/>
          <w:sz w:val="18"/>
        </w:rPr>
        <w:t>5</w:t>
      </w:r>
      <w:r>
        <w:t>/</w:t>
      </w:r>
      <w:r>
        <w:rPr>
          <w:sz w:val="18"/>
        </w:rPr>
        <w:t>16</w:t>
      </w:r>
      <w:r>
        <w:t xml:space="preserve"> of an inch from the outer face of side rail.</w:t>
      </w:r>
    </w:p>
    <w:p w:rsidR="00B40966" w:rsidRDefault="00B40966">
      <w:pPr>
        <w:pStyle w:val="Assectheading"/>
        <w:rPr>
          <w:i w:val="0"/>
        </w:rPr>
      </w:pPr>
      <w:r>
        <w:rPr>
          <w:rStyle w:val="charItals"/>
          <w:i/>
        </w:rPr>
        <w:t>Extension ladders—rungs—attachment of rungs to side rails</w:t>
      </w:r>
    </w:p>
    <w:p w:rsidR="00B40966" w:rsidRDefault="00B40966">
      <w:pPr>
        <w:pStyle w:val="Amain"/>
      </w:pPr>
      <w:r>
        <w:tab/>
        <w:t>(52)</w:t>
      </w:r>
      <w:r>
        <w:tab/>
        <w:t>Rung tenons shall be a tight fit in the side rail and the shoulders shall fit accurately against the same.</w:t>
      </w:r>
    </w:p>
    <w:p w:rsidR="00B40966" w:rsidRDefault="00B40966">
      <w:pPr>
        <w:pStyle w:val="Amain"/>
      </w:pPr>
      <w:r>
        <w:tab/>
        <w:t>(53)</w:t>
      </w:r>
      <w:r>
        <w:tab/>
        <w:t>Each rung tenon shall be prevented from turning by means of a nail at least 0.092 inches diameter (13 gauge) driven through the narrow edge of the side rail and passing completely through the rung tenon.</w:t>
      </w:r>
    </w:p>
    <w:p w:rsidR="00B40966" w:rsidRDefault="00B40966">
      <w:pPr>
        <w:pStyle w:val="Assectheading"/>
        <w:rPr>
          <w:i w:val="0"/>
        </w:rPr>
      </w:pPr>
      <w:r>
        <w:rPr>
          <w:rStyle w:val="charItals"/>
          <w:i/>
        </w:rPr>
        <w:t>Extension ladders—safety lock fittings and side rail guides</w:t>
      </w:r>
    </w:p>
    <w:p w:rsidR="00B40966" w:rsidRDefault="00B40966">
      <w:pPr>
        <w:pStyle w:val="Amain"/>
      </w:pPr>
      <w:r>
        <w:tab/>
        <w:t>(54)</w:t>
      </w:r>
      <w:r>
        <w:tab/>
        <w:t>Every extension ladder shall be fitted with an approved lock and guide brackets that shall effectively allow the ladder to be extended, retracted and locked in any position.</w:t>
      </w:r>
    </w:p>
    <w:p w:rsidR="00B40966" w:rsidRDefault="00B40966">
      <w:pPr>
        <w:pStyle w:val="Amain"/>
      </w:pPr>
      <w:r>
        <w:tab/>
        <w:t>(55)</w:t>
      </w:r>
      <w:r>
        <w:tab/>
        <w:t>The lock shall be reliable in principle, simple in detail and capable of safe operation in any extended position of the ladder.</w:t>
      </w:r>
    </w:p>
    <w:p w:rsidR="00B40966" w:rsidRDefault="00B40966">
      <w:pPr>
        <w:pStyle w:val="Amain"/>
      </w:pPr>
      <w:r>
        <w:tab/>
        <w:t>(56)</w:t>
      </w:r>
      <w:r>
        <w:tab/>
        <w:t>It shall be so arranged that it will maintain the sections of the ladder in the relative position to each other that the rungs of the sections overlapping in every stage of extension shall form double treads.</w:t>
      </w:r>
    </w:p>
    <w:p w:rsidR="00B40966" w:rsidRDefault="00B40966">
      <w:pPr>
        <w:pStyle w:val="Assectheading"/>
        <w:rPr>
          <w:i w:val="0"/>
        </w:rPr>
      </w:pPr>
      <w:r>
        <w:rPr>
          <w:rStyle w:val="charItals"/>
          <w:i/>
        </w:rPr>
        <w:t>Extension ladders—extension ropes and pulleys</w:t>
      </w:r>
    </w:p>
    <w:p w:rsidR="00B40966" w:rsidRDefault="00B40966">
      <w:pPr>
        <w:pStyle w:val="Amain"/>
      </w:pPr>
      <w:r>
        <w:tab/>
        <w:t>(57)</w:t>
      </w:r>
      <w:r>
        <w:tab/>
        <w:t>All extension ladders longer than 14 feet when fully extended shall be provided with extension ropes that shall be fibre rope of approved quality not less than 1</w:t>
      </w:r>
      <w:r>
        <w:rPr>
          <w:b/>
        </w:rPr>
        <w:t xml:space="preserve"> </w:t>
      </w:r>
      <w:r>
        <w:t>inch circumference.</w:t>
      </w:r>
    </w:p>
    <w:p w:rsidR="00B40966" w:rsidRDefault="00B40966">
      <w:pPr>
        <w:pStyle w:val="Amain"/>
      </w:pPr>
      <w:r>
        <w:tab/>
        <w:t>(58)</w:t>
      </w:r>
      <w:r>
        <w:tab/>
        <w:t>Extension ladders longer than 34 feet when fully extended shall be fitted with 2 fibre ropes.</w:t>
      </w:r>
    </w:p>
    <w:p w:rsidR="00B40966" w:rsidRDefault="00B40966">
      <w:pPr>
        <w:pStyle w:val="Amain"/>
      </w:pPr>
      <w:r>
        <w:tab/>
        <w:t>(59)</w:t>
      </w:r>
      <w:r>
        <w:tab/>
        <w:t>The ropes shall be effectively anchored and maintained.</w:t>
      </w:r>
    </w:p>
    <w:p w:rsidR="00B40966" w:rsidRDefault="00B40966">
      <w:pPr>
        <w:pStyle w:val="Amain"/>
      </w:pPr>
      <w:r>
        <w:tab/>
        <w:t>(60)</w:t>
      </w:r>
      <w:r>
        <w:tab/>
        <w:t xml:space="preserve">Pulleys shall be fitted to properly accommodate the extension ropes, and shall have axles not less than </w:t>
      </w:r>
      <w:r>
        <w:rPr>
          <w:position w:val="6"/>
          <w:sz w:val="18"/>
        </w:rPr>
        <w:t>1</w:t>
      </w:r>
      <w:r>
        <w:t>/</w:t>
      </w:r>
      <w:r>
        <w:rPr>
          <w:sz w:val="18"/>
        </w:rPr>
        <w:t>4</w:t>
      </w:r>
      <w:r>
        <w:t xml:space="preserve"> of an inch in diameter.</w:t>
      </w:r>
    </w:p>
    <w:p w:rsidR="00B40966" w:rsidRDefault="00B40966">
      <w:pPr>
        <w:pStyle w:val="Amain"/>
      </w:pPr>
      <w:r>
        <w:tab/>
        <w:t>(61)</w:t>
      </w:r>
      <w:r>
        <w:tab/>
        <w:t>The pulleys shall be fitted to either side(s) or centre of ladder.</w:t>
      </w:r>
    </w:p>
    <w:p w:rsidR="00B40966" w:rsidRDefault="00B40966">
      <w:pPr>
        <w:pStyle w:val="Assectheading"/>
        <w:rPr>
          <w:i w:val="0"/>
        </w:rPr>
      </w:pPr>
      <w:r>
        <w:rPr>
          <w:rStyle w:val="charItals"/>
          <w:i/>
        </w:rPr>
        <w:t>Ties—side rail to side rail—material</w:t>
      </w:r>
    </w:p>
    <w:p w:rsidR="00B40966" w:rsidRDefault="00B40966">
      <w:pPr>
        <w:pStyle w:val="Amain"/>
      </w:pPr>
      <w:r>
        <w:tab/>
        <w:t>(62)</w:t>
      </w:r>
      <w:r>
        <w:tab/>
        <w:t>Ties shall be of steel or other approved material.</w:t>
      </w:r>
    </w:p>
    <w:p w:rsidR="00B40966" w:rsidRDefault="00B40966">
      <w:pPr>
        <w:pStyle w:val="Assectheading"/>
        <w:rPr>
          <w:i w:val="0"/>
        </w:rPr>
      </w:pPr>
      <w:r>
        <w:rPr>
          <w:rStyle w:val="charItals"/>
          <w:i/>
        </w:rPr>
        <w:t>Ties—side rail to side rail—dimensions</w:t>
      </w:r>
    </w:p>
    <w:p w:rsidR="00B40966" w:rsidRDefault="00B40966">
      <w:pPr>
        <w:pStyle w:val="Amain"/>
      </w:pPr>
      <w:r>
        <w:tab/>
        <w:t>(63)</w:t>
      </w:r>
      <w:r>
        <w:tab/>
        <w:t xml:space="preserve">Ties, if of steel, shall be </w:t>
      </w:r>
      <w:r>
        <w:rPr>
          <w:position w:val="6"/>
          <w:sz w:val="18"/>
        </w:rPr>
        <w:t>1</w:t>
      </w:r>
      <w:r>
        <w:t>/</w:t>
      </w:r>
      <w:r>
        <w:rPr>
          <w:sz w:val="18"/>
        </w:rPr>
        <w:t>4</w:t>
      </w:r>
      <w:r>
        <w:t xml:space="preserve"> of an inch diameter and shall be fitted with washers at each end at least 0.05 inches thickness (18 gauge steel), twice the diameter of the tie rod hole in each side rail.</w:t>
      </w:r>
    </w:p>
    <w:p w:rsidR="00B40966" w:rsidRDefault="00B40966">
      <w:pPr>
        <w:pStyle w:val="Assectheading"/>
        <w:rPr>
          <w:i w:val="0"/>
        </w:rPr>
      </w:pPr>
      <w:r>
        <w:rPr>
          <w:rStyle w:val="charItals"/>
          <w:i/>
        </w:rPr>
        <w:t>Ties—side rail to side rail—spacing of ties</w:t>
      </w:r>
    </w:p>
    <w:p w:rsidR="00B40966" w:rsidRDefault="00B40966">
      <w:pPr>
        <w:pStyle w:val="Amain"/>
      </w:pPr>
      <w:r>
        <w:tab/>
        <w:t>(64)</w:t>
      </w:r>
      <w:r>
        <w:tab/>
        <w:t>A tie shall be fitted at the top and bottom rungs if practicable.</w:t>
      </w:r>
    </w:p>
    <w:p w:rsidR="00B40966" w:rsidRDefault="00B40966">
      <w:pPr>
        <w:pStyle w:val="Amain"/>
      </w:pPr>
      <w:r>
        <w:tab/>
        <w:t>(65)</w:t>
      </w:r>
      <w:r>
        <w:tab/>
        <w:t>Intermediate ties shall be fitted to at least every 6th rung.</w:t>
      </w:r>
    </w:p>
    <w:p w:rsidR="00B40966" w:rsidRDefault="00B40966">
      <w:pPr>
        <w:pStyle w:val="Amain"/>
      </w:pPr>
      <w:r>
        <w:tab/>
        <w:t>(66)</w:t>
      </w:r>
      <w:r>
        <w:tab/>
        <w:t>Ties shall be equally spaced if practicable and shall be fitted immediately below their adjacent rungs, pass through the centre-line of the wide face of each side rail and be well rivetted over washers at their ends to prevent spreading of the side rails.</w:t>
      </w:r>
    </w:p>
    <w:p w:rsidR="00B40966" w:rsidRDefault="00B40966">
      <w:pPr>
        <w:pStyle w:val="TableHd"/>
        <w:ind w:left="1368" w:hanging="1368"/>
      </w:pPr>
      <w:r>
        <w:t>Table 142.2</w:t>
      </w:r>
      <w:r>
        <w:tab/>
        <w:t>Dimensions of timber extension ladders</w:t>
      </w:r>
    </w:p>
    <w:tbl>
      <w:tblPr>
        <w:tblW w:w="0" w:type="auto"/>
        <w:tblLayout w:type="fixed"/>
        <w:tblCellMar>
          <w:left w:w="80" w:type="dxa"/>
          <w:right w:w="80" w:type="dxa"/>
        </w:tblCellMar>
        <w:tblLook w:val="0000" w:firstRow="0" w:lastRow="0" w:firstColumn="0" w:lastColumn="0" w:noHBand="0" w:noVBand="0"/>
      </w:tblPr>
      <w:tblGrid>
        <w:gridCol w:w="2406"/>
        <w:gridCol w:w="2406"/>
        <w:gridCol w:w="2406"/>
      </w:tblGrid>
      <w:tr w:rsidR="00B40966">
        <w:trPr>
          <w:cantSplit/>
        </w:trPr>
        <w:tc>
          <w:tcPr>
            <w:tcW w:w="2406" w:type="dxa"/>
            <w:tcBorders>
              <w:bottom w:val="single" w:sz="4" w:space="0" w:color="auto"/>
            </w:tcBorders>
          </w:tcPr>
          <w:p w:rsidR="00B40966" w:rsidRDefault="00B40966">
            <w:pPr>
              <w:pStyle w:val="TableColHd"/>
            </w:pPr>
            <w:r>
              <w:t xml:space="preserve">ladder length </w:t>
            </w:r>
            <w:r>
              <w:br/>
              <w:t xml:space="preserve">fully extended </w:t>
            </w:r>
            <w:r>
              <w:br/>
              <w:t>(in feet)</w:t>
            </w:r>
          </w:p>
        </w:tc>
        <w:tc>
          <w:tcPr>
            <w:tcW w:w="2406" w:type="dxa"/>
            <w:tcBorders>
              <w:bottom w:val="single" w:sz="4" w:space="0" w:color="auto"/>
            </w:tcBorders>
          </w:tcPr>
          <w:p w:rsidR="00B40966" w:rsidRDefault="00B40966">
            <w:pPr>
              <w:pStyle w:val="TableColHd"/>
            </w:pPr>
            <w:r>
              <w:t xml:space="preserve">minimum overlap </w:t>
            </w:r>
            <w:r>
              <w:br/>
              <w:t xml:space="preserve">of side rails </w:t>
            </w:r>
            <w:r>
              <w:br/>
              <w:t>(in feet)</w:t>
            </w:r>
          </w:p>
        </w:tc>
        <w:tc>
          <w:tcPr>
            <w:tcW w:w="2406" w:type="dxa"/>
            <w:tcBorders>
              <w:bottom w:val="single" w:sz="4" w:space="0" w:color="auto"/>
            </w:tcBorders>
          </w:tcPr>
          <w:p w:rsidR="00B40966" w:rsidRDefault="00B40966">
            <w:pPr>
              <w:pStyle w:val="TableColHd"/>
            </w:pPr>
            <w:r>
              <w:t xml:space="preserve">side rails (stiles) </w:t>
            </w:r>
            <w:r>
              <w:br/>
              <w:t xml:space="preserve">least dimensions </w:t>
            </w:r>
            <w:r>
              <w:br/>
              <w:t>(in inches)</w:t>
            </w:r>
          </w:p>
        </w:tc>
      </w:tr>
      <w:tr w:rsidR="00B40966">
        <w:trPr>
          <w:cantSplit/>
        </w:trPr>
        <w:tc>
          <w:tcPr>
            <w:tcW w:w="2406" w:type="dxa"/>
            <w:tcBorders>
              <w:top w:val="single" w:sz="4" w:space="0" w:color="auto"/>
            </w:tcBorders>
          </w:tcPr>
          <w:p w:rsidR="00B40966" w:rsidRDefault="00B40966">
            <w:pPr>
              <w:pStyle w:val="TableText"/>
            </w:pPr>
            <w:r>
              <w:t>26 and under</w:t>
            </w:r>
          </w:p>
        </w:tc>
        <w:tc>
          <w:tcPr>
            <w:tcW w:w="2406" w:type="dxa"/>
            <w:tcBorders>
              <w:top w:val="single" w:sz="4" w:space="0" w:color="auto"/>
            </w:tcBorders>
          </w:tcPr>
          <w:p w:rsidR="00B40966" w:rsidRDefault="00B40966">
            <w:pPr>
              <w:pStyle w:val="TableText"/>
            </w:pPr>
            <w:r>
              <w:t>2</w:t>
            </w:r>
          </w:p>
        </w:tc>
        <w:tc>
          <w:tcPr>
            <w:tcW w:w="2406" w:type="dxa"/>
            <w:tcBorders>
              <w:top w:val="single" w:sz="4" w:space="0" w:color="auto"/>
            </w:tcBorders>
          </w:tcPr>
          <w:p w:rsidR="00B40966" w:rsidRDefault="00B40966">
            <w:pPr>
              <w:pStyle w:val="TableText"/>
            </w:pPr>
            <w:r>
              <w:t>2</w:t>
            </w:r>
            <w:r>
              <w:rPr>
                <w:position w:val="6"/>
                <w:sz w:val="18"/>
              </w:rPr>
              <w:t>1</w:t>
            </w:r>
            <w:r>
              <w:t>/</w:t>
            </w:r>
            <w:r>
              <w:rPr>
                <w:sz w:val="18"/>
              </w:rPr>
              <w:t>4</w:t>
            </w:r>
            <w:r>
              <w:t xml:space="preserve"> x 1</w:t>
            </w:r>
            <w:r>
              <w:rPr>
                <w:position w:val="6"/>
                <w:sz w:val="18"/>
              </w:rPr>
              <w:t>1</w:t>
            </w:r>
            <w:r>
              <w:t>/</w:t>
            </w:r>
            <w:r>
              <w:rPr>
                <w:sz w:val="18"/>
              </w:rPr>
              <w:t>4</w:t>
            </w:r>
          </w:p>
        </w:tc>
      </w:tr>
      <w:tr w:rsidR="00B40966">
        <w:trPr>
          <w:cantSplit/>
        </w:trPr>
        <w:tc>
          <w:tcPr>
            <w:tcW w:w="2406" w:type="dxa"/>
          </w:tcPr>
          <w:p w:rsidR="00B40966" w:rsidRDefault="00B40966">
            <w:pPr>
              <w:pStyle w:val="TableText"/>
            </w:pPr>
            <w:r>
              <w:t>28 to 30</w:t>
            </w:r>
          </w:p>
        </w:tc>
        <w:tc>
          <w:tcPr>
            <w:tcW w:w="2406" w:type="dxa"/>
          </w:tcPr>
          <w:p w:rsidR="00B40966" w:rsidRDefault="00B40966">
            <w:pPr>
              <w:pStyle w:val="TableText"/>
            </w:pPr>
            <w:r>
              <w:t>2</w:t>
            </w:r>
          </w:p>
        </w:tc>
        <w:tc>
          <w:tcPr>
            <w:tcW w:w="2406" w:type="dxa"/>
          </w:tcPr>
          <w:p w:rsidR="00B40966" w:rsidRDefault="00B40966">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B40966">
        <w:trPr>
          <w:cantSplit/>
        </w:trPr>
        <w:tc>
          <w:tcPr>
            <w:tcW w:w="2406" w:type="dxa"/>
          </w:tcPr>
          <w:p w:rsidR="00B40966" w:rsidRDefault="00B40966">
            <w:pPr>
              <w:pStyle w:val="TableText"/>
            </w:pPr>
            <w:r>
              <w:t>32 to 34</w:t>
            </w:r>
          </w:p>
        </w:tc>
        <w:tc>
          <w:tcPr>
            <w:tcW w:w="2406" w:type="dxa"/>
          </w:tcPr>
          <w:p w:rsidR="00B40966" w:rsidRDefault="00B40966">
            <w:pPr>
              <w:pStyle w:val="TableText"/>
            </w:pPr>
            <w:r>
              <w:t>4</w:t>
            </w:r>
          </w:p>
        </w:tc>
        <w:tc>
          <w:tcPr>
            <w:tcW w:w="2406" w:type="dxa"/>
          </w:tcPr>
          <w:p w:rsidR="00B40966" w:rsidRDefault="00B40966">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B40966">
        <w:trPr>
          <w:cantSplit/>
        </w:trPr>
        <w:tc>
          <w:tcPr>
            <w:tcW w:w="2406" w:type="dxa"/>
          </w:tcPr>
          <w:p w:rsidR="00B40966" w:rsidRDefault="00B40966">
            <w:pPr>
              <w:pStyle w:val="TableText"/>
            </w:pPr>
            <w:r>
              <w:t>36 to 46</w:t>
            </w:r>
          </w:p>
        </w:tc>
        <w:tc>
          <w:tcPr>
            <w:tcW w:w="2406" w:type="dxa"/>
          </w:tcPr>
          <w:p w:rsidR="00B40966" w:rsidRDefault="00B40966">
            <w:pPr>
              <w:pStyle w:val="TableText"/>
            </w:pPr>
            <w:r>
              <w:t>4</w:t>
            </w:r>
          </w:p>
        </w:tc>
        <w:tc>
          <w:tcPr>
            <w:tcW w:w="2406" w:type="dxa"/>
          </w:tcPr>
          <w:p w:rsidR="00B40966" w:rsidRDefault="00B40966">
            <w:pPr>
              <w:pStyle w:val="TableText"/>
            </w:pPr>
            <w:r>
              <w:t>2</w:t>
            </w:r>
            <w:r>
              <w:rPr>
                <w:position w:val="6"/>
                <w:sz w:val="18"/>
              </w:rPr>
              <w:t>3</w:t>
            </w:r>
            <w:r>
              <w:t>/</w:t>
            </w:r>
            <w:r>
              <w:rPr>
                <w:sz w:val="18"/>
              </w:rPr>
              <w:t>4</w:t>
            </w:r>
            <w:r>
              <w:t xml:space="preserve"> x 1</w:t>
            </w:r>
            <w:r>
              <w:rPr>
                <w:position w:val="6"/>
                <w:sz w:val="18"/>
              </w:rPr>
              <w:t>3</w:t>
            </w:r>
            <w:r>
              <w:t>/</w:t>
            </w:r>
            <w:r>
              <w:rPr>
                <w:sz w:val="18"/>
              </w:rPr>
              <w:t>4</w:t>
            </w:r>
          </w:p>
        </w:tc>
      </w:tr>
      <w:tr w:rsidR="00B40966">
        <w:trPr>
          <w:cantSplit/>
        </w:trPr>
        <w:tc>
          <w:tcPr>
            <w:tcW w:w="2406" w:type="dxa"/>
          </w:tcPr>
          <w:p w:rsidR="00B40966" w:rsidRDefault="00B40966">
            <w:pPr>
              <w:pStyle w:val="TableText"/>
            </w:pPr>
            <w:r>
              <w:t>48 to 50</w:t>
            </w:r>
          </w:p>
        </w:tc>
        <w:tc>
          <w:tcPr>
            <w:tcW w:w="2406" w:type="dxa"/>
          </w:tcPr>
          <w:p w:rsidR="00B40966" w:rsidRDefault="00B40966">
            <w:pPr>
              <w:pStyle w:val="TableText"/>
            </w:pPr>
            <w:r>
              <w:t>6</w:t>
            </w:r>
          </w:p>
        </w:tc>
        <w:tc>
          <w:tcPr>
            <w:tcW w:w="2406" w:type="dxa"/>
          </w:tcPr>
          <w:p w:rsidR="00B40966" w:rsidRDefault="00B40966">
            <w:pPr>
              <w:pStyle w:val="TableText"/>
            </w:pPr>
            <w:r>
              <w:t>3</w:t>
            </w:r>
            <w:r>
              <w:rPr>
                <w:position w:val="6"/>
                <w:sz w:val="18"/>
              </w:rPr>
              <w:t>1</w:t>
            </w:r>
            <w:r>
              <w:t>/</w:t>
            </w:r>
            <w:r>
              <w:rPr>
                <w:sz w:val="18"/>
              </w:rPr>
              <w:t>4</w:t>
            </w:r>
            <w:r>
              <w:t xml:space="preserve"> x 1</w:t>
            </w:r>
            <w:r>
              <w:rPr>
                <w:position w:val="6"/>
                <w:sz w:val="18"/>
              </w:rPr>
              <w:t>3</w:t>
            </w:r>
            <w:r>
              <w:t>/</w:t>
            </w:r>
            <w:r>
              <w:rPr>
                <w:sz w:val="18"/>
              </w:rPr>
              <w:t>4</w:t>
            </w:r>
          </w:p>
        </w:tc>
      </w:tr>
    </w:tbl>
    <w:p w:rsidR="00B40966" w:rsidRDefault="00B40966">
      <w:pPr>
        <w:pStyle w:val="Amain"/>
        <w:rPr>
          <w:color w:val="000000"/>
        </w:rPr>
      </w:pPr>
    </w:p>
    <w:p w:rsidR="00B40966" w:rsidRDefault="00B40966">
      <w:pPr>
        <w:pStyle w:val="Assectheading"/>
        <w:rPr>
          <w:i w:val="0"/>
        </w:rPr>
      </w:pPr>
      <w:r>
        <w:rPr>
          <w:rStyle w:val="charItals"/>
          <w:i/>
        </w:rPr>
        <w:t>Stepladders not to exceed 18 feet in length</w:t>
      </w:r>
    </w:p>
    <w:p w:rsidR="00B40966" w:rsidRDefault="00B40966">
      <w:pPr>
        <w:pStyle w:val="Amain"/>
      </w:pPr>
      <w:r>
        <w:tab/>
        <w:t>(67)</w:t>
      </w:r>
      <w:r>
        <w:tab/>
        <w:t>A stepladder exceeding 18 feet in length shall not be used unless otherwise approved.</w:t>
      </w:r>
    </w:p>
    <w:p w:rsidR="00B40966" w:rsidRDefault="00B40966">
      <w:pPr>
        <w:pStyle w:val="Assectheading"/>
        <w:rPr>
          <w:i w:val="0"/>
        </w:rPr>
      </w:pPr>
      <w:r>
        <w:rPr>
          <w:rStyle w:val="charItals"/>
          <w:i/>
        </w:rPr>
        <w:t>Side rails (stiles) and back legs—dimensions</w:t>
      </w:r>
    </w:p>
    <w:p w:rsidR="00B40966" w:rsidRDefault="00B40966">
      <w:pPr>
        <w:pStyle w:val="Amain"/>
      </w:pPr>
      <w:r>
        <w:tab/>
        <w:t>(68)</w:t>
      </w:r>
      <w:r>
        <w:tab/>
        <w:t>Side rails and back legs shall have dimensions not less than those provided in table 142.3.</w:t>
      </w:r>
    </w:p>
    <w:p w:rsidR="00B40966" w:rsidRDefault="00B40966">
      <w:pPr>
        <w:pStyle w:val="aNote"/>
      </w:pPr>
      <w:r>
        <w:rPr>
          <w:i/>
          <w:iCs/>
        </w:rPr>
        <w:t>Note</w:t>
      </w:r>
      <w:r>
        <w:tab/>
        <w:t>Table 142.3 is after s (117).</w:t>
      </w:r>
    </w:p>
    <w:p w:rsidR="00B40966" w:rsidRDefault="00B40966">
      <w:pPr>
        <w:pStyle w:val="Assectheading"/>
        <w:rPr>
          <w:i w:val="0"/>
        </w:rPr>
      </w:pPr>
      <w:r>
        <w:rPr>
          <w:rStyle w:val="charItals"/>
          <w:i/>
        </w:rPr>
        <w:t>Side rails (stiles) and back legs—spacing and spread between side rails</w:t>
      </w:r>
    </w:p>
    <w:p w:rsidR="00B40966" w:rsidRDefault="00B40966">
      <w:pPr>
        <w:pStyle w:val="Amain"/>
      </w:pPr>
      <w:r>
        <w:tab/>
        <w:t>(69)</w:t>
      </w:r>
      <w:r>
        <w:tab/>
        <w:t>The width between inside faces of side rails measured at the top tread shall be not less than 11</w:t>
      </w:r>
      <w:r>
        <w:rPr>
          <w:position w:val="6"/>
          <w:sz w:val="18"/>
        </w:rPr>
        <w:t>1</w:t>
      </w:r>
      <w:r>
        <w:t>/</w:t>
      </w:r>
      <w:r>
        <w:rPr>
          <w:sz w:val="18"/>
        </w:rPr>
        <w:t>2</w:t>
      </w:r>
      <w:r>
        <w:t xml:space="preserve"> inches, and shall be not more than 13 inches.</w:t>
      </w:r>
    </w:p>
    <w:p w:rsidR="00B40966" w:rsidRDefault="00B40966">
      <w:pPr>
        <w:pStyle w:val="Amain"/>
      </w:pPr>
      <w:r>
        <w:tab/>
        <w:t>(70)</w:t>
      </w:r>
      <w:r>
        <w:tab/>
        <w:t>This distance shall increase towards the lower treads at a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w:t>
      </w:r>
    </w:p>
    <w:p w:rsidR="00B40966" w:rsidRDefault="00B40966">
      <w:pPr>
        <w:pStyle w:val="Assectheading"/>
        <w:rPr>
          <w:i w:val="0"/>
        </w:rPr>
      </w:pPr>
      <w:r>
        <w:rPr>
          <w:rStyle w:val="charItals"/>
          <w:i/>
        </w:rPr>
        <w:t>Side rails (stiles) and back legs—spacing and spread between back legs</w:t>
      </w:r>
    </w:p>
    <w:p w:rsidR="00B40966" w:rsidRDefault="00B40966">
      <w:pPr>
        <w:pStyle w:val="Amain"/>
      </w:pPr>
      <w:r>
        <w:tab/>
        <w:t>(71)</w:t>
      </w:r>
      <w:r>
        <w:tab/>
        <w:t>Spacing and spread between back legs shall be the same as for side rails.</w:t>
      </w:r>
    </w:p>
    <w:p w:rsidR="00B40966" w:rsidRDefault="00B40966">
      <w:pPr>
        <w:pStyle w:val="Assectheading"/>
        <w:rPr>
          <w:i w:val="0"/>
        </w:rPr>
      </w:pPr>
      <w:r>
        <w:rPr>
          <w:rStyle w:val="charItals"/>
          <w:i/>
        </w:rPr>
        <w:t>Side rails (stiles) and back legs—spread between side rails and back leg</w:t>
      </w:r>
      <w:r>
        <w:rPr>
          <w:i w:val="0"/>
        </w:rPr>
        <w:t>s</w:t>
      </w:r>
    </w:p>
    <w:p w:rsidR="00B40966" w:rsidRDefault="00B40966">
      <w:pPr>
        <w:pStyle w:val="Amain"/>
      </w:pPr>
      <w:r>
        <w:tab/>
        <w:t>(72)</w:t>
      </w:r>
      <w:r>
        <w:tab/>
        <w:t>In the fully-opened position, the spread between side rails and back legs shall be not less than 8</w:t>
      </w:r>
      <w:r>
        <w:rPr>
          <w:b/>
        </w:rPr>
        <w:t xml:space="preserve"> </w:t>
      </w:r>
      <w:r>
        <w:t>inches or more than 9</w:t>
      </w:r>
      <w:r>
        <w:rPr>
          <w:b/>
        </w:rPr>
        <w:t xml:space="preserve"> </w:t>
      </w:r>
      <w:r>
        <w:t>inches per foot length of side rails.</w:t>
      </w:r>
    </w:p>
    <w:p w:rsidR="00B40966" w:rsidRDefault="00B40966">
      <w:pPr>
        <w:pStyle w:val="Assectheading"/>
        <w:rPr>
          <w:i w:val="0"/>
        </w:rPr>
      </w:pPr>
      <w:r>
        <w:rPr>
          <w:rStyle w:val="charItals"/>
          <w:i/>
        </w:rPr>
        <w:t>Stepladders—restraining rope</w:t>
      </w:r>
    </w:p>
    <w:p w:rsidR="00B40966" w:rsidRDefault="00B40966">
      <w:pPr>
        <w:pStyle w:val="Amain"/>
        <w:keepLines/>
      </w:pPr>
      <w:r>
        <w:tab/>
        <w:t>(73)</w:t>
      </w:r>
      <w:r>
        <w:tab/>
        <w:t xml:space="preserve">The spread between side rails and back legs shall be restrained by means of first quality fibre rope not less than </w:t>
      </w:r>
      <w:r>
        <w:rPr>
          <w:position w:val="6"/>
          <w:sz w:val="18"/>
        </w:rPr>
        <w:t>3</w:t>
      </w:r>
      <w:r>
        <w:t>/</w:t>
      </w:r>
      <w:r>
        <w:rPr>
          <w:sz w:val="18"/>
        </w:rPr>
        <w:t>4</w:t>
      </w:r>
      <w:r>
        <w:t xml:space="preserve"> of an inch in circumference fitted between each back leg and its respective side rail.</w:t>
      </w:r>
    </w:p>
    <w:p w:rsidR="00B40966" w:rsidRDefault="00B40966">
      <w:pPr>
        <w:pStyle w:val="Amain"/>
        <w:keepLines/>
      </w:pPr>
      <w:r>
        <w:tab/>
        <w:t>(74)</w:t>
      </w:r>
      <w:r>
        <w:tab/>
        <w:t>These ropes shall be effectively anchored at 1 end through the centre of the wide face of each side rail immediately below the tread 2nd from the bottom, and at the other end through the centre of the wide face of each back leg at the same level.</w:t>
      </w:r>
    </w:p>
    <w:p w:rsidR="00B40966" w:rsidRDefault="00B40966">
      <w:pPr>
        <w:pStyle w:val="Amain"/>
      </w:pPr>
      <w:r>
        <w:tab/>
        <w:t>(75)</w:t>
      </w:r>
      <w:r>
        <w:tab/>
        <w:t>Alternatively, other approved means of restraining the side rails and back legs may be used.</w:t>
      </w:r>
    </w:p>
    <w:p w:rsidR="00B40966" w:rsidRDefault="00B40966">
      <w:pPr>
        <w:pStyle w:val="Assectheading"/>
        <w:rPr>
          <w:i w:val="0"/>
        </w:rPr>
      </w:pPr>
      <w:r>
        <w:rPr>
          <w:rStyle w:val="charItals"/>
          <w:i/>
        </w:rPr>
        <w:t>Stepladders—bracing for back legs—battens</w:t>
      </w:r>
    </w:p>
    <w:p w:rsidR="00B40966" w:rsidRDefault="00B40966">
      <w:pPr>
        <w:pStyle w:val="Amain"/>
      </w:pPr>
      <w:r>
        <w:tab/>
        <w:t>(76)</w:t>
      </w:r>
      <w:r>
        <w:tab/>
        <w:t>Back legs shall be battened together with battens of timber or other approved material.</w:t>
      </w:r>
    </w:p>
    <w:p w:rsidR="00B40966" w:rsidRDefault="00B40966">
      <w:pPr>
        <w:pStyle w:val="Amain"/>
      </w:pPr>
      <w:r>
        <w:tab/>
        <w:t>(77)</w:t>
      </w:r>
      <w:r>
        <w:tab/>
        <w:t>If of timber, they shall have dimensions not less than those provided in the table after subsection (117).</w:t>
      </w:r>
    </w:p>
    <w:p w:rsidR="00B40966" w:rsidRDefault="00B40966">
      <w:pPr>
        <w:pStyle w:val="Amain"/>
      </w:pPr>
      <w:r>
        <w:tab/>
        <w:t>(78)</w:t>
      </w:r>
      <w:r>
        <w:tab/>
        <w:t>Back legs shall be battened together at the hinge and also at the level of the 2nd tread from the bottom.</w:t>
      </w:r>
    </w:p>
    <w:p w:rsidR="00B40966" w:rsidRDefault="00B40966">
      <w:pPr>
        <w:pStyle w:val="Amain"/>
      </w:pPr>
      <w:r>
        <w:tab/>
        <w:t>(79)</w:t>
      </w:r>
      <w:r>
        <w:tab/>
        <w:t>Stepladders over 8</w:t>
      </w:r>
      <w:r>
        <w:rPr>
          <w:b/>
        </w:rPr>
        <w:t xml:space="preserve"> </w:t>
      </w:r>
      <w:r>
        <w:t>feet in length shall have extra battens fitted and equally spaced.</w:t>
      </w:r>
    </w:p>
    <w:p w:rsidR="00B40966" w:rsidRDefault="00B40966">
      <w:pPr>
        <w:pStyle w:val="Amain"/>
      </w:pPr>
      <w:r>
        <w:tab/>
        <w:t>(80)</w:t>
      </w:r>
      <w:r>
        <w:tab/>
        <w:t>In no case shall the distance between adjacent battens exceed 6</w:t>
      </w:r>
      <w:r>
        <w:rPr>
          <w:b/>
        </w:rPr>
        <w:t xml:space="preserve"> </w:t>
      </w:r>
      <w:r>
        <w:t>feet.</w:t>
      </w:r>
    </w:p>
    <w:p w:rsidR="00B40966" w:rsidRDefault="00B40966">
      <w:pPr>
        <w:pStyle w:val="Amain"/>
      </w:pPr>
      <w:r>
        <w:tab/>
        <w:t>(81)</w:t>
      </w:r>
      <w:r>
        <w:tab/>
        <w:t>Battens shall be screwed, nailed or bolted.</w:t>
      </w:r>
    </w:p>
    <w:p w:rsidR="00B40966" w:rsidRDefault="00B40966">
      <w:pPr>
        <w:pStyle w:val="Assectheading"/>
        <w:rPr>
          <w:i w:val="0"/>
        </w:rPr>
      </w:pPr>
      <w:r>
        <w:rPr>
          <w:rStyle w:val="charItals"/>
          <w:i/>
        </w:rPr>
        <w:t>Stepladders—bracing for back legs—diagonal bracing</w:t>
      </w:r>
    </w:p>
    <w:p w:rsidR="00B40966" w:rsidRDefault="00B40966">
      <w:pPr>
        <w:pStyle w:val="Amain"/>
      </w:pPr>
      <w:r>
        <w:tab/>
        <w:t>(82)</w:t>
      </w:r>
      <w:r>
        <w:tab/>
        <w:t>Doubled diagonal bracing of timber or other approved material shall be screwed, nailed, or bolted to the back legs between and against adjacent battens.</w:t>
      </w:r>
    </w:p>
    <w:p w:rsidR="00B40966" w:rsidRDefault="00B40966">
      <w:pPr>
        <w:pStyle w:val="Amain"/>
      </w:pPr>
      <w:r>
        <w:tab/>
        <w:t>(83)</w:t>
      </w:r>
      <w:r>
        <w:tab/>
        <w:t>The bracing, if of timber or mild steel, shall have dimensions not less than those provided in table 142.3.</w:t>
      </w:r>
    </w:p>
    <w:p w:rsidR="00B40966" w:rsidRDefault="00B40966">
      <w:pPr>
        <w:pStyle w:val="aNote"/>
      </w:pPr>
      <w:r>
        <w:rPr>
          <w:i/>
          <w:iCs/>
        </w:rPr>
        <w:t>Note</w:t>
      </w:r>
      <w:r>
        <w:tab/>
        <w:t>Table 142.3 is after s (117).</w:t>
      </w:r>
    </w:p>
    <w:p w:rsidR="00B40966" w:rsidRDefault="00B40966">
      <w:pPr>
        <w:pStyle w:val="Assectheading"/>
        <w:rPr>
          <w:i w:val="0"/>
        </w:rPr>
      </w:pPr>
      <w:r>
        <w:rPr>
          <w:rStyle w:val="charItals"/>
          <w:i/>
        </w:rPr>
        <w:t>Stepladder—treads—material</w:t>
      </w:r>
    </w:p>
    <w:p w:rsidR="00B40966" w:rsidRDefault="00B40966">
      <w:pPr>
        <w:pStyle w:val="Amain"/>
      </w:pPr>
      <w:r>
        <w:tab/>
        <w:t>(84)</w:t>
      </w:r>
      <w:r>
        <w:tab/>
        <w:t>Treads shall be constructed of timber.</w:t>
      </w:r>
    </w:p>
    <w:p w:rsidR="00B40966" w:rsidRDefault="00B40966">
      <w:pPr>
        <w:pStyle w:val="Assectheading"/>
        <w:rPr>
          <w:i w:val="0"/>
        </w:rPr>
      </w:pPr>
      <w:r>
        <w:rPr>
          <w:rStyle w:val="charItals"/>
          <w:i/>
        </w:rPr>
        <w:t>Stepladders—treads—dimensions</w:t>
      </w:r>
    </w:p>
    <w:p w:rsidR="00B40966" w:rsidRDefault="00B40966">
      <w:pPr>
        <w:pStyle w:val="Amain"/>
      </w:pPr>
      <w:r>
        <w:tab/>
        <w:t>(85)</w:t>
      </w:r>
      <w:r>
        <w:tab/>
        <w:t>Treads shall have dimensions not less than those provided in table 142.3.</w:t>
      </w:r>
    </w:p>
    <w:p w:rsidR="00B40966" w:rsidRDefault="00B40966">
      <w:pPr>
        <w:pStyle w:val="aNote"/>
      </w:pPr>
      <w:r>
        <w:rPr>
          <w:i/>
          <w:iCs/>
        </w:rPr>
        <w:t>Note</w:t>
      </w:r>
      <w:r>
        <w:tab/>
        <w:t>Table 142.3 is after s (117).</w:t>
      </w:r>
    </w:p>
    <w:p w:rsidR="00B40966" w:rsidRDefault="00B40966">
      <w:pPr>
        <w:pStyle w:val="Assectheading"/>
        <w:rPr>
          <w:i w:val="0"/>
        </w:rPr>
      </w:pPr>
      <w:r>
        <w:rPr>
          <w:rStyle w:val="charItals"/>
          <w:i/>
        </w:rPr>
        <w:t>Stepladders—treads—spacing</w:t>
      </w:r>
    </w:p>
    <w:p w:rsidR="00B40966" w:rsidRDefault="00B40966">
      <w:pPr>
        <w:pStyle w:val="Amain"/>
      </w:pPr>
      <w:r>
        <w:tab/>
        <w:t>(86)</w:t>
      </w:r>
      <w:r>
        <w:tab/>
        <w:t>Treads shall be equally spaced from the bottom of side rails to the top of top step.</w:t>
      </w:r>
    </w:p>
    <w:p w:rsidR="00B40966" w:rsidRDefault="00B40966">
      <w:pPr>
        <w:pStyle w:val="Amain"/>
      </w:pPr>
      <w:r>
        <w:tab/>
        <w:t>(87)</w:t>
      </w:r>
      <w:r>
        <w:tab/>
        <w:t>The spacing shall be not less than 10</w:t>
      </w:r>
      <w:r>
        <w:rPr>
          <w:b/>
        </w:rPr>
        <w:t xml:space="preserve"> </w:t>
      </w:r>
      <w:r>
        <w:t>inches or more than 12</w:t>
      </w:r>
      <w:r>
        <w:rPr>
          <w:b/>
        </w:rPr>
        <w:t xml:space="preserve"> </w:t>
      </w:r>
      <w:r>
        <w:t>inches top to top of treads.</w:t>
      </w:r>
    </w:p>
    <w:p w:rsidR="00B40966" w:rsidRDefault="00B40966">
      <w:pPr>
        <w:pStyle w:val="Amain"/>
      </w:pPr>
      <w:r>
        <w:tab/>
        <w:t>(88)</w:t>
      </w:r>
      <w:r>
        <w:tab/>
        <w:t>Treads shall be parallel and level when the stepladder is in position for use.</w:t>
      </w:r>
    </w:p>
    <w:p w:rsidR="00B40966" w:rsidRDefault="00B40966">
      <w:pPr>
        <w:pStyle w:val="Assectheading"/>
        <w:rPr>
          <w:i w:val="0"/>
        </w:rPr>
      </w:pPr>
      <w:r>
        <w:rPr>
          <w:rStyle w:val="charItals"/>
          <w:i/>
        </w:rPr>
        <w:t>Stepladders—treads— attachment of treads to side rails</w:t>
      </w:r>
    </w:p>
    <w:p w:rsidR="00B40966" w:rsidRDefault="00B40966">
      <w:pPr>
        <w:pStyle w:val="Amain"/>
      </w:pPr>
      <w:r>
        <w:tab/>
        <w:t>(89)</w:t>
      </w:r>
      <w:r>
        <w:tab/>
        <w:t>Treads shall be recessed into the side rails or secured to them in an approved way.</w:t>
      </w:r>
    </w:p>
    <w:p w:rsidR="00B40966" w:rsidRDefault="00B40966">
      <w:pPr>
        <w:pStyle w:val="Amain"/>
      </w:pPr>
      <w:r>
        <w:tab/>
        <w:t>(90)</w:t>
      </w:r>
      <w:r>
        <w:tab/>
        <w:t xml:space="preserve">If the treads are recessed into the side rails, the recesses in the rails for the treads shall be not more than </w:t>
      </w:r>
      <w:r>
        <w:rPr>
          <w:position w:val="6"/>
          <w:sz w:val="18"/>
        </w:rPr>
        <w:t>1</w:t>
      </w:r>
      <w:r>
        <w:t>/</w:t>
      </w:r>
      <w:r>
        <w:rPr>
          <w:sz w:val="18"/>
        </w:rPr>
        <w:t>4</w:t>
      </w:r>
      <w:r>
        <w:t xml:space="preserve"> of an inch deep or less than </w:t>
      </w:r>
      <w:r>
        <w:rPr>
          <w:position w:val="6"/>
          <w:sz w:val="18"/>
        </w:rPr>
        <w:t>3</w:t>
      </w:r>
      <w:r>
        <w:t>/</w:t>
      </w:r>
      <w:r>
        <w:rPr>
          <w:sz w:val="18"/>
        </w:rPr>
        <w:t>16</w:t>
      </w:r>
      <w:r>
        <w:t xml:space="preserve"> of an inch deep and shall properly accommodate their treads.</w:t>
      </w:r>
    </w:p>
    <w:p w:rsidR="00B40966" w:rsidRDefault="00B40966">
      <w:pPr>
        <w:pStyle w:val="Amain"/>
      </w:pPr>
      <w:r>
        <w:tab/>
        <w:t>(91)</w:t>
      </w:r>
      <w:r>
        <w:tab/>
        <w:t>Treads so fitted shall be double screwed to the side rails at each end using wood screws of 0.189 inches diameter (10</w:t>
      </w:r>
      <w:r>
        <w:rPr>
          <w:b/>
        </w:rPr>
        <w:t xml:space="preserve"> </w:t>
      </w:r>
      <w:r>
        <w:t>gauge) not less than 1</w:t>
      </w:r>
      <w:r>
        <w:rPr>
          <w:position w:val="6"/>
          <w:sz w:val="18"/>
        </w:rPr>
        <w:t>1</w:t>
      </w:r>
      <w:r>
        <w:t>/</w:t>
      </w:r>
      <w:r>
        <w:rPr>
          <w:sz w:val="18"/>
        </w:rPr>
        <w:t>2</w:t>
      </w:r>
      <w:r>
        <w:t xml:space="preserve"> inches or more than 1</w:t>
      </w:r>
      <w:r>
        <w:rPr>
          <w:position w:val="6"/>
          <w:sz w:val="18"/>
        </w:rPr>
        <w:t>3</w:t>
      </w:r>
      <w:r>
        <w:t>/</w:t>
      </w:r>
      <w:r>
        <w:rPr>
          <w:sz w:val="18"/>
        </w:rPr>
        <w:t>4</w:t>
      </w:r>
      <w:r>
        <w:t xml:space="preserve"> inches long.</w:t>
      </w:r>
    </w:p>
    <w:p w:rsidR="00B40966" w:rsidRDefault="00B40966">
      <w:pPr>
        <w:pStyle w:val="Amain"/>
      </w:pPr>
      <w:r>
        <w:tab/>
        <w:t>(92)</w:t>
      </w:r>
      <w:r>
        <w:tab/>
        <w:t>The screws shall be screwed into the centre-line of the tread at each end.</w:t>
      </w:r>
    </w:p>
    <w:p w:rsidR="00B40966" w:rsidRDefault="00B40966">
      <w:pPr>
        <w:pStyle w:val="Assectheading"/>
        <w:rPr>
          <w:i w:val="0"/>
        </w:rPr>
      </w:pPr>
      <w:r>
        <w:rPr>
          <w:rStyle w:val="charItals"/>
          <w:i/>
        </w:rPr>
        <w:t>Stepladders—bracing for treads</w:t>
      </w:r>
      <w:r>
        <w:rPr>
          <w:color w:val="000000"/>
        </w:rPr>
        <w:t>—</w:t>
      </w:r>
      <w:r>
        <w:rPr>
          <w:rStyle w:val="charItals"/>
          <w:i/>
        </w:rPr>
        <w:t>material</w:t>
      </w:r>
    </w:p>
    <w:p w:rsidR="00B40966" w:rsidRDefault="00B40966">
      <w:pPr>
        <w:pStyle w:val="Amain"/>
      </w:pPr>
      <w:r>
        <w:tab/>
        <w:t>(93)</w:t>
      </w:r>
      <w:r>
        <w:tab/>
        <w:t>Bracing for treads shall be of timber or other approved material and shall be screwed or nailed in position.</w:t>
      </w:r>
    </w:p>
    <w:p w:rsidR="00B40966" w:rsidRDefault="00B40966">
      <w:pPr>
        <w:pStyle w:val="Assectheading"/>
        <w:rPr>
          <w:i w:val="0"/>
        </w:rPr>
      </w:pPr>
      <w:r>
        <w:rPr>
          <w:rStyle w:val="charItals"/>
          <w:i/>
        </w:rPr>
        <w:t>Stepladders—bracing for treads</w:t>
      </w:r>
      <w:r>
        <w:rPr>
          <w:color w:val="000000"/>
        </w:rPr>
        <w:t>—</w:t>
      </w:r>
      <w:r>
        <w:rPr>
          <w:rStyle w:val="charItals"/>
          <w:i/>
        </w:rPr>
        <w:t>dimensions</w:t>
      </w:r>
    </w:p>
    <w:p w:rsidR="00B40966" w:rsidRDefault="00B40966">
      <w:pPr>
        <w:pStyle w:val="Amain"/>
      </w:pPr>
      <w:r>
        <w:tab/>
        <w:t>(94)</w:t>
      </w:r>
      <w:r>
        <w:tab/>
        <w:t>Bracing for treads shall have dimensions not less than those provided in table 142.3.</w:t>
      </w:r>
    </w:p>
    <w:p w:rsidR="00B40966" w:rsidRDefault="00B40966">
      <w:pPr>
        <w:pStyle w:val="aNote"/>
      </w:pPr>
      <w:r>
        <w:rPr>
          <w:i/>
          <w:iCs/>
        </w:rPr>
        <w:t>Note</w:t>
      </w:r>
      <w:r>
        <w:tab/>
        <w:t>Table 142.3 is after s (117).</w:t>
      </w:r>
    </w:p>
    <w:p w:rsidR="00B40966" w:rsidRDefault="00B40966">
      <w:pPr>
        <w:pStyle w:val="Assectheading"/>
        <w:rPr>
          <w:i w:val="0"/>
        </w:rPr>
      </w:pPr>
      <w:r>
        <w:rPr>
          <w:rStyle w:val="charItals"/>
          <w:i/>
        </w:rPr>
        <w:t>Stepladders—bracing for treads</w:t>
      </w:r>
      <w:r>
        <w:rPr>
          <w:color w:val="000000"/>
        </w:rPr>
        <w:t>—</w:t>
      </w:r>
      <w:r>
        <w:rPr>
          <w:rStyle w:val="charItals"/>
          <w:i/>
        </w:rPr>
        <w:t>attachment of bracing to treads</w:t>
      </w:r>
    </w:p>
    <w:p w:rsidR="00B40966" w:rsidRDefault="00B40966">
      <w:pPr>
        <w:pStyle w:val="Amain"/>
      </w:pPr>
      <w:r>
        <w:tab/>
        <w:t>(95)</w:t>
      </w:r>
      <w:r>
        <w:tab/>
        <w:t>The backs of treads shall be braced each side adjacent to the side rails with a bracing strip fitted in a direction parallel with the side rails.</w:t>
      </w:r>
    </w:p>
    <w:p w:rsidR="00B40966" w:rsidRDefault="00B40966">
      <w:pPr>
        <w:pStyle w:val="Amain"/>
      </w:pPr>
      <w:r>
        <w:tab/>
        <w:t>(96)</w:t>
      </w:r>
      <w:r>
        <w:tab/>
        <w:t>The bracing strips shall be so fitted that distance between them measured along a tread shall be not less than 10</w:t>
      </w:r>
      <w:r>
        <w:rPr>
          <w:position w:val="6"/>
          <w:sz w:val="18"/>
        </w:rPr>
        <w:t>1</w:t>
      </w:r>
      <w:r>
        <w:t>/</w:t>
      </w:r>
      <w:r>
        <w:rPr>
          <w:sz w:val="18"/>
        </w:rPr>
        <w:t>2</w:t>
      </w:r>
      <w:r>
        <w:t xml:space="preserve"> inches.</w:t>
      </w:r>
    </w:p>
    <w:p w:rsidR="00B40966" w:rsidRDefault="00B40966">
      <w:pPr>
        <w:pStyle w:val="Amain"/>
      </w:pPr>
      <w:r>
        <w:tab/>
        <w:t>(97)</w:t>
      </w:r>
      <w:r>
        <w:tab/>
        <w:t>The distance between the outside face of a side rail and the inner edge of adjacent bracing strip shall not exceed 4</w:t>
      </w:r>
      <w:r>
        <w:rPr>
          <w:b/>
        </w:rPr>
        <w:t xml:space="preserve"> </w:t>
      </w:r>
      <w:r>
        <w:t>inches.</w:t>
      </w:r>
    </w:p>
    <w:p w:rsidR="00B40966" w:rsidRDefault="00B40966">
      <w:pPr>
        <w:pStyle w:val="Assectheading"/>
        <w:rPr>
          <w:i w:val="0"/>
        </w:rPr>
      </w:pPr>
      <w:r>
        <w:rPr>
          <w:rStyle w:val="charItals"/>
          <w:i/>
        </w:rPr>
        <w:t>Stepladders—top step—material</w:t>
      </w:r>
    </w:p>
    <w:p w:rsidR="00B40966" w:rsidRDefault="00B40966">
      <w:pPr>
        <w:pStyle w:val="Amain"/>
      </w:pPr>
      <w:r>
        <w:tab/>
        <w:t>(98)</w:t>
      </w:r>
      <w:r>
        <w:tab/>
        <w:t>The top step at the extreme top of the stepladder shall be constructed of timber.</w:t>
      </w:r>
    </w:p>
    <w:p w:rsidR="00B40966" w:rsidRDefault="00B40966">
      <w:pPr>
        <w:pStyle w:val="Assectheading"/>
        <w:rPr>
          <w:i w:val="0"/>
        </w:rPr>
      </w:pPr>
      <w:r>
        <w:rPr>
          <w:rStyle w:val="charItals"/>
          <w:i/>
        </w:rPr>
        <w:t>Stepladders—top step—dimensions</w:t>
      </w:r>
    </w:p>
    <w:p w:rsidR="00B40966" w:rsidRDefault="00B40966">
      <w:pPr>
        <w:pStyle w:val="Amain"/>
      </w:pPr>
      <w:r>
        <w:tab/>
        <w:t>(99)</w:t>
      </w:r>
      <w:r>
        <w:tab/>
        <w:t>The top step shall be not less than 15 inches long, 4</w:t>
      </w:r>
      <w:r>
        <w:rPr>
          <w:position w:val="6"/>
          <w:sz w:val="18"/>
        </w:rPr>
        <w:t>1</w:t>
      </w:r>
      <w:r>
        <w:t>/</w:t>
      </w:r>
      <w:r>
        <w:rPr>
          <w:sz w:val="18"/>
        </w:rPr>
        <w:t>2</w:t>
      </w:r>
      <w:r>
        <w:t xml:space="preserve"> inches wide, and </w:t>
      </w:r>
      <w:r>
        <w:rPr>
          <w:position w:val="6"/>
          <w:sz w:val="18"/>
        </w:rPr>
        <w:t>13</w:t>
      </w:r>
      <w:r>
        <w:t>/</w:t>
      </w:r>
      <w:r>
        <w:rPr>
          <w:sz w:val="18"/>
        </w:rPr>
        <w:t>16</w:t>
      </w:r>
      <w:r>
        <w:t xml:space="preserve"> of an inch thick, or more than 16 inches long, 5</w:t>
      </w:r>
      <w:r>
        <w:rPr>
          <w:b/>
        </w:rPr>
        <w:t xml:space="preserve"> </w:t>
      </w:r>
      <w:r>
        <w:t>inches wide and 1</w:t>
      </w:r>
      <w:r>
        <w:rPr>
          <w:b/>
        </w:rPr>
        <w:t xml:space="preserve"> </w:t>
      </w:r>
      <w:r>
        <w:t>inch thick.</w:t>
      </w:r>
    </w:p>
    <w:p w:rsidR="00B40966" w:rsidRDefault="00B40966">
      <w:pPr>
        <w:pStyle w:val="Assectheading"/>
        <w:rPr>
          <w:i w:val="0"/>
        </w:rPr>
      </w:pPr>
      <w:r>
        <w:rPr>
          <w:rStyle w:val="charItals"/>
          <w:i/>
        </w:rPr>
        <w:t>Stepladders—back support plate for top step—material</w:t>
      </w:r>
    </w:p>
    <w:p w:rsidR="00B40966" w:rsidRDefault="00B40966">
      <w:pPr>
        <w:pStyle w:val="Amain"/>
      </w:pPr>
      <w:r>
        <w:tab/>
        <w:t>(100)</w:t>
      </w:r>
      <w:r>
        <w:tab/>
        <w:t>The back support plate shall be of timber or other approved material.</w:t>
      </w:r>
    </w:p>
    <w:p w:rsidR="00B40966" w:rsidRDefault="00B40966">
      <w:pPr>
        <w:pStyle w:val="Assectheading"/>
        <w:rPr>
          <w:i w:val="0"/>
        </w:rPr>
      </w:pPr>
      <w:r>
        <w:rPr>
          <w:rStyle w:val="charItals"/>
          <w:i/>
        </w:rPr>
        <w:t>Stepladders—back support plate for top step—dimensions and fitting</w:t>
      </w:r>
    </w:p>
    <w:p w:rsidR="00B40966" w:rsidRDefault="00B40966">
      <w:pPr>
        <w:pStyle w:val="Amain"/>
      </w:pPr>
      <w:r>
        <w:tab/>
        <w:t>(101)</w:t>
      </w:r>
      <w:r>
        <w:tab/>
        <w:t>The back support plate, if of timber, shall be not less than 15 inches long, 3</w:t>
      </w:r>
      <w:r>
        <w:rPr>
          <w:position w:val="6"/>
          <w:sz w:val="18"/>
        </w:rPr>
        <w:t>1</w:t>
      </w:r>
      <w:r>
        <w:t>/</w:t>
      </w:r>
      <w:r>
        <w:rPr>
          <w:sz w:val="18"/>
        </w:rPr>
        <w:t>2</w:t>
      </w:r>
      <w:r>
        <w:t xml:space="preserve"> inches wide and </w:t>
      </w:r>
      <w:r>
        <w:rPr>
          <w:position w:val="6"/>
          <w:sz w:val="18"/>
        </w:rPr>
        <w:t>13</w:t>
      </w:r>
      <w:r>
        <w:t>/</w:t>
      </w:r>
      <w:r>
        <w:rPr>
          <w:sz w:val="18"/>
        </w:rPr>
        <w:t>16</w:t>
      </w:r>
      <w:r>
        <w:t xml:space="preserve"> of an inch thick.</w:t>
      </w:r>
    </w:p>
    <w:p w:rsidR="00B40966" w:rsidRDefault="00B40966">
      <w:pPr>
        <w:pStyle w:val="Amain"/>
      </w:pPr>
      <w:r>
        <w:tab/>
        <w:t>(102)</w:t>
      </w:r>
      <w:r>
        <w:tab/>
        <w:t>This plate shall properly accommodate the strap hinges if they are used and shall with the side rails properly support the top step.</w:t>
      </w:r>
    </w:p>
    <w:p w:rsidR="00B40966" w:rsidRDefault="00B40966">
      <w:pPr>
        <w:pStyle w:val="Assectheading"/>
        <w:rPr>
          <w:i w:val="0"/>
        </w:rPr>
      </w:pPr>
      <w:r>
        <w:rPr>
          <w:rStyle w:val="charItals"/>
          <w:i/>
        </w:rPr>
        <w:t>Stepladders—hinges</w:t>
      </w:r>
    </w:p>
    <w:p w:rsidR="00B40966" w:rsidRDefault="00B40966">
      <w:pPr>
        <w:pStyle w:val="Amain"/>
      </w:pPr>
      <w:r>
        <w:tab/>
        <w:t>(103)</w:t>
      </w:r>
      <w:r>
        <w:tab/>
        <w:t>Stepladders whose length is 8</w:t>
      </w:r>
      <w:r>
        <w:rPr>
          <w:b/>
        </w:rPr>
        <w:t xml:space="preserve"> </w:t>
      </w:r>
      <w:r>
        <w:t>feet or less shall have the back legs hinged by means of 2 (two)</w:t>
      </w:r>
      <w:r>
        <w:rPr>
          <w:b/>
        </w:rPr>
        <w:t xml:space="preserve"> </w:t>
      </w:r>
      <w:r>
        <w:t>6</w:t>
      </w:r>
      <w:r>
        <w:rPr>
          <w:b/>
        </w:rPr>
        <w:t xml:space="preserve"> </w:t>
      </w:r>
      <w:r>
        <w:t>inch steel strap hinges or other approved method.</w:t>
      </w:r>
    </w:p>
    <w:p w:rsidR="00B40966" w:rsidRDefault="00B40966">
      <w:pPr>
        <w:pStyle w:val="Amain"/>
      </w:pPr>
      <w:r>
        <w:tab/>
        <w:t>(104)</w:t>
      </w:r>
      <w:r>
        <w:tab/>
        <w:t>The strap hinges shall be of not less than 0.062 inches thickness (16 gauge steel) and shall be secured by bolts or wood screws, both bolts or screws to be not less than 0.149 inches diameter (7</w:t>
      </w:r>
      <w:r>
        <w:rPr>
          <w:b/>
        </w:rPr>
        <w:t xml:space="preserve"> </w:t>
      </w:r>
      <w:r>
        <w:t xml:space="preserve">gauge) </w:t>
      </w:r>
      <w:r>
        <w:rPr>
          <w:position w:val="6"/>
          <w:sz w:val="18"/>
        </w:rPr>
        <w:t>3</w:t>
      </w:r>
      <w:r>
        <w:t>/</w:t>
      </w:r>
      <w:r>
        <w:rPr>
          <w:sz w:val="18"/>
        </w:rPr>
        <w:t>4</w:t>
      </w:r>
      <w:r>
        <w:t xml:space="preserve"> of an inch long.</w:t>
      </w:r>
    </w:p>
    <w:p w:rsidR="00B40966" w:rsidRDefault="00B40966">
      <w:pPr>
        <w:pStyle w:val="Amain"/>
      </w:pPr>
      <w:r>
        <w:tab/>
        <w:t>(105)</w:t>
      </w:r>
      <w:r>
        <w:tab/>
        <w:t>Cast hinges shall not be used.</w:t>
      </w:r>
    </w:p>
    <w:p w:rsidR="00B40966" w:rsidRDefault="00B40966">
      <w:pPr>
        <w:pStyle w:val="Amain"/>
      </w:pPr>
      <w:r>
        <w:tab/>
        <w:t>(106)</w:t>
      </w:r>
      <w:r>
        <w:tab/>
        <w:t>Stepladders whose length exceeds 8</w:t>
      </w:r>
      <w:r>
        <w:rPr>
          <w:b/>
        </w:rPr>
        <w:t xml:space="preserve"> </w:t>
      </w:r>
      <w:r>
        <w:t>feet shall have their back legs hinged direct to the side rails.</w:t>
      </w:r>
    </w:p>
    <w:p w:rsidR="00B40966" w:rsidRDefault="00B40966">
      <w:pPr>
        <w:pStyle w:val="Amain"/>
      </w:pPr>
      <w:r>
        <w:tab/>
        <w:t>(107)</w:t>
      </w:r>
      <w:r>
        <w:tab/>
        <w:t>For this purpose, the back legs shall be so arranged that they lie on the outside of their respective side rails, wide face to wide face.</w:t>
      </w:r>
    </w:p>
    <w:p w:rsidR="00B40966" w:rsidRDefault="00B40966">
      <w:pPr>
        <w:pStyle w:val="Amain"/>
      </w:pPr>
      <w:r>
        <w:tab/>
        <w:t>(108)</w:t>
      </w:r>
      <w:r>
        <w:tab/>
        <w:t xml:space="preserve">The hinge shall consist of 2 bolts not less than </w:t>
      </w:r>
      <w:r>
        <w:rPr>
          <w:position w:val="6"/>
          <w:sz w:val="18"/>
        </w:rPr>
        <w:t>3</w:t>
      </w:r>
      <w:r>
        <w:t>/</w:t>
      </w:r>
      <w:r>
        <w:rPr>
          <w:sz w:val="18"/>
        </w:rPr>
        <w:t>8</w:t>
      </w:r>
      <w:r>
        <w:t xml:space="preserve"> of an inch or more than </w:t>
      </w:r>
      <w:r>
        <w:rPr>
          <w:position w:val="6"/>
          <w:sz w:val="18"/>
        </w:rPr>
        <w:t>1</w:t>
      </w:r>
      <w:r>
        <w:t>/</w:t>
      </w:r>
      <w:r>
        <w:rPr>
          <w:sz w:val="18"/>
        </w:rPr>
        <w:t>2</w:t>
      </w:r>
      <w:r>
        <w:t xml:space="preserve"> an inch in diameter, each bolt connecting a back leg and its adjacent side rail each side.</w:t>
      </w:r>
    </w:p>
    <w:p w:rsidR="00B40966" w:rsidRDefault="00B40966">
      <w:pPr>
        <w:pStyle w:val="Amain"/>
      </w:pPr>
      <w:r>
        <w:tab/>
        <w:t>(109)</w:t>
      </w:r>
      <w:r>
        <w:tab/>
        <w:t>Each hinge bolt shall pass through the centre-line of the wide faces of adjacent members, shall be in line and be fitted not less than 3 inches from the ends of side rails and back legs and nuts shall be properly riveted over.</w:t>
      </w:r>
    </w:p>
    <w:p w:rsidR="00B40966" w:rsidRDefault="00B40966">
      <w:pPr>
        <w:pStyle w:val="Amain"/>
      </w:pPr>
      <w:r>
        <w:tab/>
        <w:t>(110)</w:t>
      </w:r>
      <w:r>
        <w:tab/>
        <w:t>Metal bearing plates of at least 0.05 inches (18 gauge) thickness shall be fitted to each face of each back leg and side rail on which the hinge bolts shall bear.</w:t>
      </w:r>
    </w:p>
    <w:p w:rsidR="00B40966" w:rsidRDefault="00B40966">
      <w:pPr>
        <w:pStyle w:val="Amain"/>
      </w:pPr>
      <w:r>
        <w:tab/>
        <w:t>(111)</w:t>
      </w:r>
      <w:r>
        <w:tab/>
        <w:t xml:space="preserve">A clearance hole </w:t>
      </w:r>
      <w:r>
        <w:rPr>
          <w:position w:val="6"/>
          <w:sz w:val="18"/>
        </w:rPr>
        <w:t>1</w:t>
      </w:r>
      <w:r>
        <w:t>/</w:t>
      </w:r>
      <w:r>
        <w:rPr>
          <w:sz w:val="18"/>
        </w:rPr>
        <w:t>16</w:t>
      </w:r>
      <w:r>
        <w:t xml:space="preserve"> of an inch greater in diameter than the hinge bolt shall be drilled in the side rails and back legs for this purpose.</w:t>
      </w:r>
    </w:p>
    <w:p w:rsidR="00B40966" w:rsidRDefault="00B40966">
      <w:pPr>
        <w:pStyle w:val="Assectheading"/>
        <w:rPr>
          <w:color w:val="000000"/>
        </w:rPr>
      </w:pPr>
      <w:r>
        <w:rPr>
          <w:rStyle w:val="charItals"/>
          <w:i/>
        </w:rPr>
        <w:t>Stepladders—ties—side rails to side rails—material</w:t>
      </w:r>
    </w:p>
    <w:p w:rsidR="00B40966" w:rsidRDefault="00B40966">
      <w:pPr>
        <w:pStyle w:val="Amain"/>
      </w:pPr>
      <w:r>
        <w:tab/>
        <w:t>(112)</w:t>
      </w:r>
      <w:r>
        <w:tab/>
        <w:t>Ties shall be of steel or other approved material.</w:t>
      </w:r>
    </w:p>
    <w:p w:rsidR="00B40966" w:rsidRDefault="00B40966">
      <w:pPr>
        <w:pStyle w:val="Assectheading"/>
        <w:rPr>
          <w:color w:val="000000"/>
        </w:rPr>
      </w:pPr>
      <w:r>
        <w:rPr>
          <w:rStyle w:val="charItals"/>
          <w:i/>
        </w:rPr>
        <w:t>Stepladders—ties—side rails to side rails—dimensions</w:t>
      </w:r>
    </w:p>
    <w:p w:rsidR="00B40966" w:rsidRDefault="00B40966">
      <w:pPr>
        <w:pStyle w:val="Amain"/>
      </w:pPr>
      <w:r>
        <w:tab/>
        <w:t>(113)</w:t>
      </w:r>
      <w:r>
        <w:tab/>
        <w:t xml:space="preserve">Ties, if of steel, shall be not less than </w:t>
      </w:r>
      <w:r>
        <w:rPr>
          <w:position w:val="6"/>
          <w:sz w:val="18"/>
        </w:rPr>
        <w:t>1</w:t>
      </w:r>
      <w:r>
        <w:t>/</w:t>
      </w:r>
      <w:r>
        <w:rPr>
          <w:sz w:val="18"/>
        </w:rPr>
        <w:t>4</w:t>
      </w:r>
      <w:r>
        <w:t xml:space="preserve"> or more than </w:t>
      </w:r>
      <w:r>
        <w:rPr>
          <w:position w:val="6"/>
          <w:sz w:val="18"/>
        </w:rPr>
        <w:t>3</w:t>
      </w:r>
      <w:r>
        <w:t>/</w:t>
      </w:r>
      <w:r>
        <w:rPr>
          <w:sz w:val="18"/>
        </w:rPr>
        <w:t>8</w:t>
      </w:r>
      <w:r>
        <w:t xml:space="preserve"> of an inch in diameter and be fitted with washers at each end at least 0.05 inches thickness (18 gauge steel) twice the diameter of the tie rod hole in each side rail.</w:t>
      </w:r>
    </w:p>
    <w:p w:rsidR="00B40966" w:rsidRDefault="00B40966">
      <w:pPr>
        <w:pStyle w:val="Assectheading"/>
        <w:rPr>
          <w:color w:val="000000"/>
        </w:rPr>
      </w:pPr>
      <w:r>
        <w:rPr>
          <w:rStyle w:val="charItals"/>
          <w:i/>
        </w:rPr>
        <w:t>Stepladders—ties—side rails to side rails—spacing and attachment of ties</w:t>
      </w:r>
    </w:p>
    <w:p w:rsidR="00B40966" w:rsidRDefault="00B40966">
      <w:pPr>
        <w:pStyle w:val="Amain"/>
      </w:pPr>
      <w:r>
        <w:tab/>
        <w:t>(114)</w:t>
      </w:r>
      <w:r>
        <w:tab/>
        <w:t>Ties shall be fitted to all stepladders whose lengths exceed 5</w:t>
      </w:r>
      <w:r>
        <w:rPr>
          <w:b/>
        </w:rPr>
        <w:t xml:space="preserve"> </w:t>
      </w:r>
      <w:r>
        <w:t>feet.</w:t>
      </w:r>
    </w:p>
    <w:p w:rsidR="00B40966" w:rsidRDefault="00B40966">
      <w:pPr>
        <w:pStyle w:val="Amain"/>
      </w:pPr>
      <w:r>
        <w:tab/>
        <w:t>(115)</w:t>
      </w:r>
      <w:r>
        <w:tab/>
        <w:t>Ladders over 5</w:t>
      </w:r>
      <w:r>
        <w:rPr>
          <w:b/>
        </w:rPr>
        <w:t xml:space="preserve"> </w:t>
      </w:r>
      <w:r>
        <w:t>feet in length shall have at least 2 ties.</w:t>
      </w:r>
    </w:p>
    <w:p w:rsidR="00B40966" w:rsidRDefault="00B40966">
      <w:pPr>
        <w:pStyle w:val="Amain"/>
      </w:pPr>
      <w:r>
        <w:tab/>
        <w:t>(116)</w:t>
      </w:r>
      <w:r>
        <w:tab/>
        <w:t>One tie shall be fitted at the bottom tread, ties shall be equally spaced if practicable, and the maximum distance between ties or tie and top step shall not exceed 5</w:t>
      </w:r>
      <w:r>
        <w:rPr>
          <w:b/>
        </w:rPr>
        <w:t xml:space="preserve"> </w:t>
      </w:r>
      <w:r>
        <w:t>feet.</w:t>
      </w:r>
    </w:p>
    <w:p w:rsidR="00B40966" w:rsidRDefault="00B40966">
      <w:pPr>
        <w:pStyle w:val="Amain"/>
      </w:pPr>
      <w:r>
        <w:tab/>
        <w:t>(117)</w:t>
      </w:r>
      <w:r>
        <w:tab/>
        <w:t>Ties shall be fitted immediately below their adjacent treads, pass through the centre-line of the wide face of each side rail and be well riveted over washers at their ends to prevent spreading of the side rails.</w:t>
      </w:r>
    </w:p>
    <w:p w:rsidR="00B40966" w:rsidRDefault="00B40966">
      <w:pPr>
        <w:pStyle w:val="TableHd"/>
        <w:ind w:left="1368" w:hanging="1368"/>
      </w:pPr>
      <w:r>
        <w:t>Table 142.3</w:t>
      </w:r>
      <w:r>
        <w:tab/>
        <w:t>Dimensions of timber stepladders</w:t>
      </w:r>
    </w:p>
    <w:tbl>
      <w:tblPr>
        <w:tblW w:w="0" w:type="auto"/>
        <w:tblInd w:w="-400" w:type="dxa"/>
        <w:tblLayout w:type="fixed"/>
        <w:tblCellMar>
          <w:left w:w="80" w:type="dxa"/>
          <w:right w:w="80" w:type="dxa"/>
        </w:tblCellMar>
        <w:tblLook w:val="0000" w:firstRow="0" w:lastRow="0" w:firstColumn="0" w:lastColumn="0" w:noHBand="0" w:noVBand="0"/>
      </w:tblPr>
      <w:tblGrid>
        <w:gridCol w:w="900"/>
        <w:gridCol w:w="912"/>
        <w:gridCol w:w="1116"/>
        <w:gridCol w:w="1248"/>
        <w:gridCol w:w="1080"/>
        <w:gridCol w:w="1116"/>
        <w:gridCol w:w="924"/>
        <w:gridCol w:w="1104"/>
        <w:gridCol w:w="12"/>
      </w:tblGrid>
      <w:tr w:rsidR="00B40966">
        <w:trPr>
          <w:gridAfter w:val="1"/>
          <w:wAfter w:w="12" w:type="dxa"/>
          <w:cantSplit/>
        </w:trPr>
        <w:tc>
          <w:tcPr>
            <w:tcW w:w="900" w:type="dxa"/>
            <w:tcBorders>
              <w:top w:val="single" w:sz="6" w:space="0" w:color="auto"/>
              <w:right w:val="single" w:sz="6" w:space="0" w:color="auto"/>
            </w:tcBorders>
          </w:tcPr>
          <w:p w:rsidR="00B40966" w:rsidRDefault="00B40966">
            <w:pPr>
              <w:pStyle w:val="TableColHd"/>
            </w:pPr>
          </w:p>
        </w:tc>
        <w:tc>
          <w:tcPr>
            <w:tcW w:w="7500" w:type="dxa"/>
            <w:gridSpan w:val="7"/>
            <w:tcBorders>
              <w:top w:val="single" w:sz="6" w:space="0" w:color="auto"/>
              <w:bottom w:val="single" w:sz="6" w:space="0" w:color="auto"/>
            </w:tcBorders>
          </w:tcPr>
          <w:p w:rsidR="00B40966" w:rsidRDefault="00B40966">
            <w:pPr>
              <w:pStyle w:val="TableColHd"/>
              <w:jc w:val="center"/>
            </w:pPr>
            <w:r>
              <w:t>least dimensions of components (in inches)</w:t>
            </w:r>
          </w:p>
        </w:tc>
      </w:tr>
      <w:tr w:rsidR="00B40966">
        <w:trPr>
          <w:gridAfter w:val="1"/>
          <w:wAfter w:w="12" w:type="dxa"/>
          <w:cantSplit/>
        </w:trPr>
        <w:tc>
          <w:tcPr>
            <w:tcW w:w="900" w:type="dxa"/>
            <w:tcBorders>
              <w:right w:val="single" w:sz="6" w:space="0" w:color="auto"/>
            </w:tcBorders>
            <w:vAlign w:val="bottom"/>
          </w:tcPr>
          <w:p w:rsidR="00B40966" w:rsidRDefault="00B40966">
            <w:pPr>
              <w:pStyle w:val="TableColHd"/>
              <w:rPr>
                <w:sz w:val="16"/>
              </w:rPr>
            </w:pPr>
          </w:p>
        </w:tc>
        <w:tc>
          <w:tcPr>
            <w:tcW w:w="912" w:type="dxa"/>
            <w:vAlign w:val="bottom"/>
          </w:tcPr>
          <w:p w:rsidR="00B40966" w:rsidRDefault="00B40966">
            <w:pPr>
              <w:pStyle w:val="TableColHd"/>
              <w:rPr>
                <w:sz w:val="16"/>
              </w:rPr>
            </w:pPr>
          </w:p>
        </w:tc>
        <w:tc>
          <w:tcPr>
            <w:tcW w:w="1116" w:type="dxa"/>
            <w:tcBorders>
              <w:left w:val="single" w:sz="6" w:space="0" w:color="auto"/>
              <w:right w:val="single" w:sz="6" w:space="0" w:color="auto"/>
            </w:tcBorders>
            <w:vAlign w:val="bottom"/>
          </w:tcPr>
          <w:p w:rsidR="00B40966" w:rsidRDefault="00B40966">
            <w:pPr>
              <w:pStyle w:val="TableColHd"/>
              <w:rPr>
                <w:sz w:val="16"/>
              </w:rPr>
            </w:pPr>
          </w:p>
        </w:tc>
        <w:tc>
          <w:tcPr>
            <w:tcW w:w="1248" w:type="dxa"/>
            <w:tcBorders>
              <w:left w:val="single" w:sz="6" w:space="0" w:color="auto"/>
              <w:right w:val="single" w:sz="6" w:space="0" w:color="auto"/>
            </w:tcBorders>
            <w:vAlign w:val="bottom"/>
          </w:tcPr>
          <w:p w:rsidR="00B40966" w:rsidRDefault="00B40966">
            <w:pPr>
              <w:pStyle w:val="TableColHd"/>
              <w:rPr>
                <w:sz w:val="16"/>
              </w:rPr>
            </w:pPr>
          </w:p>
        </w:tc>
        <w:tc>
          <w:tcPr>
            <w:tcW w:w="1080" w:type="dxa"/>
            <w:tcBorders>
              <w:left w:val="single" w:sz="6" w:space="0" w:color="auto"/>
              <w:right w:val="single" w:sz="6" w:space="0" w:color="auto"/>
            </w:tcBorders>
            <w:vAlign w:val="bottom"/>
          </w:tcPr>
          <w:p w:rsidR="00B40966" w:rsidRDefault="00B40966">
            <w:pPr>
              <w:pStyle w:val="TableColHd"/>
              <w:rPr>
                <w:sz w:val="16"/>
              </w:rPr>
            </w:pPr>
          </w:p>
        </w:tc>
        <w:tc>
          <w:tcPr>
            <w:tcW w:w="2040" w:type="dxa"/>
            <w:gridSpan w:val="2"/>
            <w:tcBorders>
              <w:bottom w:val="single" w:sz="6" w:space="0" w:color="auto"/>
            </w:tcBorders>
            <w:vAlign w:val="bottom"/>
          </w:tcPr>
          <w:p w:rsidR="00B40966" w:rsidRDefault="00B40966">
            <w:pPr>
              <w:pStyle w:val="TableColHd"/>
              <w:rPr>
                <w:sz w:val="16"/>
              </w:rPr>
            </w:pPr>
            <w:r>
              <w:rPr>
                <w:sz w:val="16"/>
              </w:rPr>
              <w:t>diagonal bracing for back legs</w:t>
            </w:r>
          </w:p>
        </w:tc>
        <w:tc>
          <w:tcPr>
            <w:tcW w:w="1104" w:type="dxa"/>
            <w:tcBorders>
              <w:left w:val="single" w:sz="6" w:space="0" w:color="auto"/>
            </w:tcBorders>
            <w:vAlign w:val="bottom"/>
          </w:tcPr>
          <w:p w:rsidR="00B40966" w:rsidRDefault="00B40966">
            <w:pPr>
              <w:pStyle w:val="TableColHd"/>
              <w:rPr>
                <w:sz w:val="16"/>
              </w:rPr>
            </w:pPr>
          </w:p>
        </w:tc>
      </w:tr>
      <w:tr w:rsidR="00B40966">
        <w:trPr>
          <w:cantSplit/>
        </w:trPr>
        <w:tc>
          <w:tcPr>
            <w:tcW w:w="900" w:type="dxa"/>
            <w:tcBorders>
              <w:bottom w:val="single" w:sz="6" w:space="0" w:color="auto"/>
              <w:right w:val="single" w:sz="6" w:space="0" w:color="auto"/>
            </w:tcBorders>
            <w:vAlign w:val="bottom"/>
          </w:tcPr>
          <w:p w:rsidR="00B40966" w:rsidRDefault="00B40966">
            <w:pPr>
              <w:pStyle w:val="TableColHd"/>
              <w:rPr>
                <w:sz w:val="16"/>
              </w:rPr>
            </w:pPr>
            <w:r>
              <w:rPr>
                <w:sz w:val="16"/>
              </w:rPr>
              <w:t xml:space="preserve">ladder length </w:t>
            </w:r>
            <w:r>
              <w:rPr>
                <w:sz w:val="16"/>
              </w:rPr>
              <w:br/>
              <w:t>(in feet)</w:t>
            </w:r>
          </w:p>
        </w:tc>
        <w:tc>
          <w:tcPr>
            <w:tcW w:w="912" w:type="dxa"/>
            <w:tcBorders>
              <w:bottom w:val="single" w:sz="6" w:space="0" w:color="auto"/>
            </w:tcBorders>
            <w:vAlign w:val="bottom"/>
          </w:tcPr>
          <w:p w:rsidR="00B40966" w:rsidRDefault="00B40966">
            <w:pPr>
              <w:pStyle w:val="TableColHd"/>
              <w:rPr>
                <w:sz w:val="16"/>
              </w:rPr>
            </w:pPr>
            <w:r>
              <w:rPr>
                <w:sz w:val="16"/>
              </w:rPr>
              <w:t>side rails (stiles)</w:t>
            </w:r>
          </w:p>
        </w:tc>
        <w:tc>
          <w:tcPr>
            <w:tcW w:w="1116" w:type="dxa"/>
            <w:tcBorders>
              <w:left w:val="single" w:sz="6" w:space="0" w:color="auto"/>
              <w:bottom w:val="single" w:sz="6" w:space="0" w:color="auto"/>
              <w:right w:val="single" w:sz="6" w:space="0" w:color="auto"/>
            </w:tcBorders>
            <w:vAlign w:val="bottom"/>
          </w:tcPr>
          <w:p w:rsidR="00B40966" w:rsidRDefault="00B40966">
            <w:pPr>
              <w:pStyle w:val="TableColHd"/>
              <w:rPr>
                <w:sz w:val="16"/>
              </w:rPr>
            </w:pPr>
            <w:r>
              <w:rPr>
                <w:sz w:val="16"/>
              </w:rPr>
              <w:t>back legs</w:t>
            </w:r>
          </w:p>
        </w:tc>
        <w:tc>
          <w:tcPr>
            <w:tcW w:w="1248" w:type="dxa"/>
            <w:tcBorders>
              <w:left w:val="single" w:sz="6" w:space="0" w:color="auto"/>
              <w:bottom w:val="single" w:sz="6" w:space="0" w:color="auto"/>
              <w:right w:val="single" w:sz="6" w:space="0" w:color="auto"/>
            </w:tcBorders>
            <w:vAlign w:val="bottom"/>
          </w:tcPr>
          <w:p w:rsidR="00B40966" w:rsidRDefault="00B40966">
            <w:pPr>
              <w:pStyle w:val="TableColHd"/>
              <w:rPr>
                <w:sz w:val="16"/>
              </w:rPr>
            </w:pPr>
            <w:r>
              <w:rPr>
                <w:sz w:val="16"/>
              </w:rPr>
              <w:t>treads</w:t>
            </w:r>
          </w:p>
        </w:tc>
        <w:tc>
          <w:tcPr>
            <w:tcW w:w="1080" w:type="dxa"/>
            <w:tcBorders>
              <w:left w:val="single" w:sz="6" w:space="0" w:color="auto"/>
              <w:bottom w:val="single" w:sz="6" w:space="0" w:color="auto"/>
              <w:right w:val="single" w:sz="6" w:space="0" w:color="auto"/>
            </w:tcBorders>
            <w:vAlign w:val="bottom"/>
          </w:tcPr>
          <w:p w:rsidR="00B40966" w:rsidRDefault="00B40966">
            <w:pPr>
              <w:pStyle w:val="TableColHd"/>
              <w:rPr>
                <w:sz w:val="16"/>
              </w:rPr>
            </w:pPr>
            <w:r>
              <w:rPr>
                <w:sz w:val="16"/>
              </w:rPr>
              <w:t>battens for back legs</w:t>
            </w:r>
          </w:p>
        </w:tc>
        <w:tc>
          <w:tcPr>
            <w:tcW w:w="1116" w:type="dxa"/>
            <w:tcBorders>
              <w:bottom w:val="single" w:sz="6" w:space="0" w:color="auto"/>
            </w:tcBorders>
            <w:vAlign w:val="bottom"/>
          </w:tcPr>
          <w:p w:rsidR="00B40966" w:rsidRDefault="00B40966">
            <w:pPr>
              <w:pStyle w:val="TableColHd"/>
              <w:rPr>
                <w:sz w:val="16"/>
              </w:rPr>
            </w:pPr>
            <w:r>
              <w:rPr>
                <w:sz w:val="16"/>
              </w:rPr>
              <w:t xml:space="preserve">timber </w:t>
            </w:r>
          </w:p>
        </w:tc>
        <w:tc>
          <w:tcPr>
            <w:tcW w:w="924" w:type="dxa"/>
            <w:tcBorders>
              <w:bottom w:val="single" w:sz="6" w:space="0" w:color="auto"/>
            </w:tcBorders>
            <w:vAlign w:val="bottom"/>
          </w:tcPr>
          <w:p w:rsidR="00B40966" w:rsidRDefault="00B40966">
            <w:pPr>
              <w:pStyle w:val="TableColHd"/>
              <w:rPr>
                <w:sz w:val="16"/>
              </w:rPr>
            </w:pPr>
            <w:r>
              <w:rPr>
                <w:sz w:val="16"/>
              </w:rPr>
              <w:t>mild steel</w:t>
            </w:r>
          </w:p>
        </w:tc>
        <w:tc>
          <w:tcPr>
            <w:tcW w:w="1116" w:type="dxa"/>
            <w:gridSpan w:val="2"/>
            <w:tcBorders>
              <w:left w:val="single" w:sz="6" w:space="0" w:color="auto"/>
              <w:bottom w:val="single" w:sz="6" w:space="0" w:color="auto"/>
            </w:tcBorders>
            <w:vAlign w:val="bottom"/>
          </w:tcPr>
          <w:p w:rsidR="00B40966" w:rsidRDefault="00B40966">
            <w:pPr>
              <w:pStyle w:val="TableColHd"/>
              <w:rPr>
                <w:sz w:val="16"/>
              </w:rPr>
            </w:pPr>
            <w:r>
              <w:rPr>
                <w:sz w:val="16"/>
              </w:rPr>
              <w:t>bracing for treads</w:t>
            </w:r>
          </w:p>
        </w:tc>
      </w:tr>
      <w:tr w:rsidR="00B40966">
        <w:trPr>
          <w:cantSplit/>
        </w:trPr>
        <w:tc>
          <w:tcPr>
            <w:tcW w:w="900" w:type="dxa"/>
            <w:tcBorders>
              <w:top w:val="single" w:sz="6" w:space="0" w:color="auto"/>
              <w:right w:val="single" w:sz="6" w:space="0" w:color="auto"/>
            </w:tcBorders>
          </w:tcPr>
          <w:p w:rsidR="00B40966" w:rsidRDefault="00B40966">
            <w:pPr>
              <w:pStyle w:val="TableText"/>
              <w:rPr>
                <w:sz w:val="20"/>
              </w:rPr>
            </w:pPr>
            <w:r>
              <w:rPr>
                <w:sz w:val="20"/>
              </w:rPr>
              <w:t>8 and under</w:t>
            </w:r>
          </w:p>
        </w:tc>
        <w:tc>
          <w:tcPr>
            <w:tcW w:w="912" w:type="dxa"/>
            <w:tcBorders>
              <w:top w:val="single" w:sz="6" w:space="0" w:color="auto"/>
            </w:tcBorders>
          </w:tcPr>
          <w:p w:rsidR="00B40966" w:rsidRDefault="00B40966">
            <w:pPr>
              <w:pStyle w:val="TableText"/>
              <w:rPr>
                <w:sz w:val="20"/>
              </w:rPr>
            </w:pPr>
            <w:r>
              <w:rPr>
                <w:sz w:val="20"/>
              </w:rPr>
              <w:t>3 × 1</w:t>
            </w:r>
          </w:p>
        </w:tc>
        <w:tc>
          <w:tcPr>
            <w:tcW w:w="1116"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2</w:t>
            </w:r>
            <w:r>
              <w:rPr>
                <w:position w:val="6"/>
                <w:sz w:val="20"/>
              </w:rPr>
              <w:t>3</w:t>
            </w:r>
            <w:r>
              <w:rPr>
                <w:sz w:val="20"/>
              </w:rPr>
              <w:t xml:space="preserve">/4 x </w:t>
            </w:r>
            <w:r>
              <w:rPr>
                <w:position w:val="6"/>
                <w:sz w:val="20"/>
              </w:rPr>
              <w:t>3</w:t>
            </w:r>
            <w:r>
              <w:rPr>
                <w:sz w:val="20"/>
              </w:rPr>
              <w:t>/4</w:t>
            </w:r>
          </w:p>
        </w:tc>
        <w:tc>
          <w:tcPr>
            <w:tcW w:w="1248"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top w:val="single" w:sz="6" w:space="0" w:color="auto"/>
            </w:tcBorders>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top w:val="single" w:sz="6" w:space="0" w:color="auto"/>
            </w:tcBorders>
          </w:tcPr>
          <w:p w:rsidR="00B40966" w:rsidRDefault="00B40966">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top w:val="single" w:sz="6" w:space="0" w:color="auto"/>
              <w:left w:val="single" w:sz="6" w:space="0" w:color="auto"/>
            </w:tcBorders>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B40966">
        <w:trPr>
          <w:cantSplit/>
        </w:trPr>
        <w:tc>
          <w:tcPr>
            <w:tcW w:w="900" w:type="dxa"/>
            <w:tcBorders>
              <w:right w:val="single" w:sz="6" w:space="0" w:color="auto"/>
            </w:tcBorders>
          </w:tcPr>
          <w:p w:rsidR="00B40966" w:rsidRDefault="00B40966">
            <w:pPr>
              <w:pStyle w:val="TableText"/>
              <w:rPr>
                <w:sz w:val="20"/>
              </w:rPr>
            </w:pPr>
            <w:r>
              <w:rPr>
                <w:sz w:val="20"/>
              </w:rPr>
              <w:t>9 to 12</w:t>
            </w:r>
          </w:p>
        </w:tc>
        <w:tc>
          <w:tcPr>
            <w:tcW w:w="912" w:type="dxa"/>
          </w:tcPr>
          <w:p w:rsidR="00B40966" w:rsidRDefault="00B40966">
            <w:pPr>
              <w:pStyle w:val="TableText"/>
              <w:rPr>
                <w:sz w:val="20"/>
              </w:rPr>
            </w:pPr>
            <w:r>
              <w:rPr>
                <w:sz w:val="20"/>
              </w:rPr>
              <w:t>3</w:t>
            </w:r>
            <w:r>
              <w:rPr>
                <w:position w:val="6"/>
                <w:sz w:val="20"/>
              </w:rPr>
              <w:t>1</w:t>
            </w:r>
            <w:r>
              <w:rPr>
                <w:sz w:val="20"/>
              </w:rPr>
              <w:t>/4 x 1</w:t>
            </w:r>
          </w:p>
        </w:tc>
        <w:tc>
          <w:tcPr>
            <w:tcW w:w="1116" w:type="dxa"/>
            <w:tcBorders>
              <w:left w:val="single" w:sz="6" w:space="0" w:color="auto"/>
              <w:right w:val="single" w:sz="6" w:space="0" w:color="auto"/>
            </w:tcBorders>
          </w:tcPr>
          <w:p w:rsidR="00B40966" w:rsidRDefault="00B40966">
            <w:pPr>
              <w:pStyle w:val="TableText"/>
              <w:rPr>
                <w:sz w:val="20"/>
              </w:rPr>
            </w:pPr>
            <w:r>
              <w:rPr>
                <w:sz w:val="20"/>
              </w:rPr>
              <w:t>3 × 1</w:t>
            </w:r>
          </w:p>
        </w:tc>
        <w:tc>
          <w:tcPr>
            <w:tcW w:w="1248" w:type="dxa"/>
            <w:tcBorders>
              <w:left w:val="single" w:sz="6" w:space="0" w:color="auto"/>
              <w:right w:val="single" w:sz="6" w:space="0" w:color="auto"/>
            </w:tcBorders>
          </w:tcPr>
          <w:p w:rsidR="00B40966" w:rsidRDefault="00B40966">
            <w:pPr>
              <w:pStyle w:val="TableText"/>
              <w:rPr>
                <w:sz w:val="20"/>
              </w:rPr>
            </w:pPr>
            <w:r>
              <w:rPr>
                <w:sz w:val="20"/>
              </w:rPr>
              <w:t>3</w:t>
            </w:r>
            <w:r>
              <w:rPr>
                <w:position w:val="4"/>
                <w:sz w:val="20"/>
              </w:rPr>
              <w:t>1</w:t>
            </w:r>
            <w:r>
              <w:rPr>
                <w:sz w:val="20"/>
              </w:rPr>
              <w:t xml:space="preserve">/2 x </w:t>
            </w:r>
            <w:r>
              <w:rPr>
                <w:position w:val="4"/>
                <w:sz w:val="20"/>
              </w:rPr>
              <w:t>13</w:t>
            </w:r>
            <w:r>
              <w:rPr>
                <w:sz w:val="20"/>
              </w:rPr>
              <w:t>/16</w:t>
            </w:r>
          </w:p>
        </w:tc>
        <w:tc>
          <w:tcPr>
            <w:tcW w:w="1080" w:type="dxa"/>
            <w:tcBorders>
              <w:left w:val="single" w:sz="6" w:space="0" w:color="auto"/>
              <w:right w:val="single" w:sz="6" w:space="0" w:color="auto"/>
            </w:tcBorders>
          </w:tcPr>
          <w:p w:rsidR="00B40966" w:rsidRDefault="00B40966">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Pr>
          <w:p w:rsidR="00B40966" w:rsidRDefault="00B40966">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tcBorders>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r w:rsidR="00B40966">
        <w:trPr>
          <w:cantSplit/>
        </w:trPr>
        <w:tc>
          <w:tcPr>
            <w:tcW w:w="900" w:type="dxa"/>
            <w:tcBorders>
              <w:bottom w:val="single" w:sz="6" w:space="0" w:color="auto"/>
              <w:right w:val="single" w:sz="6" w:space="0" w:color="auto"/>
            </w:tcBorders>
          </w:tcPr>
          <w:p w:rsidR="00B40966" w:rsidRDefault="00B40966">
            <w:pPr>
              <w:pStyle w:val="TableText"/>
              <w:rPr>
                <w:sz w:val="20"/>
              </w:rPr>
            </w:pPr>
            <w:r>
              <w:rPr>
                <w:sz w:val="20"/>
              </w:rPr>
              <w:t>13 to 18</w:t>
            </w:r>
          </w:p>
        </w:tc>
        <w:tc>
          <w:tcPr>
            <w:tcW w:w="912" w:type="dxa"/>
            <w:tcBorders>
              <w:bottom w:val="single" w:sz="6" w:space="0" w:color="auto"/>
            </w:tcBorders>
          </w:tcPr>
          <w:p w:rsidR="00B40966" w:rsidRDefault="00B40966">
            <w:pPr>
              <w:pStyle w:val="TableText"/>
              <w:rPr>
                <w:sz w:val="20"/>
              </w:rPr>
            </w:pPr>
            <w:r>
              <w:rPr>
                <w:sz w:val="20"/>
              </w:rPr>
              <w:t>3</w:t>
            </w:r>
            <w:r>
              <w:rPr>
                <w:position w:val="6"/>
                <w:sz w:val="20"/>
              </w:rPr>
              <w:t>3</w:t>
            </w:r>
            <w:r>
              <w:rPr>
                <w:sz w:val="20"/>
              </w:rPr>
              <w:t>/4 x 1</w:t>
            </w:r>
          </w:p>
        </w:tc>
        <w:tc>
          <w:tcPr>
            <w:tcW w:w="1116"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3</w:t>
            </w:r>
            <w:r>
              <w:rPr>
                <w:position w:val="4"/>
                <w:sz w:val="20"/>
              </w:rPr>
              <w:t>1</w:t>
            </w:r>
            <w:r>
              <w:rPr>
                <w:sz w:val="20"/>
              </w:rPr>
              <w:t>/4 x 1</w:t>
            </w:r>
          </w:p>
        </w:tc>
        <w:tc>
          <w:tcPr>
            <w:tcW w:w="1248"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3 x 1</w:t>
            </w:r>
          </w:p>
        </w:tc>
        <w:tc>
          <w:tcPr>
            <w:tcW w:w="108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2</w:t>
            </w:r>
            <w:r>
              <w:rPr>
                <w:position w:val="4"/>
                <w:sz w:val="20"/>
              </w:rPr>
              <w:t>3</w:t>
            </w:r>
            <w:r>
              <w:rPr>
                <w:sz w:val="20"/>
              </w:rPr>
              <w:t xml:space="preserve">/4 x </w:t>
            </w:r>
            <w:r>
              <w:rPr>
                <w:position w:val="4"/>
                <w:sz w:val="20"/>
              </w:rPr>
              <w:t>3</w:t>
            </w:r>
            <w:r>
              <w:rPr>
                <w:sz w:val="20"/>
              </w:rPr>
              <w:t>/4</w:t>
            </w:r>
          </w:p>
        </w:tc>
        <w:tc>
          <w:tcPr>
            <w:tcW w:w="1116" w:type="dxa"/>
            <w:tcBorders>
              <w:bottom w:val="single" w:sz="6" w:space="0" w:color="auto"/>
            </w:tcBorders>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c>
          <w:tcPr>
            <w:tcW w:w="924" w:type="dxa"/>
            <w:tcBorders>
              <w:bottom w:val="single" w:sz="6" w:space="0" w:color="auto"/>
            </w:tcBorders>
          </w:tcPr>
          <w:p w:rsidR="00B40966" w:rsidRDefault="00B40966">
            <w:pPr>
              <w:pStyle w:val="TableText"/>
              <w:rPr>
                <w:sz w:val="20"/>
              </w:rPr>
            </w:pPr>
            <w:r>
              <w:rPr>
                <w:position w:val="4"/>
                <w:sz w:val="20"/>
              </w:rPr>
              <w:t>3</w:t>
            </w:r>
            <w:r>
              <w:rPr>
                <w:sz w:val="20"/>
              </w:rPr>
              <w:t>/4 x</w:t>
            </w:r>
            <w:r>
              <w:rPr>
                <w:position w:val="4"/>
                <w:sz w:val="20"/>
              </w:rPr>
              <w:t xml:space="preserve"> 1</w:t>
            </w:r>
            <w:r>
              <w:rPr>
                <w:sz w:val="20"/>
              </w:rPr>
              <w:t>/8</w:t>
            </w:r>
          </w:p>
        </w:tc>
        <w:tc>
          <w:tcPr>
            <w:tcW w:w="1116" w:type="dxa"/>
            <w:gridSpan w:val="2"/>
            <w:tcBorders>
              <w:left w:val="single" w:sz="6" w:space="0" w:color="auto"/>
              <w:bottom w:val="single" w:sz="6" w:space="0" w:color="auto"/>
            </w:tcBorders>
          </w:tcPr>
          <w:p w:rsidR="00B40966" w:rsidRDefault="00B40966">
            <w:pPr>
              <w:pStyle w:val="TableText"/>
              <w:rPr>
                <w:sz w:val="20"/>
              </w:rPr>
            </w:pPr>
            <w:r>
              <w:rPr>
                <w:sz w:val="20"/>
              </w:rPr>
              <w:t>1</w:t>
            </w:r>
            <w:r>
              <w:rPr>
                <w:position w:val="4"/>
                <w:sz w:val="20"/>
              </w:rPr>
              <w:t>3</w:t>
            </w:r>
            <w:r>
              <w:rPr>
                <w:sz w:val="20"/>
              </w:rPr>
              <w:t xml:space="preserve">/4 x </w:t>
            </w:r>
            <w:r>
              <w:rPr>
                <w:position w:val="4"/>
                <w:sz w:val="20"/>
              </w:rPr>
              <w:t>5</w:t>
            </w:r>
            <w:r>
              <w:rPr>
                <w:sz w:val="20"/>
              </w:rPr>
              <w:t>/16</w:t>
            </w:r>
          </w:p>
        </w:tc>
      </w:tr>
    </w:tbl>
    <w:p w:rsidR="00B40966" w:rsidRDefault="00B40966">
      <w:pPr>
        <w:pStyle w:val="Amain"/>
        <w:rPr>
          <w:color w:val="000000"/>
        </w:rPr>
      </w:pPr>
    </w:p>
    <w:p w:rsidR="00B40966" w:rsidRDefault="00B40966">
      <w:pPr>
        <w:pStyle w:val="Assectheading"/>
        <w:rPr>
          <w:i w:val="0"/>
        </w:rPr>
      </w:pPr>
      <w:r>
        <w:rPr>
          <w:rStyle w:val="charItals"/>
          <w:i/>
        </w:rPr>
        <w:t>Trestle ladders—trestle ladders not to exceed 16 feet in length</w:t>
      </w:r>
    </w:p>
    <w:p w:rsidR="00B40966" w:rsidRDefault="00B40966">
      <w:pPr>
        <w:pStyle w:val="Amain"/>
      </w:pPr>
      <w:r>
        <w:tab/>
        <w:t>(118)</w:t>
      </w:r>
      <w:r>
        <w:tab/>
        <w:t>A trestle ladder exceeding 16 feet in length shall not be used unless otherwise approved.</w:t>
      </w:r>
    </w:p>
    <w:p w:rsidR="00B40966" w:rsidRDefault="00B40966">
      <w:pPr>
        <w:pStyle w:val="Assectheading"/>
        <w:rPr>
          <w:i w:val="0"/>
        </w:rPr>
      </w:pPr>
      <w:r>
        <w:rPr>
          <w:rStyle w:val="charItals"/>
          <w:i/>
        </w:rPr>
        <w:t>Trestle ladders—side rails (stiles)—dimensions</w:t>
      </w:r>
    </w:p>
    <w:p w:rsidR="00B40966" w:rsidRDefault="00B40966">
      <w:pPr>
        <w:pStyle w:val="Amain"/>
      </w:pPr>
      <w:r>
        <w:tab/>
        <w:t>(119)</w:t>
      </w:r>
      <w:r>
        <w:tab/>
        <w:t>Side rails shall have dimensions not less than those provided in table 142.4.</w:t>
      </w:r>
    </w:p>
    <w:p w:rsidR="00B40966" w:rsidRDefault="00B40966">
      <w:pPr>
        <w:pStyle w:val="aNote"/>
      </w:pPr>
      <w:r>
        <w:rPr>
          <w:i/>
          <w:iCs/>
        </w:rPr>
        <w:t>Note</w:t>
      </w:r>
      <w:r>
        <w:tab/>
        <w:t>Table 142.4 is after s (150).</w:t>
      </w:r>
    </w:p>
    <w:p w:rsidR="00B40966" w:rsidRDefault="00B40966">
      <w:pPr>
        <w:pStyle w:val="Assectheading"/>
        <w:rPr>
          <w:i w:val="0"/>
        </w:rPr>
      </w:pPr>
      <w:r>
        <w:rPr>
          <w:rStyle w:val="charItals"/>
          <w:i/>
        </w:rPr>
        <w:t>Trestle ladders—side rails (stiles)—spacing and spread between adjacent side rails</w:t>
      </w:r>
    </w:p>
    <w:p w:rsidR="00B40966" w:rsidRDefault="00B40966">
      <w:pPr>
        <w:pStyle w:val="Amain"/>
        <w:keepLines/>
      </w:pPr>
      <w:r>
        <w:tab/>
        <w:t>(120)</w:t>
      </w:r>
      <w:r>
        <w:tab/>
        <w:t>The width between inside faces of side rails measured at the top rung shall be not less than 15 inches or more than 21 inches for trestle ladders up to and including 8</w:t>
      </w:r>
      <w:r>
        <w:rPr>
          <w:b/>
        </w:rPr>
        <w:t xml:space="preserve"> </w:t>
      </w:r>
      <w:r>
        <w:t>feet in length, and not less than 19 inches or more than 21 inches for trestle ladders over 8</w:t>
      </w:r>
      <w:r>
        <w:rPr>
          <w:b/>
        </w:rPr>
        <w:t xml:space="preserve"> </w:t>
      </w:r>
      <w:r>
        <w:t>feet in length.</w:t>
      </w:r>
    </w:p>
    <w:p w:rsidR="00B40966" w:rsidRDefault="00B40966">
      <w:pPr>
        <w:pStyle w:val="Amain"/>
      </w:pPr>
      <w:r>
        <w:tab/>
        <w:t>(121)</w:t>
      </w:r>
      <w:r>
        <w:tab/>
        <w:t>This dimension shall increase towards the lower rungs at the rate of not less than 1</w:t>
      </w:r>
      <w:r>
        <w:rPr>
          <w:position w:val="6"/>
          <w:sz w:val="18"/>
        </w:rPr>
        <w:t>1</w:t>
      </w:r>
      <w:r>
        <w:t>/</w:t>
      </w:r>
      <w:r>
        <w:rPr>
          <w:sz w:val="18"/>
        </w:rPr>
        <w:t>2</w:t>
      </w:r>
      <w:r>
        <w:t xml:space="preserve"> inches and not more than 1</w:t>
      </w:r>
      <w:r>
        <w:rPr>
          <w:position w:val="6"/>
          <w:sz w:val="18"/>
        </w:rPr>
        <w:t>3</w:t>
      </w:r>
      <w:r>
        <w:t>/</w:t>
      </w:r>
      <w:r>
        <w:rPr>
          <w:sz w:val="18"/>
        </w:rPr>
        <w:t>4</w:t>
      </w:r>
      <w:r>
        <w:t xml:space="preserve"> inches per foot length of side rails.</w:t>
      </w:r>
    </w:p>
    <w:p w:rsidR="00B40966" w:rsidRDefault="00B40966">
      <w:pPr>
        <w:pStyle w:val="Assectheading"/>
        <w:rPr>
          <w:i w:val="0"/>
        </w:rPr>
      </w:pPr>
      <w:r>
        <w:rPr>
          <w:rStyle w:val="charItals"/>
          <w:i/>
        </w:rPr>
        <w:t>Trestle ladders—side rails (stiles)—spread between the pairs of side rails in the fully opened position</w:t>
      </w:r>
    </w:p>
    <w:p w:rsidR="00B40966" w:rsidRDefault="00B40966">
      <w:pPr>
        <w:pStyle w:val="Amain"/>
      </w:pPr>
      <w:r>
        <w:tab/>
        <w:t>(122)</w:t>
      </w:r>
      <w:r>
        <w:tab/>
        <w:t>In the fully opened position the spread between the pairs of side rails shall be not less than 4</w:t>
      </w:r>
      <w:r>
        <w:rPr>
          <w:b/>
        </w:rPr>
        <w:t xml:space="preserve"> </w:t>
      </w:r>
      <w:r>
        <w:t>inches or more than 8</w:t>
      </w:r>
      <w:r>
        <w:rPr>
          <w:b/>
        </w:rPr>
        <w:t xml:space="preserve"> </w:t>
      </w:r>
      <w:r>
        <w:t>inches per foot length of side rails.</w:t>
      </w:r>
    </w:p>
    <w:p w:rsidR="00B40966" w:rsidRDefault="00B40966">
      <w:pPr>
        <w:pStyle w:val="Assectheading"/>
        <w:rPr>
          <w:i w:val="0"/>
        </w:rPr>
      </w:pPr>
      <w:r>
        <w:rPr>
          <w:rStyle w:val="charItals"/>
          <w:i/>
        </w:rPr>
        <w:t>Trestle ladders—side rails (stiles)—holes in side rails for rungs</w:t>
      </w:r>
    </w:p>
    <w:p w:rsidR="00B40966" w:rsidRDefault="00B40966">
      <w:pPr>
        <w:pStyle w:val="Amain"/>
      </w:pPr>
      <w:r>
        <w:tab/>
        <w:t>(123)</w:t>
      </w:r>
      <w:r>
        <w:tab/>
        <w:t>All holes for rungs shall be accurately machined so that all rungs pass through the centre-line of the wide faces of the side rail.</w:t>
      </w:r>
    </w:p>
    <w:p w:rsidR="00B40966" w:rsidRDefault="00B40966">
      <w:pPr>
        <w:pStyle w:val="Amain"/>
      </w:pPr>
      <w:r>
        <w:tab/>
        <w:t>(124)</w:t>
      </w:r>
      <w:r>
        <w:tab/>
        <w:t>If practicable rungs shall not fit through the full thickness of side rails.</w:t>
      </w:r>
    </w:p>
    <w:p w:rsidR="00B40966" w:rsidRDefault="00B40966">
      <w:pPr>
        <w:pStyle w:val="Amain"/>
      </w:pPr>
      <w:r>
        <w:tab/>
        <w:t>(125)</w:t>
      </w:r>
      <w:r>
        <w:tab/>
        <w:t xml:space="preserve">The holes for rungs shall be </w:t>
      </w:r>
      <w:r>
        <w:rPr>
          <w:position w:val="6"/>
          <w:sz w:val="18"/>
        </w:rPr>
        <w:t>1</w:t>
      </w:r>
      <w:r>
        <w:t>/</w:t>
      </w:r>
      <w:r>
        <w:rPr>
          <w:sz w:val="18"/>
        </w:rPr>
        <w:t>16</w:t>
      </w:r>
      <w:r>
        <w:t xml:space="preserve"> of an inch deeper than the rung tenon, but there shall be at least </w:t>
      </w:r>
      <w:r>
        <w:rPr>
          <w:position w:val="6"/>
          <w:sz w:val="18"/>
        </w:rPr>
        <w:t>1</w:t>
      </w:r>
      <w:r>
        <w:t>/</w:t>
      </w:r>
      <w:r>
        <w:rPr>
          <w:sz w:val="18"/>
        </w:rPr>
        <w:t>4</w:t>
      </w:r>
      <w:r>
        <w:t xml:space="preserve"> of an inch of solid timber between the bottom of the hole and the outside face of the side rail.</w:t>
      </w:r>
    </w:p>
    <w:p w:rsidR="00B40966" w:rsidRDefault="00B40966">
      <w:pPr>
        <w:pStyle w:val="Assectheading"/>
        <w:rPr>
          <w:i w:val="0"/>
        </w:rPr>
      </w:pPr>
      <w:r>
        <w:rPr>
          <w:rStyle w:val="charItals"/>
          <w:i/>
        </w:rPr>
        <w:t>Trestle ladders—side rails (stiles)—spacing of rungs</w:t>
      </w:r>
    </w:p>
    <w:p w:rsidR="00B40966" w:rsidRDefault="00B40966">
      <w:pPr>
        <w:pStyle w:val="Amain"/>
      </w:pPr>
      <w:r>
        <w:tab/>
        <w:t>(126)</w:t>
      </w:r>
      <w:r>
        <w:tab/>
        <w:t>All rungs shall be equally spaced.</w:t>
      </w:r>
    </w:p>
    <w:p w:rsidR="00B40966" w:rsidRDefault="00B40966">
      <w:pPr>
        <w:pStyle w:val="Amain"/>
      </w:pPr>
      <w:r>
        <w:tab/>
        <w:t>(127)</w:t>
      </w:r>
      <w:r>
        <w:tab/>
        <w:t>The spacing shall be not less than 20 inches or more than 24 inches centre to centre.</w:t>
      </w:r>
    </w:p>
    <w:p w:rsidR="00B40966" w:rsidRDefault="00B40966">
      <w:pPr>
        <w:pStyle w:val="Amain"/>
      </w:pPr>
      <w:r>
        <w:tab/>
        <w:t>(128)</w:t>
      </w:r>
      <w:r>
        <w:tab/>
        <w:t xml:space="preserve">Rungs spacing in pairs of side rails shall be staggered so that when the trestle ladder is in the closed position the rungs will present an equal spacing of </w:t>
      </w:r>
      <w:r>
        <w:rPr>
          <w:position w:val="6"/>
          <w:sz w:val="18"/>
        </w:rPr>
        <w:t>1</w:t>
      </w:r>
      <w:r>
        <w:t>/</w:t>
      </w:r>
      <w:r>
        <w:rPr>
          <w:sz w:val="18"/>
        </w:rPr>
        <w:t>2</w:t>
      </w:r>
      <w:r>
        <w:t xml:space="preserve"> that on either pair of side rails.</w:t>
      </w:r>
    </w:p>
    <w:p w:rsidR="00B40966" w:rsidRDefault="00B40966">
      <w:pPr>
        <w:pStyle w:val="Amain"/>
      </w:pPr>
      <w:r>
        <w:tab/>
        <w:t>(129)</w:t>
      </w:r>
      <w:r>
        <w:tab/>
        <w:t>The top rung on either pair of side rails shall not be closer to the top than 6</w:t>
      </w:r>
      <w:r>
        <w:rPr>
          <w:b/>
        </w:rPr>
        <w:t xml:space="preserve"> </w:t>
      </w:r>
      <w:r>
        <w:t>inches.</w:t>
      </w:r>
    </w:p>
    <w:p w:rsidR="00B40966" w:rsidRDefault="00B40966">
      <w:pPr>
        <w:pStyle w:val="Assectheading"/>
        <w:rPr>
          <w:i w:val="0"/>
        </w:rPr>
      </w:pPr>
      <w:r>
        <w:rPr>
          <w:rStyle w:val="charItals"/>
          <w:i/>
        </w:rPr>
        <w:t>Trestle ladders—restraining rope</w:t>
      </w:r>
    </w:p>
    <w:p w:rsidR="00B40966" w:rsidRDefault="00B40966">
      <w:pPr>
        <w:pStyle w:val="Amain"/>
      </w:pPr>
      <w:r>
        <w:tab/>
        <w:t>(130)</w:t>
      </w:r>
      <w:r>
        <w:tab/>
        <w:t xml:space="preserve">The spread between the pairs of side rails shall be restrained by means of first quality fibre rope not less than </w:t>
      </w:r>
      <w:r>
        <w:rPr>
          <w:position w:val="6"/>
          <w:sz w:val="18"/>
        </w:rPr>
        <w:t>3</w:t>
      </w:r>
      <w:r>
        <w:t>/</w:t>
      </w:r>
      <w:r>
        <w:rPr>
          <w:sz w:val="18"/>
        </w:rPr>
        <w:t>4</w:t>
      </w:r>
      <w:r>
        <w:t xml:space="preserve"> of an inch in circumference.</w:t>
      </w:r>
    </w:p>
    <w:p w:rsidR="00B40966" w:rsidRDefault="00B40966">
      <w:pPr>
        <w:pStyle w:val="Amain"/>
      </w:pPr>
      <w:r>
        <w:tab/>
        <w:t>(131)</w:t>
      </w:r>
      <w:r>
        <w:tab/>
        <w:t>These ropes shall be effectively anchored at 1 end through the centre of the wide face of each side rail at the same level and at about the 2nd rung from the bottom.</w:t>
      </w:r>
    </w:p>
    <w:p w:rsidR="00B40966" w:rsidRDefault="00B40966">
      <w:pPr>
        <w:pStyle w:val="Amain"/>
      </w:pPr>
      <w:r>
        <w:tab/>
        <w:t>(132)</w:t>
      </w:r>
      <w:r>
        <w:tab/>
        <w:t>Alternatively, other approved means of restraining the side rails may be used.</w:t>
      </w:r>
    </w:p>
    <w:p w:rsidR="00B40966" w:rsidRDefault="00B40966">
      <w:pPr>
        <w:pStyle w:val="Assectheading"/>
        <w:rPr>
          <w:i w:val="0"/>
        </w:rPr>
      </w:pPr>
      <w:r>
        <w:rPr>
          <w:rStyle w:val="charItals"/>
          <w:i/>
        </w:rPr>
        <w:t>Trestle ladders—rungs—dimensions</w:t>
      </w:r>
    </w:p>
    <w:p w:rsidR="00B40966" w:rsidRDefault="00B40966">
      <w:pPr>
        <w:pStyle w:val="Amain"/>
      </w:pPr>
      <w:r>
        <w:tab/>
        <w:t>(133)</w:t>
      </w:r>
      <w:r>
        <w:tab/>
        <w:t>Rungs shall have dimensions not less than those set out in table 142.4.</w:t>
      </w:r>
    </w:p>
    <w:p w:rsidR="00B40966" w:rsidRDefault="00B40966">
      <w:pPr>
        <w:pStyle w:val="aNote"/>
      </w:pPr>
      <w:r>
        <w:rPr>
          <w:i/>
          <w:iCs/>
        </w:rPr>
        <w:t>Note</w:t>
      </w:r>
      <w:r>
        <w:tab/>
        <w:t>Table 142.4 is after s (150).</w:t>
      </w:r>
    </w:p>
    <w:p w:rsidR="00B40966" w:rsidRDefault="00B40966">
      <w:pPr>
        <w:pStyle w:val="Amain"/>
      </w:pPr>
      <w:r>
        <w:tab/>
        <w:t>(134)</w:t>
      </w:r>
      <w:r>
        <w:tab/>
        <w:t xml:space="preserve">In addition, the cross-section shall be reduced at each end to form a shoulder for tenons, whose cross-section shall be not less than </w:t>
      </w:r>
      <w:r>
        <w:rPr>
          <w:position w:val="6"/>
          <w:sz w:val="18"/>
        </w:rPr>
        <w:t>3</w:t>
      </w:r>
      <w:r>
        <w:t>/</w:t>
      </w:r>
      <w:r>
        <w:rPr>
          <w:sz w:val="18"/>
        </w:rPr>
        <w:t>4</w:t>
      </w:r>
      <w:r>
        <w:t xml:space="preserve"> of an inch wide and 1</w:t>
      </w:r>
      <w:r>
        <w:rPr>
          <w:position w:val="6"/>
          <w:sz w:val="18"/>
        </w:rPr>
        <w:t>1</w:t>
      </w:r>
      <w:r>
        <w:t>/</w:t>
      </w:r>
      <w:r>
        <w:rPr>
          <w:sz w:val="18"/>
        </w:rPr>
        <w:t>2</w:t>
      </w:r>
      <w:r>
        <w:t xml:space="preserve"> inches deep, and not more than </w:t>
      </w:r>
      <w:r>
        <w:rPr>
          <w:position w:val="6"/>
          <w:sz w:val="18"/>
        </w:rPr>
        <w:t>7</w:t>
      </w:r>
      <w:r>
        <w:t>/</w:t>
      </w:r>
      <w:r>
        <w:rPr>
          <w:sz w:val="18"/>
        </w:rPr>
        <w:t>8</w:t>
      </w:r>
      <w:r>
        <w:t xml:space="preserve"> of an inch wide and the depth of the rung.</w:t>
      </w:r>
    </w:p>
    <w:p w:rsidR="00B40966" w:rsidRDefault="00B40966">
      <w:pPr>
        <w:pStyle w:val="Amain"/>
      </w:pPr>
      <w:r>
        <w:tab/>
        <w:t>(135)</w:t>
      </w:r>
      <w:r>
        <w:tab/>
        <w:t xml:space="preserve">Tenons shall be not less than 1 inch long and if practicable shall finish at least </w:t>
      </w:r>
      <w:r>
        <w:rPr>
          <w:position w:val="6"/>
          <w:sz w:val="18"/>
        </w:rPr>
        <w:t>5</w:t>
      </w:r>
      <w:r>
        <w:t>/</w:t>
      </w:r>
      <w:r>
        <w:rPr>
          <w:sz w:val="18"/>
        </w:rPr>
        <w:t>16</w:t>
      </w:r>
      <w:r>
        <w:t xml:space="preserve"> of an inch from the outer face of side rails.</w:t>
      </w:r>
    </w:p>
    <w:p w:rsidR="00B40966" w:rsidRDefault="00B40966">
      <w:pPr>
        <w:pStyle w:val="Assectheading"/>
        <w:rPr>
          <w:i w:val="0"/>
        </w:rPr>
      </w:pPr>
      <w:r>
        <w:rPr>
          <w:rStyle w:val="charItals"/>
          <w:i/>
        </w:rPr>
        <w:t>Trestle ladders—rungs—attachment of rungs to side rails</w:t>
      </w:r>
    </w:p>
    <w:p w:rsidR="00B40966" w:rsidRDefault="00B40966">
      <w:pPr>
        <w:pStyle w:val="Amain"/>
      </w:pPr>
      <w:r>
        <w:tab/>
        <w:t>(136)</w:t>
      </w:r>
      <w:r>
        <w:tab/>
        <w:t>Rung tenons shall be a tight fit in the side rail and the shoulders shall fit accurately against them.</w:t>
      </w:r>
    </w:p>
    <w:p w:rsidR="00B40966" w:rsidRDefault="00B40966">
      <w:pPr>
        <w:pStyle w:val="Amain"/>
      </w:pPr>
      <w:r>
        <w:tab/>
        <w:t>(137)</w:t>
      </w:r>
      <w:r>
        <w:tab/>
        <w:t>Each tenon shall be secured by means of 2</w:t>
      </w:r>
      <w:r>
        <w:rPr>
          <w:b/>
        </w:rPr>
        <w:t xml:space="preserve"> </w:t>
      </w:r>
      <w:r>
        <w:t>nails at least 0.104 inches diameter (12</w:t>
      </w:r>
      <w:r>
        <w:rPr>
          <w:b/>
        </w:rPr>
        <w:t xml:space="preserve"> </w:t>
      </w:r>
      <w:r>
        <w:t>gauge) driven through the narrow edge of the side rail passing completely through the tenon.</w:t>
      </w:r>
    </w:p>
    <w:p w:rsidR="00B40966" w:rsidRDefault="00B40966">
      <w:pPr>
        <w:pStyle w:val="Assectheading"/>
        <w:rPr>
          <w:i w:val="0"/>
        </w:rPr>
      </w:pPr>
      <w:r>
        <w:rPr>
          <w:rStyle w:val="charItals"/>
          <w:i/>
        </w:rPr>
        <w:t>Trestle ladders—hinges</w:t>
      </w:r>
    </w:p>
    <w:p w:rsidR="00B40966" w:rsidRDefault="00B40966">
      <w:pPr>
        <w:pStyle w:val="Amain"/>
      </w:pPr>
      <w:r>
        <w:tab/>
        <w:t>(138)</w:t>
      </w:r>
      <w:r>
        <w:tab/>
        <w:t>Trestle ladders shall have their pairs of side rails hinged together at the top by means of hinges constructed of steel not less than 1</w:t>
      </w:r>
      <w:r>
        <w:rPr>
          <w:position w:val="6"/>
          <w:sz w:val="18"/>
        </w:rPr>
        <w:t>1</w:t>
      </w:r>
      <w:r>
        <w:t>/</w:t>
      </w:r>
      <w:r>
        <w:rPr>
          <w:sz w:val="18"/>
        </w:rPr>
        <w:t>4</w:t>
      </w:r>
      <w:r>
        <w:t xml:space="preserve"> inches wide and not less than </w:t>
      </w:r>
      <w:r>
        <w:rPr>
          <w:position w:val="6"/>
          <w:sz w:val="18"/>
        </w:rPr>
        <w:t>1</w:t>
      </w:r>
      <w:r>
        <w:t>/</w:t>
      </w:r>
      <w:r>
        <w:rPr>
          <w:sz w:val="18"/>
        </w:rPr>
        <w:t>4</w:t>
      </w:r>
      <w:r>
        <w:t xml:space="preserve"> of an inch thick.</w:t>
      </w:r>
    </w:p>
    <w:p w:rsidR="00B40966" w:rsidRDefault="00B40966">
      <w:pPr>
        <w:pStyle w:val="Amain"/>
      </w:pPr>
      <w:r>
        <w:tab/>
        <w:t>(139)</w:t>
      </w:r>
      <w:r>
        <w:tab/>
        <w:t xml:space="preserve">The securing bolts shall be </w:t>
      </w:r>
      <w:r>
        <w:rPr>
          <w:position w:val="6"/>
          <w:sz w:val="18"/>
        </w:rPr>
        <w:t>5</w:t>
      </w:r>
      <w:r>
        <w:t>/</w:t>
      </w:r>
      <w:r>
        <w:rPr>
          <w:sz w:val="18"/>
        </w:rPr>
        <w:t>16</w:t>
      </w:r>
      <w:r>
        <w:t xml:space="preserve"> of an inch diameter.</w:t>
      </w:r>
    </w:p>
    <w:p w:rsidR="00B40966" w:rsidRDefault="00B40966">
      <w:pPr>
        <w:pStyle w:val="Amain"/>
      </w:pPr>
      <w:r>
        <w:tab/>
        <w:t>(140)</w:t>
      </w:r>
      <w:r>
        <w:tab/>
        <w:t xml:space="preserve">The hinge pins shall be of steel not less than </w:t>
      </w:r>
      <w:r>
        <w:rPr>
          <w:position w:val="6"/>
          <w:sz w:val="18"/>
        </w:rPr>
        <w:t>5</w:t>
      </w:r>
      <w:r>
        <w:t>/</w:t>
      </w:r>
      <w:r>
        <w:rPr>
          <w:sz w:val="18"/>
        </w:rPr>
        <w:t>16</w:t>
      </w:r>
      <w:r>
        <w:t xml:space="preserve"> of an inch in diameter and shall be in line.</w:t>
      </w:r>
    </w:p>
    <w:p w:rsidR="00B40966" w:rsidRDefault="00B40966">
      <w:pPr>
        <w:pStyle w:val="Amain"/>
      </w:pPr>
      <w:r>
        <w:tab/>
        <w:t>(141)</w:t>
      </w:r>
      <w:r>
        <w:tab/>
        <w:t>Alternatively, other approved means of hinging may be used.</w:t>
      </w:r>
    </w:p>
    <w:p w:rsidR="00B40966" w:rsidRDefault="00B40966">
      <w:pPr>
        <w:pStyle w:val="Amain"/>
      </w:pPr>
      <w:r>
        <w:tab/>
        <w:t>(142)</w:t>
      </w:r>
      <w:r>
        <w:tab/>
        <w:t>Cast hinges shall not be used.</w:t>
      </w:r>
    </w:p>
    <w:p w:rsidR="00B40966" w:rsidRDefault="00B40966">
      <w:pPr>
        <w:pStyle w:val="Assectheading"/>
        <w:rPr>
          <w:i w:val="0"/>
        </w:rPr>
      </w:pPr>
      <w:r>
        <w:rPr>
          <w:rStyle w:val="charItals"/>
          <w:i/>
        </w:rPr>
        <w:t>Trestle ladders—hinges—trestles 12 feet or less</w:t>
      </w:r>
    </w:p>
    <w:p w:rsidR="00B40966" w:rsidRDefault="00B40966">
      <w:pPr>
        <w:pStyle w:val="Amain"/>
      </w:pPr>
      <w:r>
        <w:tab/>
        <w:t>(143)</w:t>
      </w:r>
      <w:r>
        <w:tab/>
        <w:t>Trestle ladders 12</w:t>
      </w:r>
      <w:r>
        <w:rPr>
          <w:b/>
        </w:rPr>
        <w:t xml:space="preserve"> </w:t>
      </w:r>
      <w:r>
        <w:t>feet or less in length shall have hinges not less than 10</w:t>
      </w:r>
      <w:r>
        <w:rPr>
          <w:b/>
        </w:rPr>
        <w:t xml:space="preserve"> </w:t>
      </w:r>
      <w:r>
        <w:t>inches long each side of the hinge pin, and each side secured to side rails with 2</w:t>
      </w:r>
      <w:r>
        <w:rPr>
          <w:b/>
        </w:rPr>
        <w:t xml:space="preserve"> </w:t>
      </w:r>
      <w:r>
        <w:t>bolts.</w:t>
      </w:r>
    </w:p>
    <w:p w:rsidR="00B40966" w:rsidRDefault="00B40966">
      <w:pPr>
        <w:pStyle w:val="Assectheading"/>
        <w:rPr>
          <w:i w:val="0"/>
        </w:rPr>
      </w:pPr>
      <w:r>
        <w:rPr>
          <w:rStyle w:val="charItals"/>
          <w:i/>
        </w:rPr>
        <w:t>Trestle ladders—hinges—trestle ladders more than 12</w:t>
      </w:r>
      <w:r>
        <w:rPr>
          <w:rStyle w:val="charBoldItals"/>
          <w:b w:val="0"/>
          <w:i/>
        </w:rPr>
        <w:t xml:space="preserve"> f</w:t>
      </w:r>
      <w:r>
        <w:rPr>
          <w:rStyle w:val="charItals"/>
          <w:i/>
        </w:rPr>
        <w:t>eet</w:t>
      </w:r>
    </w:p>
    <w:p w:rsidR="00B40966" w:rsidRDefault="00B40966">
      <w:pPr>
        <w:pStyle w:val="Amain"/>
      </w:pPr>
      <w:r>
        <w:tab/>
        <w:t>(144)</w:t>
      </w:r>
      <w:r>
        <w:tab/>
        <w:t>Trestle ladders more than 12</w:t>
      </w:r>
      <w:r>
        <w:rPr>
          <w:b/>
        </w:rPr>
        <w:t xml:space="preserve"> </w:t>
      </w:r>
      <w:r>
        <w:t>feet in length shall have hinges not less than 14 inches long each side of hinge pin, and each side secured to side rails with 3</w:t>
      </w:r>
      <w:r>
        <w:rPr>
          <w:b/>
        </w:rPr>
        <w:t xml:space="preserve"> </w:t>
      </w:r>
      <w:r>
        <w:t>bolts.</w:t>
      </w:r>
    </w:p>
    <w:p w:rsidR="00B40966" w:rsidRDefault="00B40966">
      <w:pPr>
        <w:pStyle w:val="Assectheading"/>
        <w:rPr>
          <w:i w:val="0"/>
        </w:rPr>
      </w:pPr>
      <w:r>
        <w:rPr>
          <w:rStyle w:val="charItals"/>
          <w:i/>
        </w:rPr>
        <w:t>Trestle ladders—ties—side rail to side rail—material</w:t>
      </w:r>
    </w:p>
    <w:p w:rsidR="00B40966" w:rsidRDefault="00B40966">
      <w:pPr>
        <w:pStyle w:val="Amain"/>
      </w:pPr>
      <w:r>
        <w:tab/>
        <w:t>(145)</w:t>
      </w:r>
      <w:r>
        <w:tab/>
        <w:t>Ties shall be of steel or other approved material.</w:t>
      </w:r>
    </w:p>
    <w:p w:rsidR="00B40966" w:rsidRDefault="00B40966">
      <w:pPr>
        <w:pStyle w:val="Assectheading"/>
        <w:rPr>
          <w:i w:val="0"/>
        </w:rPr>
      </w:pPr>
      <w:r>
        <w:rPr>
          <w:rStyle w:val="charItals"/>
          <w:i/>
        </w:rPr>
        <w:t>Trestle ladders—ties—side rail to side rail—dimensions</w:t>
      </w:r>
    </w:p>
    <w:p w:rsidR="00B40966" w:rsidRDefault="00B40966">
      <w:pPr>
        <w:pStyle w:val="Amain"/>
      </w:pPr>
      <w:r>
        <w:tab/>
        <w:t>(146)</w:t>
      </w:r>
      <w:r>
        <w:tab/>
        <w:t xml:space="preserve">Ties if of steel shall be not less than </w:t>
      </w:r>
      <w:r>
        <w:rPr>
          <w:position w:val="6"/>
          <w:sz w:val="18"/>
        </w:rPr>
        <w:t>3</w:t>
      </w:r>
      <w:r>
        <w:t>/</w:t>
      </w:r>
      <w:r>
        <w:rPr>
          <w:sz w:val="18"/>
        </w:rPr>
        <w:t>8</w:t>
      </w:r>
      <w:r>
        <w:t xml:space="preserve"> of an inch or more than </w:t>
      </w:r>
      <w:r>
        <w:rPr>
          <w:position w:val="6"/>
          <w:sz w:val="18"/>
        </w:rPr>
        <w:t>7</w:t>
      </w:r>
      <w:r>
        <w:t>/</w:t>
      </w:r>
      <w:r>
        <w:rPr>
          <w:sz w:val="18"/>
        </w:rPr>
        <w:t>16</w:t>
      </w:r>
      <w:r>
        <w:t> of an inch diameter and be fitted with washers of at least 0.062 inches thickness (16 gauge steel) twice the diameter of the tie rod hole in the side rail, and 1 end of each tie rod shall be screwed and fitted with a standard nut.</w:t>
      </w:r>
    </w:p>
    <w:p w:rsidR="00B40966" w:rsidRDefault="00B40966">
      <w:pPr>
        <w:pStyle w:val="Assectheading"/>
        <w:rPr>
          <w:i w:val="0"/>
        </w:rPr>
      </w:pPr>
      <w:r>
        <w:rPr>
          <w:rStyle w:val="charItals"/>
          <w:i/>
        </w:rPr>
        <w:t>Trestle ladders—ties—side rail to side rail—spacing and attachment of ties</w:t>
      </w:r>
    </w:p>
    <w:p w:rsidR="00B40966" w:rsidRDefault="00B40966">
      <w:pPr>
        <w:pStyle w:val="Amain"/>
      </w:pPr>
      <w:r>
        <w:tab/>
        <w:t>(147)</w:t>
      </w:r>
      <w:r>
        <w:tab/>
        <w:t>Ties shall be fitted to both pairs of side rails in all trestle ladders.</w:t>
      </w:r>
    </w:p>
    <w:p w:rsidR="00B40966" w:rsidRDefault="00B40966">
      <w:pPr>
        <w:pStyle w:val="Amain"/>
      </w:pPr>
      <w:r>
        <w:tab/>
        <w:t>(148)</w:t>
      </w:r>
      <w:r>
        <w:tab/>
        <w:t>One tie shall be fitted at the bottom rung and 1 at the top rung.</w:t>
      </w:r>
    </w:p>
    <w:p w:rsidR="00B40966" w:rsidRDefault="00B40966">
      <w:pPr>
        <w:pStyle w:val="Amain"/>
      </w:pPr>
      <w:r>
        <w:tab/>
        <w:t>(149)</w:t>
      </w:r>
      <w:r>
        <w:tab/>
        <w:t>The distance between ties shall not exceed 4</w:t>
      </w:r>
      <w:r>
        <w:rPr>
          <w:b/>
        </w:rPr>
        <w:t xml:space="preserve"> </w:t>
      </w:r>
      <w:r>
        <w:t>feet.</w:t>
      </w:r>
    </w:p>
    <w:p w:rsidR="00B40966" w:rsidRDefault="00B40966">
      <w:pPr>
        <w:pStyle w:val="Amain"/>
      </w:pPr>
      <w:r>
        <w:tab/>
        <w:t>(150)</w:t>
      </w:r>
      <w:r>
        <w:tab/>
        <w:t>Ties shall be fitted immediately below their adjacent rungs, pass through the centre-line of the wide face of each side rail, and be well riveted over at their ends to prevent spreading of side rails.</w:t>
      </w:r>
    </w:p>
    <w:p w:rsidR="00B40966" w:rsidRDefault="00B40966">
      <w:pPr>
        <w:pStyle w:val="TableHd"/>
        <w:ind w:left="1425" w:hanging="1425"/>
      </w:pPr>
      <w:r>
        <w:t>Table 142.4</w:t>
      </w:r>
      <w:r>
        <w:tab/>
        <w:t>Dimensions of timber trestle ladders</w:t>
      </w:r>
    </w:p>
    <w:tbl>
      <w:tblPr>
        <w:tblW w:w="0" w:type="auto"/>
        <w:tblLayout w:type="fixed"/>
        <w:tblCellMar>
          <w:left w:w="80" w:type="dxa"/>
          <w:right w:w="80" w:type="dxa"/>
        </w:tblCellMar>
        <w:tblLook w:val="0000" w:firstRow="0" w:lastRow="0" w:firstColumn="0" w:lastColumn="0" w:noHBand="0" w:noVBand="0"/>
      </w:tblPr>
      <w:tblGrid>
        <w:gridCol w:w="2820"/>
        <w:gridCol w:w="2120"/>
        <w:gridCol w:w="2406"/>
        <w:gridCol w:w="14"/>
      </w:tblGrid>
      <w:tr w:rsidR="00B40966">
        <w:trPr>
          <w:cantSplit/>
        </w:trPr>
        <w:tc>
          <w:tcPr>
            <w:tcW w:w="2820" w:type="dxa"/>
          </w:tcPr>
          <w:p w:rsidR="00B40966" w:rsidRDefault="00B40966">
            <w:pPr>
              <w:pStyle w:val="TableColHd"/>
            </w:pPr>
          </w:p>
        </w:tc>
        <w:tc>
          <w:tcPr>
            <w:tcW w:w="4540" w:type="dxa"/>
            <w:gridSpan w:val="3"/>
            <w:tcBorders>
              <w:bottom w:val="single" w:sz="6" w:space="0" w:color="auto"/>
            </w:tcBorders>
          </w:tcPr>
          <w:p w:rsidR="00B40966" w:rsidRDefault="00B40966">
            <w:pPr>
              <w:pStyle w:val="TableColHd"/>
              <w:jc w:val="center"/>
            </w:pPr>
            <w:r>
              <w:t>least dimensions (in inches)</w:t>
            </w:r>
          </w:p>
        </w:tc>
      </w:tr>
      <w:tr w:rsidR="00B40966">
        <w:trPr>
          <w:cantSplit/>
        </w:trPr>
        <w:tc>
          <w:tcPr>
            <w:tcW w:w="2820" w:type="dxa"/>
            <w:tcBorders>
              <w:bottom w:val="single" w:sz="6" w:space="0" w:color="auto"/>
            </w:tcBorders>
          </w:tcPr>
          <w:p w:rsidR="00B40966" w:rsidRDefault="00B40966">
            <w:pPr>
              <w:pStyle w:val="TableColHd"/>
            </w:pPr>
            <w:r>
              <w:t>ladder length (in feet)</w:t>
            </w:r>
          </w:p>
        </w:tc>
        <w:tc>
          <w:tcPr>
            <w:tcW w:w="2120" w:type="dxa"/>
            <w:tcBorders>
              <w:bottom w:val="single" w:sz="6" w:space="0" w:color="auto"/>
            </w:tcBorders>
          </w:tcPr>
          <w:p w:rsidR="00B40966" w:rsidRDefault="00B40966">
            <w:pPr>
              <w:pStyle w:val="TableColHd"/>
            </w:pPr>
            <w:r>
              <w:t>side rails (stiles)</w:t>
            </w:r>
          </w:p>
        </w:tc>
        <w:tc>
          <w:tcPr>
            <w:tcW w:w="2420" w:type="dxa"/>
            <w:gridSpan w:val="2"/>
            <w:tcBorders>
              <w:bottom w:val="single" w:sz="6" w:space="0" w:color="auto"/>
            </w:tcBorders>
          </w:tcPr>
          <w:p w:rsidR="00B40966" w:rsidRDefault="00B40966">
            <w:pPr>
              <w:pStyle w:val="TableColHd"/>
            </w:pPr>
            <w:r>
              <w:t>rungs</w:t>
            </w:r>
          </w:p>
        </w:tc>
      </w:tr>
      <w:tr w:rsidR="00B40966">
        <w:trPr>
          <w:gridAfter w:val="1"/>
          <w:wAfter w:w="14" w:type="dxa"/>
          <w:cantSplit/>
        </w:trPr>
        <w:tc>
          <w:tcPr>
            <w:tcW w:w="2820" w:type="dxa"/>
            <w:tcBorders>
              <w:top w:val="single" w:sz="6" w:space="0" w:color="auto"/>
            </w:tcBorders>
          </w:tcPr>
          <w:p w:rsidR="00B40966" w:rsidRDefault="00B40966">
            <w:pPr>
              <w:pStyle w:val="TableText"/>
            </w:pPr>
            <w:r>
              <w:t xml:space="preserve">14 and under </w:t>
            </w:r>
            <w:r>
              <w:tab/>
            </w:r>
          </w:p>
        </w:tc>
        <w:tc>
          <w:tcPr>
            <w:tcW w:w="2120" w:type="dxa"/>
            <w:tcBorders>
              <w:top w:val="single" w:sz="6" w:space="0" w:color="auto"/>
            </w:tcBorders>
          </w:tcPr>
          <w:p w:rsidR="00B40966" w:rsidRDefault="00B40966">
            <w:pPr>
              <w:pStyle w:val="TableText"/>
            </w:pPr>
            <w:r>
              <w:t>2</w:t>
            </w:r>
            <w:r>
              <w:rPr>
                <w:position w:val="6"/>
                <w:sz w:val="18"/>
              </w:rPr>
              <w:t>1</w:t>
            </w:r>
            <w:r>
              <w:t>/</w:t>
            </w:r>
            <w:r>
              <w:rPr>
                <w:sz w:val="18"/>
              </w:rPr>
              <w:t>2</w:t>
            </w:r>
            <w:r>
              <w:t xml:space="preserve"> x 1</w:t>
            </w:r>
            <w:r>
              <w:rPr>
                <w:position w:val="6"/>
                <w:sz w:val="18"/>
              </w:rPr>
              <w:t>3</w:t>
            </w:r>
            <w:r>
              <w:t>/</w:t>
            </w:r>
            <w:r>
              <w:rPr>
                <w:sz w:val="18"/>
              </w:rPr>
              <w:t>8</w:t>
            </w:r>
          </w:p>
        </w:tc>
        <w:tc>
          <w:tcPr>
            <w:tcW w:w="2406" w:type="dxa"/>
            <w:tcBorders>
              <w:top w:val="single" w:sz="6" w:space="0" w:color="auto"/>
            </w:tcBorders>
          </w:tcPr>
          <w:p w:rsidR="00B40966" w:rsidRDefault="00B40966">
            <w:pPr>
              <w:pStyle w:val="TableText"/>
            </w:pPr>
            <w:r>
              <w:t>2</w:t>
            </w:r>
            <w:r>
              <w:rPr>
                <w:position w:val="6"/>
                <w:sz w:val="18"/>
              </w:rPr>
              <w:t>1</w:t>
            </w:r>
            <w:r>
              <w:t>/</w:t>
            </w:r>
            <w:r>
              <w:rPr>
                <w:sz w:val="18"/>
              </w:rPr>
              <w:t>2</w:t>
            </w:r>
            <w:r>
              <w:t xml:space="preserve"> x 1</w:t>
            </w:r>
            <w:r>
              <w:rPr>
                <w:position w:val="6"/>
                <w:sz w:val="18"/>
              </w:rPr>
              <w:t>3</w:t>
            </w:r>
            <w:r>
              <w:t>/</w:t>
            </w:r>
            <w:r>
              <w:rPr>
                <w:sz w:val="18"/>
              </w:rPr>
              <w:t>8</w:t>
            </w:r>
          </w:p>
        </w:tc>
      </w:tr>
      <w:tr w:rsidR="00B40966">
        <w:trPr>
          <w:gridAfter w:val="1"/>
          <w:wAfter w:w="14" w:type="dxa"/>
          <w:cantSplit/>
        </w:trPr>
        <w:tc>
          <w:tcPr>
            <w:tcW w:w="2820" w:type="dxa"/>
          </w:tcPr>
          <w:p w:rsidR="00B40966" w:rsidRDefault="00B40966">
            <w:pPr>
              <w:pStyle w:val="TableText"/>
            </w:pPr>
            <w:r>
              <w:t>14 to 16</w:t>
            </w:r>
            <w:r>
              <w:tab/>
            </w:r>
          </w:p>
        </w:tc>
        <w:tc>
          <w:tcPr>
            <w:tcW w:w="2120" w:type="dxa"/>
          </w:tcPr>
          <w:p w:rsidR="00B40966" w:rsidRDefault="00B40966">
            <w:pPr>
              <w:pStyle w:val="TableText"/>
            </w:pPr>
            <w:r>
              <w:t>2</w:t>
            </w:r>
            <w:r>
              <w:rPr>
                <w:position w:val="6"/>
                <w:sz w:val="18"/>
              </w:rPr>
              <w:t>3</w:t>
            </w:r>
            <w:r>
              <w:t>/</w:t>
            </w:r>
            <w:r>
              <w:rPr>
                <w:sz w:val="18"/>
              </w:rPr>
              <w:t>4</w:t>
            </w:r>
            <w:r>
              <w:t xml:space="preserve"> x 1</w:t>
            </w:r>
            <w:r>
              <w:rPr>
                <w:position w:val="6"/>
                <w:sz w:val="18"/>
              </w:rPr>
              <w:t>3</w:t>
            </w:r>
            <w:r>
              <w:t>/</w:t>
            </w:r>
            <w:r>
              <w:rPr>
                <w:sz w:val="18"/>
              </w:rPr>
              <w:t>4</w:t>
            </w:r>
          </w:p>
        </w:tc>
        <w:tc>
          <w:tcPr>
            <w:tcW w:w="2406" w:type="dxa"/>
          </w:tcPr>
          <w:p w:rsidR="00B40966" w:rsidRDefault="00B40966">
            <w:pPr>
              <w:pStyle w:val="TableText"/>
            </w:pPr>
            <w:r>
              <w:t>2</w:t>
            </w:r>
            <w:r>
              <w:rPr>
                <w:position w:val="6"/>
                <w:sz w:val="18"/>
              </w:rPr>
              <w:t>3</w:t>
            </w:r>
            <w:r>
              <w:t>/</w:t>
            </w:r>
            <w:r>
              <w:rPr>
                <w:sz w:val="18"/>
              </w:rPr>
              <w:t>4</w:t>
            </w:r>
            <w:r>
              <w:t xml:space="preserve"> x 1</w:t>
            </w:r>
            <w:r>
              <w:rPr>
                <w:position w:val="6"/>
                <w:sz w:val="18"/>
              </w:rPr>
              <w:t>3</w:t>
            </w:r>
            <w:r>
              <w:t>/</w:t>
            </w:r>
            <w:r>
              <w:rPr>
                <w:sz w:val="18"/>
              </w:rPr>
              <w:t>4</w:t>
            </w:r>
          </w:p>
        </w:tc>
      </w:tr>
    </w:tbl>
    <w:p w:rsidR="00B40966" w:rsidRDefault="00B40966">
      <w:pPr>
        <w:pStyle w:val="Apara"/>
        <w:rPr>
          <w:color w:val="000000"/>
        </w:rPr>
      </w:pPr>
    </w:p>
    <w:p w:rsidR="00B40966" w:rsidRDefault="00B40966">
      <w:pPr>
        <w:pStyle w:val="Assectheading"/>
        <w:rPr>
          <w:i w:val="0"/>
        </w:rPr>
      </w:pPr>
      <w:r>
        <w:rPr>
          <w:rStyle w:val="charItals"/>
          <w:i/>
        </w:rPr>
        <w:t>Trestle ladders—handrails</w:t>
      </w:r>
    </w:p>
    <w:p w:rsidR="00B40966" w:rsidRDefault="00B40966">
      <w:pPr>
        <w:pStyle w:val="Amain"/>
      </w:pPr>
      <w:r>
        <w:tab/>
        <w:t>(151)</w:t>
      </w:r>
      <w:r>
        <w:tab/>
        <w:t>Provision shall be made in the construction of all trestle ladders exceeding 10</w:t>
      </w:r>
      <w:r>
        <w:rPr>
          <w:b/>
        </w:rPr>
        <w:t xml:space="preserve"> </w:t>
      </w:r>
      <w:r>
        <w:t>feet in length for the attachment of approved uprights and handrails.</w:t>
      </w:r>
    </w:p>
    <w:p w:rsidR="00B40966" w:rsidRDefault="00B40966">
      <w:pPr>
        <w:pStyle w:val="Assectheading"/>
        <w:rPr>
          <w:i w:val="0"/>
        </w:rPr>
      </w:pPr>
      <w:r>
        <w:rPr>
          <w:rStyle w:val="charItals"/>
          <w:i/>
        </w:rPr>
        <w:t>Fixed Ladders</w:t>
      </w:r>
    </w:p>
    <w:p w:rsidR="00B40966" w:rsidRDefault="00B40966">
      <w:pPr>
        <w:pStyle w:val="Amain"/>
      </w:pPr>
      <w:r>
        <w:tab/>
        <w:t>(152)</w:t>
      </w:r>
      <w:r>
        <w:tab/>
        <w:t>Fixed ladders shall, unless indoor, be of steel.</w:t>
      </w:r>
    </w:p>
    <w:p w:rsidR="00B40966" w:rsidRDefault="00B40966">
      <w:pPr>
        <w:pStyle w:val="Amain"/>
      </w:pPr>
      <w:r>
        <w:tab/>
        <w:t>(153)</w:t>
      </w:r>
      <w:r>
        <w:tab/>
        <w:t>If of timber, the ladders shall conform with this section.</w:t>
      </w:r>
    </w:p>
    <w:p w:rsidR="00B40966" w:rsidRDefault="00B40966">
      <w:pPr>
        <w:pStyle w:val="Amain"/>
      </w:pPr>
      <w:r>
        <w:tab/>
        <w:t>(154)</w:t>
      </w:r>
      <w:r>
        <w:tab/>
        <w:t xml:space="preserve">If of steel, ladders shall have stiles not less in section than 2 inches deep by </w:t>
      </w:r>
      <w:r>
        <w:rPr>
          <w:position w:val="6"/>
          <w:sz w:val="18"/>
        </w:rPr>
        <w:t>1</w:t>
      </w:r>
      <w:r>
        <w:t>/</w:t>
      </w:r>
      <w:r>
        <w:rPr>
          <w:sz w:val="18"/>
        </w:rPr>
        <w:t>4</w:t>
      </w:r>
      <w:r>
        <w:t xml:space="preserve"> of an inch in thickness.</w:t>
      </w:r>
    </w:p>
    <w:p w:rsidR="00B40966" w:rsidRDefault="00B40966">
      <w:pPr>
        <w:pStyle w:val="Amain"/>
      </w:pPr>
      <w:r>
        <w:tab/>
        <w:t>(155)</w:t>
      </w:r>
      <w:r>
        <w:tab/>
        <w:t xml:space="preserve">The rungs of steel fixed ladders shall be not less than </w:t>
      </w:r>
      <w:r>
        <w:rPr>
          <w:position w:val="6"/>
          <w:sz w:val="18"/>
        </w:rPr>
        <w:t>3</w:t>
      </w:r>
      <w:r>
        <w:t>/</w:t>
      </w:r>
      <w:r>
        <w:rPr>
          <w:sz w:val="18"/>
        </w:rPr>
        <w:t>4</w:t>
      </w:r>
      <w:r>
        <w:t xml:space="preserve"> of an inch in diameter and shall not be spaced further apart than 10 inches, measured centre to centre.</w:t>
      </w:r>
    </w:p>
    <w:p w:rsidR="00B40966" w:rsidRDefault="00B40966">
      <w:pPr>
        <w:pStyle w:val="Amain"/>
      </w:pPr>
      <w:r>
        <w:tab/>
        <w:t>(156)</w:t>
      </w:r>
      <w:r>
        <w:tab/>
        <w:t>They shall be strongly fixed and prevented from rotating.</w:t>
      </w:r>
    </w:p>
    <w:p w:rsidR="00B40966" w:rsidRDefault="00B40966">
      <w:pPr>
        <w:pStyle w:val="Amain"/>
      </w:pPr>
      <w:r>
        <w:tab/>
        <w:t>(157)</w:t>
      </w:r>
      <w:r>
        <w:tab/>
        <w:t>Stiles of steel fixed ladders shall be not less than 15 inches apart.</w:t>
      </w:r>
    </w:p>
    <w:p w:rsidR="00B40966" w:rsidRDefault="00B40966">
      <w:pPr>
        <w:pStyle w:val="Amain"/>
      </w:pPr>
      <w:r>
        <w:tab/>
        <w:t>(158)</w:t>
      </w:r>
      <w:r>
        <w:tab/>
        <w:t>Ladders shall be set at an angle approximating 15° from the vertical.</w:t>
      </w:r>
    </w:p>
    <w:p w:rsidR="00B40966" w:rsidRDefault="00B40966">
      <w:pPr>
        <w:pStyle w:val="Amain"/>
      </w:pPr>
      <w:r>
        <w:tab/>
        <w:t>(159)</w:t>
      </w:r>
      <w:r>
        <w:tab/>
        <w:t>A ladder shall not lean over a person climbing.</w:t>
      </w:r>
    </w:p>
    <w:p w:rsidR="00B40966" w:rsidRDefault="00B40966">
      <w:pPr>
        <w:pStyle w:val="Amain"/>
      </w:pPr>
      <w:r>
        <w:tab/>
        <w:t>(160)</w:t>
      </w:r>
      <w:r>
        <w:tab/>
        <w:t>The clearance at the back of the rungs shall not be less than 6 inches, and no obstruction shall be within 30 inches of the face of the ladder.</w:t>
      </w:r>
    </w:p>
    <w:p w:rsidR="00B40966" w:rsidRDefault="00B40966">
      <w:pPr>
        <w:pStyle w:val="Amain"/>
      </w:pPr>
      <w:r>
        <w:tab/>
        <w:t>(161)</w:t>
      </w:r>
      <w:r>
        <w:tab/>
        <w:t>There shall be not less than 3 inches clearance between the outside of each stile and the nearest permanent object at the side.</w:t>
      </w:r>
    </w:p>
    <w:p w:rsidR="00B40966" w:rsidRDefault="00B40966">
      <w:pPr>
        <w:pStyle w:val="Amain"/>
      </w:pPr>
      <w:r>
        <w:tab/>
        <w:t>(162)</w:t>
      </w:r>
      <w:r>
        <w:tab/>
        <w:t>Ladders shall conform with section 127 (156) and (159) to (161).</w:t>
      </w:r>
    </w:p>
    <w:p w:rsidR="00B40966" w:rsidRDefault="00B40966">
      <w:pPr>
        <w:pStyle w:val="Amain"/>
      </w:pPr>
      <w:r>
        <w:tab/>
        <w:t>(163)</w:t>
      </w:r>
      <w:r>
        <w:tab/>
        <w:t>No ladder shall be of greater length than 20 feet.</w:t>
      </w:r>
    </w:p>
    <w:p w:rsidR="00B40966" w:rsidRDefault="00B40966">
      <w:pPr>
        <w:pStyle w:val="Amain"/>
        <w:keepLines/>
      </w:pPr>
      <w:r>
        <w:tab/>
        <w:t>(164)</w:t>
      </w:r>
      <w:r>
        <w:tab/>
        <w:t>Rest platforms shall be provided at the upper ends of each length, and the platforms shall be not less than 18 inches in width by 22 inches in length, and shall have handrails at outer ends and both sides.</w:t>
      </w:r>
    </w:p>
    <w:p w:rsidR="00B40966" w:rsidRDefault="00B40966">
      <w:pPr>
        <w:pStyle w:val="Amain"/>
      </w:pPr>
      <w:r>
        <w:tab/>
        <w:t>(165)</w:t>
      </w:r>
      <w:r>
        <w:tab/>
        <w:t>If it is necessary for a ladder to pass closely through a hole in a platform or floor surface, the edge of the hole that is parallel to the ladder rungs shall be padded on the underside with rubber or other resilient material to prevent injury to persons ascending.</w:t>
      </w:r>
    </w:p>
    <w:p w:rsidR="00B40966" w:rsidRDefault="00B40966">
      <w:pPr>
        <w:pStyle w:val="Amain"/>
      </w:pPr>
      <w:r>
        <w:tab/>
        <w:t>(166)</w:t>
      </w:r>
      <w:r>
        <w:tab/>
        <w:t>Ladders, or the stiles of the ladders, shall continue for a distance of at least 45 inches above the upper surface of the platform or landing served.</w:t>
      </w:r>
    </w:p>
    <w:p w:rsidR="00B40966" w:rsidRDefault="00B40966">
      <w:pPr>
        <w:pStyle w:val="Amain"/>
      </w:pPr>
      <w:r>
        <w:tab/>
        <w:t>(167)</w:t>
      </w:r>
      <w:r>
        <w:tab/>
        <w:t>They shall have adequate lateral support.</w:t>
      </w:r>
    </w:p>
    <w:p w:rsidR="00B40966" w:rsidRDefault="00B40966">
      <w:pPr>
        <w:pStyle w:val="Amain"/>
      </w:pPr>
      <w:r>
        <w:tab/>
        <w:t>(168)</w:t>
      </w:r>
      <w:r>
        <w:tab/>
        <w:t>If practicable the rungs of ladders shall, in plan view appear to be at an angle of 90° to the adjacent edge of the platform or surface served.</w:t>
      </w:r>
    </w:p>
    <w:p w:rsidR="00B40966" w:rsidRDefault="00B40966">
      <w:pPr>
        <w:pStyle w:val="Amain"/>
      </w:pPr>
      <w:r>
        <w:tab/>
        <w:t>(169)</w:t>
      </w:r>
      <w:r>
        <w:tab/>
        <w:t>Ladders shall be strongly bolted or welded in position.</w:t>
      </w:r>
    </w:p>
    <w:p w:rsidR="00B40966" w:rsidRDefault="00B40966">
      <w:pPr>
        <w:pStyle w:val="Amain"/>
      </w:pPr>
      <w:r>
        <w:tab/>
        <w:t>(170)</w:t>
      </w:r>
      <w:r>
        <w:tab/>
        <w:t>All ladders from which a person or object might otherwise fall a distance of 20 or more feet shall be enclosed in an approved way with heavy gauge steel meshing.</w:t>
      </w:r>
    </w:p>
    <w:p w:rsidR="00B40966" w:rsidRDefault="00B40966">
      <w:pPr>
        <w:pStyle w:val="Amain"/>
      </w:pPr>
      <w:r>
        <w:tab/>
        <w:t>(171)</w:t>
      </w:r>
      <w:r>
        <w:tab/>
        <w:t>The approximately vertical sides of the mesh opening shall not exceed 5 inches in depth.</w:t>
      </w:r>
    </w:p>
    <w:p w:rsidR="00B40966" w:rsidRDefault="00B40966">
      <w:pPr>
        <w:pStyle w:val="AH4SubDiv"/>
        <w:ind w:left="0" w:firstLine="0"/>
      </w:pPr>
      <w:bookmarkStart w:id="282" w:name="_Toc87258118"/>
      <w:r>
        <w:t>Chain for use in connection with cranes, lifts, hoists, scaffolding, plant, gear, or building work, excavation work, or compressed air work</w:t>
      </w:r>
      <w:bookmarkEnd w:id="282"/>
    </w:p>
    <w:p w:rsidR="00B40966" w:rsidRDefault="00B40966">
      <w:pPr>
        <w:pStyle w:val="AH5Sec"/>
      </w:pPr>
      <w:bookmarkStart w:id="283" w:name="_Toc87258119"/>
      <w:r>
        <w:rPr>
          <w:rStyle w:val="CharSectNo"/>
        </w:rPr>
        <w:t>143</w:t>
      </w:r>
      <w:bookmarkEnd w:id="283"/>
      <w:r>
        <w:tab/>
        <w:t xml:space="preserve">  </w:t>
      </w:r>
    </w:p>
    <w:p w:rsidR="00B40966" w:rsidRDefault="00B40966">
      <w:pPr>
        <w:pStyle w:val="Assectheading"/>
      </w:pPr>
      <w:r>
        <w:rPr>
          <w:rStyle w:val="charItals"/>
          <w:i/>
        </w:rPr>
        <w:t>Definitions</w:t>
      </w:r>
    </w:p>
    <w:p w:rsidR="00B40966" w:rsidRDefault="00B40966">
      <w:pPr>
        <w:pStyle w:val="Amain"/>
        <w:keepNext/>
      </w:pPr>
      <w:r>
        <w:tab/>
        <w:t>(1)</w:t>
      </w:r>
      <w:r>
        <w:tab/>
        <w:t>In this section:</w:t>
      </w:r>
    </w:p>
    <w:p w:rsidR="00B40966" w:rsidRDefault="00B40966">
      <w:pPr>
        <w:pStyle w:val="aDef"/>
      </w:pPr>
      <w:r>
        <w:rPr>
          <w:rStyle w:val="charBoldItals"/>
        </w:rPr>
        <w:t>material</w:t>
      </w:r>
      <w:r>
        <w:t xml:space="preserve">—unless otherwise stated all chain referred to in this section shall be of mild steel or wrought iron, and the </w:t>
      </w:r>
      <w:r>
        <w:rPr>
          <w:b/>
          <w:i/>
        </w:rPr>
        <w:t>material</w:t>
      </w:r>
      <w:r>
        <w:t xml:space="preserve"> shall conform with the requirements of the relevant specification referred to in subsections (15) to (19).</w:t>
      </w:r>
    </w:p>
    <w:p w:rsidR="00B40966" w:rsidRDefault="00B40966">
      <w:pPr>
        <w:pStyle w:val="aDef"/>
      </w:pPr>
      <w:r>
        <w:rPr>
          <w:rStyle w:val="charBoldItals"/>
        </w:rPr>
        <w:t>size of chain</w:t>
      </w:r>
      <w:r>
        <w:t xml:space="preserve"> means the diameter of the material of which the chain is made, measured after the chain has been fabricated.</w:t>
      </w:r>
    </w:p>
    <w:p w:rsidR="00B40966" w:rsidRDefault="00B40966">
      <w:pPr>
        <w:pStyle w:val="aDef"/>
      </w:pPr>
      <w:r>
        <w:rPr>
          <w:rStyle w:val="charBoldItals"/>
        </w:rPr>
        <w:t>normalising</w:t>
      </w:r>
      <w:r>
        <w:t xml:space="preserve"> means heat treatment carried out in a furnace so designed that the chain is heated through and brought up to the normalising temperature of 1 650° Fahrenheit, uniformly throughout its mass, the conditions of heating being such that a reducing atmosphere is maintained, and the chain afterwards being removed from the furnace and allowed to cool freely in still air.</w:t>
      </w:r>
    </w:p>
    <w:p w:rsidR="00B40966" w:rsidRDefault="00B40966">
      <w:pPr>
        <w:pStyle w:val="aDef"/>
      </w:pPr>
      <w:r>
        <w:rPr>
          <w:rStyle w:val="charBoldItals"/>
        </w:rPr>
        <w:t>annealing</w:t>
      </w:r>
      <w:r>
        <w:t xml:space="preserve"> means heat treatment carried out in a furnace so designed that the chain is heated through and brought up to the annealing temperature of 1 110° to 1 200° Fahrenheit, uniformly throughout its mass, the conditions of heating being that a reducing atmosphere is maintained, and the chain afterwards being removed from the furnace and allowed to cool freely in still air.</w:t>
      </w:r>
    </w:p>
    <w:p w:rsidR="00B40966" w:rsidRDefault="00B40966">
      <w:pPr>
        <w:pStyle w:val="Assectheading"/>
      </w:pPr>
      <w:r>
        <w:rPr>
          <w:rStyle w:val="charItals"/>
          <w:i/>
        </w:rPr>
        <w:t>General</w:t>
      </w:r>
    </w:p>
    <w:p w:rsidR="00B40966" w:rsidRDefault="00B40966">
      <w:pPr>
        <w:pStyle w:val="Amain"/>
      </w:pPr>
      <w:r>
        <w:tab/>
        <w:t>(2)</w:t>
      </w:r>
      <w:r>
        <w:tab/>
        <w:t>Chain with bent or otherwise deformed links shall not be used.</w:t>
      </w:r>
    </w:p>
    <w:p w:rsidR="00B40966" w:rsidRDefault="00B40966">
      <w:pPr>
        <w:pStyle w:val="Amain"/>
      </w:pPr>
      <w:r>
        <w:tab/>
        <w:t>(3)</w:t>
      </w:r>
      <w:r>
        <w:tab/>
        <w:t>Knotted chains shall not be used.</w:t>
      </w:r>
    </w:p>
    <w:p w:rsidR="00B40966" w:rsidRDefault="00B40966">
      <w:pPr>
        <w:pStyle w:val="Amain"/>
      </w:pPr>
      <w:r>
        <w:tab/>
        <w:t>(4)</w:t>
      </w:r>
      <w:r>
        <w:tab/>
        <w:t>Suitable packing shall be provided and used to prevent chain links coming into contact with sharp edges of loads of hard material.</w:t>
      </w:r>
    </w:p>
    <w:p w:rsidR="00B40966" w:rsidRDefault="00B40966">
      <w:pPr>
        <w:pStyle w:val="Amain"/>
      </w:pPr>
      <w:r>
        <w:tab/>
        <w:t>(5)</w:t>
      </w:r>
      <w:r>
        <w:tab/>
        <w:t>Chains shall not be exposed to temperatures in excess of 500° Fahrenheit.</w:t>
      </w:r>
    </w:p>
    <w:p w:rsidR="00B40966" w:rsidRDefault="00B40966">
      <w:pPr>
        <w:pStyle w:val="Amain"/>
      </w:pPr>
      <w:r>
        <w:tab/>
        <w:t>(6)</w:t>
      </w:r>
      <w:r>
        <w:tab/>
        <w:t xml:space="preserve">Chains constructed of material less than </w:t>
      </w:r>
      <w:r>
        <w:rPr>
          <w:position w:val="6"/>
          <w:sz w:val="18"/>
        </w:rPr>
        <w:t>5</w:t>
      </w:r>
      <w:r>
        <w:t>/</w:t>
      </w:r>
      <w:r>
        <w:rPr>
          <w:sz w:val="18"/>
        </w:rPr>
        <w:t>16</w:t>
      </w:r>
      <w:r>
        <w:t xml:space="preserve"> of an inch diameter shall not be used for load-carrying purposes unless otherwise approved.</w:t>
      </w:r>
    </w:p>
    <w:p w:rsidR="00B40966" w:rsidRDefault="00B40966">
      <w:pPr>
        <w:pStyle w:val="Amain"/>
      </w:pPr>
      <w:r>
        <w:tab/>
        <w:t>(7)</w:t>
      </w:r>
      <w:r>
        <w:tab/>
        <w:t>Chains that have been lengthened, altered or repaired, shall, before being reused, be subjected to a load equal to their safeworking load and closely examined as to suitability for further use.</w:t>
      </w:r>
    </w:p>
    <w:p w:rsidR="00B40966" w:rsidRDefault="00B40966">
      <w:pPr>
        <w:pStyle w:val="Amain"/>
      </w:pPr>
      <w:r>
        <w:tab/>
        <w:t>(8)</w:t>
      </w:r>
      <w:r>
        <w:tab/>
        <w:t>No chain shall be used that has been subjected to a severe shock.</w:t>
      </w:r>
    </w:p>
    <w:p w:rsidR="00B40966" w:rsidRDefault="00B40966">
      <w:pPr>
        <w:pStyle w:val="Amain"/>
      </w:pPr>
      <w:r>
        <w:tab/>
        <w:t>(9)</w:t>
      </w:r>
      <w:r>
        <w:tab/>
        <w:t>No chain shall be heat-treated after being placed into commission.</w:t>
      </w:r>
    </w:p>
    <w:p w:rsidR="00B40966" w:rsidRDefault="00B40966">
      <w:pPr>
        <w:pStyle w:val="Amain"/>
      </w:pPr>
      <w:r>
        <w:tab/>
        <w:t>(10)</w:t>
      </w:r>
      <w:r>
        <w:tab/>
        <w:t>No chain sling shall be used if the included angle measured between any 2 legs exceeds 150°, or if the angle formed between any sling leg and the line of action of the pull exceeds 75°.</w:t>
      </w:r>
    </w:p>
    <w:p w:rsidR="00B40966" w:rsidRDefault="00B40966">
      <w:pPr>
        <w:pStyle w:val="Amain"/>
      </w:pPr>
      <w:r>
        <w:tab/>
        <w:t>(11)</w:t>
      </w:r>
      <w:r>
        <w:tab/>
        <w:t>Screw threads used in conjunction with chains shall be prevented by positive means from unscrewing.</w:t>
      </w:r>
    </w:p>
    <w:p w:rsidR="00B40966" w:rsidRDefault="00B40966">
      <w:pPr>
        <w:pStyle w:val="Amain"/>
      </w:pPr>
      <w:r>
        <w:tab/>
        <w:t>(12)</w:t>
      </w:r>
      <w:r>
        <w:tab/>
        <w:t>No chain shall be used if any of its links are locked, or stretched, or are without free movement.</w:t>
      </w:r>
    </w:p>
    <w:p w:rsidR="00B40966" w:rsidRDefault="00B40966">
      <w:pPr>
        <w:pStyle w:val="Amain"/>
      </w:pPr>
      <w:r>
        <w:tab/>
        <w:t>(13)</w:t>
      </w:r>
      <w:r>
        <w:tab/>
        <w:t>When a load is supported on more than 1 fall, single or part of chain, the load shall be distributed equally by statically determinate automatic means between the falls, singles or parts.</w:t>
      </w:r>
    </w:p>
    <w:p w:rsidR="00B40966" w:rsidRDefault="00B40966">
      <w:pPr>
        <w:pStyle w:val="Amain"/>
      </w:pPr>
      <w:r>
        <w:tab/>
        <w:t>(14)</w:t>
      </w:r>
      <w:r>
        <w:tab/>
        <w:t>Every chain and every part of chain shall be of sound material, good construction, adequate strength, free from patent defects, and be suitable and safe for the purpose for which it is intended.</w:t>
      </w:r>
    </w:p>
    <w:p w:rsidR="00B40966" w:rsidRDefault="00B40966">
      <w:pPr>
        <w:pStyle w:val="Assectheading"/>
      </w:pPr>
      <w:r>
        <w:rPr>
          <w:rStyle w:val="charItals"/>
          <w:i/>
        </w:rPr>
        <w:t>Design, construction, use and safe working load</w:t>
      </w:r>
    </w:p>
    <w:p w:rsidR="00B40966" w:rsidRDefault="00B40966">
      <w:pPr>
        <w:pStyle w:val="Amain"/>
      </w:pPr>
      <w:r>
        <w:tab/>
        <w:t>(15)</w:t>
      </w:r>
      <w:r>
        <w:tab/>
        <w:t>Mild steel chains shall comply with the provisions of the British Standards Specification No 590, 1935, as revised in 1949, promulgated by the British Standards Institution, England.</w:t>
      </w:r>
    </w:p>
    <w:p w:rsidR="00B40966" w:rsidRDefault="00B40966">
      <w:pPr>
        <w:pStyle w:val="Amain"/>
      </w:pPr>
      <w:r>
        <w:tab/>
        <w:t>(16)</w:t>
      </w:r>
      <w:r>
        <w:tab/>
        <w:t>Wrought iron chain shall comply with the provisions of the British Standard Specification No 394, as amended in 1944, or British Standard Specification No 465, 1932, promulgated by the British Standards Institution, England.</w:t>
      </w:r>
    </w:p>
    <w:p w:rsidR="00B40966" w:rsidRDefault="00B40966">
      <w:pPr>
        <w:pStyle w:val="Amain"/>
      </w:pPr>
      <w:r>
        <w:tab/>
        <w:t>(17)</w:t>
      </w:r>
      <w:r>
        <w:tab/>
        <w:t>However—</w:t>
      </w:r>
    </w:p>
    <w:p w:rsidR="00B40966" w:rsidRDefault="00B40966">
      <w:pPr>
        <w:pStyle w:val="Apara"/>
      </w:pPr>
      <w:r>
        <w:rPr>
          <w:rStyle w:val="charItals"/>
          <w:i w:val="0"/>
        </w:rPr>
        <w:tab/>
        <w:t>(a)</w:t>
      </w:r>
      <w:r>
        <w:rPr>
          <w:rStyle w:val="charItals"/>
          <w:i w:val="0"/>
        </w:rPr>
        <w:tab/>
        <w:t>e</w:t>
      </w:r>
      <w:r>
        <w:t>very chain shall be classified numerically in conformity with the table entitled ‘Classification of Chain for Purposes of Design, Construction and Use’ after subsection (19); and</w:t>
      </w:r>
    </w:p>
    <w:p w:rsidR="00B40966" w:rsidRDefault="00B40966">
      <w:pPr>
        <w:pStyle w:val="Apara"/>
      </w:pPr>
      <w:r>
        <w:tab/>
        <w:t>(b)</w:t>
      </w:r>
      <w:r>
        <w:tab/>
        <w:t>in the event of uncertainty or dispute the classification may be determined by the chief inspector; and</w:t>
      </w:r>
    </w:p>
    <w:p w:rsidR="00B40966" w:rsidRDefault="00B40966">
      <w:pPr>
        <w:pStyle w:val="Apara"/>
      </w:pPr>
      <w:r>
        <w:tab/>
        <w:t>(c)</w:t>
      </w:r>
      <w:r>
        <w:tab/>
        <w:t>no chain shall be subjected to any greater load than that shown in table 143.1 as relevant and appropriate to its size and classification or way of use.</w:t>
      </w:r>
    </w:p>
    <w:p w:rsidR="00B40966" w:rsidRDefault="00B40966">
      <w:pPr>
        <w:pStyle w:val="Amain"/>
      </w:pPr>
      <w:r>
        <w:tab/>
        <w:t>(18)</w:t>
      </w:r>
      <w:r>
        <w:tab/>
        <w:t>No chain shall be used if of other design or other material than provided in the British Standard Specifications published by the British Standards Institution, England, stated in subsections (15) and (16), without first being approved.</w:t>
      </w:r>
    </w:p>
    <w:p w:rsidR="00B40966" w:rsidRDefault="00B40966">
      <w:pPr>
        <w:pStyle w:val="Amain"/>
      </w:pPr>
      <w:r>
        <w:tab/>
        <w:t>(19)</w:t>
      </w:r>
      <w:r>
        <w:tab/>
        <w:t>A chain shall not be subjected at any time to any greater load than is provided for that chain in this section, unless otherwise approved.</w:t>
      </w:r>
    </w:p>
    <w:p w:rsidR="00B40966" w:rsidRDefault="00B40966">
      <w:pPr>
        <w:pStyle w:val="TableHd"/>
        <w:ind w:left="1368" w:hanging="1368"/>
      </w:pPr>
      <w:r>
        <w:t>Table 143.1</w:t>
      </w:r>
      <w:r>
        <w:tab/>
        <w:t>Classification of chain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40"/>
        <w:gridCol w:w="3280"/>
        <w:gridCol w:w="2554"/>
      </w:tblGrid>
      <w:tr w:rsidR="00B40966">
        <w:trPr>
          <w:cantSplit/>
        </w:trPr>
        <w:tc>
          <w:tcPr>
            <w:tcW w:w="1540" w:type="dxa"/>
            <w:tcBorders>
              <w:bottom w:val="single" w:sz="4" w:space="0" w:color="auto"/>
            </w:tcBorders>
          </w:tcPr>
          <w:p w:rsidR="00B40966" w:rsidRDefault="00B40966">
            <w:pPr>
              <w:pStyle w:val="TableColHd"/>
            </w:pPr>
            <w:r>
              <w:t xml:space="preserve">classification </w:t>
            </w:r>
            <w:r>
              <w:br/>
              <w:t>of chain</w:t>
            </w:r>
          </w:p>
        </w:tc>
        <w:tc>
          <w:tcPr>
            <w:tcW w:w="3280" w:type="dxa"/>
            <w:tcBorders>
              <w:bottom w:val="single" w:sz="4" w:space="0" w:color="auto"/>
            </w:tcBorders>
          </w:tcPr>
          <w:p w:rsidR="00B40966" w:rsidRDefault="00B40966">
            <w:pPr>
              <w:pStyle w:val="TableColHd"/>
            </w:pPr>
            <w:r>
              <w:t>classification of crane, hoist, lift, plant or scaffolding in connection with which the chain is used</w:t>
            </w:r>
          </w:p>
        </w:tc>
        <w:tc>
          <w:tcPr>
            <w:tcW w:w="2554" w:type="dxa"/>
            <w:tcBorders>
              <w:bottom w:val="single" w:sz="4" w:space="0" w:color="auto"/>
            </w:tcBorders>
          </w:tcPr>
          <w:p w:rsidR="00B40966" w:rsidRDefault="00B40966">
            <w:pPr>
              <w:pStyle w:val="TableColHd"/>
            </w:pPr>
            <w:r>
              <w:t xml:space="preserve">chain used for other </w:t>
            </w:r>
            <w:r>
              <w:br/>
              <w:t>purposes</w:t>
            </w:r>
          </w:p>
        </w:tc>
      </w:tr>
      <w:tr w:rsidR="00B40966">
        <w:trPr>
          <w:cantSplit/>
        </w:trPr>
        <w:tc>
          <w:tcPr>
            <w:tcW w:w="1540" w:type="dxa"/>
            <w:tcBorders>
              <w:top w:val="single" w:sz="4" w:space="0" w:color="auto"/>
            </w:tcBorders>
          </w:tcPr>
          <w:p w:rsidR="00B40966" w:rsidRDefault="00B40966">
            <w:pPr>
              <w:pStyle w:val="TableText"/>
            </w:pPr>
            <w:r>
              <w:t>1</w:t>
            </w:r>
          </w:p>
        </w:tc>
        <w:tc>
          <w:tcPr>
            <w:tcW w:w="3280" w:type="dxa"/>
            <w:tcBorders>
              <w:top w:val="single" w:sz="4" w:space="0" w:color="auto"/>
            </w:tcBorders>
          </w:tcPr>
          <w:p w:rsidR="00B40966" w:rsidRDefault="00B40966">
            <w:pPr>
              <w:pStyle w:val="TableText"/>
            </w:pPr>
            <w:r>
              <w:t>classifications 1 and 2</w:t>
            </w:r>
          </w:p>
        </w:tc>
        <w:tc>
          <w:tcPr>
            <w:tcW w:w="2554" w:type="dxa"/>
            <w:tcBorders>
              <w:top w:val="single" w:sz="4" w:space="0" w:color="auto"/>
            </w:tcBorders>
          </w:tcPr>
          <w:p w:rsidR="00B40966" w:rsidRDefault="00B40966">
            <w:pPr>
              <w:pStyle w:val="TableText"/>
            </w:pPr>
            <w:r>
              <w:t>building, excavation or compressed air work</w:t>
            </w:r>
          </w:p>
        </w:tc>
      </w:tr>
      <w:tr w:rsidR="00B40966">
        <w:trPr>
          <w:cantSplit/>
        </w:trPr>
        <w:tc>
          <w:tcPr>
            <w:tcW w:w="1540" w:type="dxa"/>
          </w:tcPr>
          <w:p w:rsidR="00B40966" w:rsidRDefault="00B40966">
            <w:pPr>
              <w:pStyle w:val="TableText"/>
            </w:pPr>
            <w:r>
              <w:t>2</w:t>
            </w:r>
          </w:p>
        </w:tc>
        <w:tc>
          <w:tcPr>
            <w:tcW w:w="3280" w:type="dxa"/>
          </w:tcPr>
          <w:p w:rsidR="00B40966" w:rsidRDefault="00B40966">
            <w:pPr>
              <w:pStyle w:val="TableText"/>
            </w:pPr>
            <w:r>
              <w:t>classifications 3 and 4</w:t>
            </w:r>
          </w:p>
        </w:tc>
        <w:tc>
          <w:tcPr>
            <w:tcW w:w="2554" w:type="dxa"/>
          </w:tcPr>
          <w:p w:rsidR="00B40966" w:rsidRDefault="00B40966">
            <w:pPr>
              <w:pStyle w:val="TableText"/>
            </w:pPr>
            <w:r>
              <w:tab/>
            </w:r>
          </w:p>
        </w:tc>
      </w:tr>
    </w:tbl>
    <w:p w:rsidR="00B40966" w:rsidRDefault="00B40966">
      <w:pPr>
        <w:pStyle w:val="02Text"/>
        <w:sectPr w:rsidR="00B40966">
          <w:headerReference w:type="even" r:id="rId139"/>
          <w:headerReference w:type="default" r:id="rId140"/>
          <w:footerReference w:type="even" r:id="rId141"/>
          <w:footerReference w:type="default" r:id="rId142"/>
          <w:footerReference w:type="first" r:id="rId143"/>
          <w:pgSz w:w="11907" w:h="16839" w:code="9"/>
          <w:pgMar w:top="3000" w:right="1900" w:bottom="2500" w:left="2300" w:header="2480" w:footer="2100" w:gutter="0"/>
          <w:cols w:space="720"/>
          <w:docGrid w:linePitch="254"/>
        </w:sectPr>
      </w:pPr>
    </w:p>
    <w:p w:rsidR="00B40966" w:rsidRDefault="00B40966">
      <w:pPr>
        <w:pStyle w:val="TableHd"/>
      </w:pPr>
      <w:r>
        <w:t>Maximum safe working loads for chains—Classification 1</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B40966">
        <w:trPr>
          <w:cantSplit/>
          <w:tblHeader/>
        </w:trPr>
        <w:tc>
          <w:tcPr>
            <w:tcW w:w="1280" w:type="dxa"/>
            <w:tcBorders>
              <w:top w:val="single" w:sz="6" w:space="0" w:color="auto"/>
              <w:right w:val="single" w:sz="6" w:space="0" w:color="auto"/>
            </w:tcBorders>
          </w:tcPr>
          <w:p w:rsidR="00B40966" w:rsidRDefault="00B40966">
            <w:pPr>
              <w:pStyle w:val="TableColHd"/>
            </w:pPr>
          </w:p>
        </w:tc>
        <w:tc>
          <w:tcPr>
            <w:tcW w:w="827" w:type="dxa"/>
            <w:tcBorders>
              <w:top w:val="single" w:sz="6" w:space="0" w:color="auto"/>
            </w:tcBorders>
          </w:tcPr>
          <w:p w:rsidR="00B40966" w:rsidRDefault="00B40966">
            <w:pPr>
              <w:pStyle w:val="TableColHd"/>
            </w:pPr>
          </w:p>
        </w:tc>
        <w:tc>
          <w:tcPr>
            <w:tcW w:w="827" w:type="dxa"/>
            <w:tcBorders>
              <w:top w:val="single" w:sz="6" w:space="0" w:color="auto"/>
            </w:tcBorders>
          </w:tcPr>
          <w:p w:rsidR="00B40966" w:rsidRDefault="00B40966">
            <w:pPr>
              <w:pStyle w:val="TableColHd"/>
            </w:pPr>
          </w:p>
        </w:tc>
        <w:tc>
          <w:tcPr>
            <w:tcW w:w="8270" w:type="dxa"/>
            <w:gridSpan w:val="10"/>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1280" w:type="dxa"/>
            <w:tcBorders>
              <w:right w:val="single" w:sz="6" w:space="0" w:color="auto"/>
            </w:tcBorders>
            <w:vAlign w:val="bottom"/>
          </w:tcPr>
          <w:p w:rsidR="00B40966" w:rsidRDefault="00B40966">
            <w:pPr>
              <w:pStyle w:val="TableColHd"/>
            </w:pPr>
            <w:r>
              <w:t xml:space="preserve">size of </w:t>
            </w:r>
            <w:r>
              <w:br/>
              <w:t>chain</w:t>
            </w:r>
          </w:p>
        </w:tc>
        <w:tc>
          <w:tcPr>
            <w:tcW w:w="1654" w:type="dxa"/>
            <w:gridSpan w:val="2"/>
            <w:vAlign w:val="bottom"/>
          </w:tcPr>
          <w:p w:rsidR="00B40966" w:rsidRDefault="00B40966">
            <w:pPr>
              <w:pStyle w:val="TableColHd"/>
            </w:pPr>
            <w:r>
              <w:t>safe load for 1 single fall (part)</w:t>
            </w:r>
            <w:r>
              <w:br/>
              <w:t>of chain</w:t>
            </w:r>
          </w:p>
        </w:tc>
        <w:tc>
          <w:tcPr>
            <w:tcW w:w="1654" w:type="dxa"/>
            <w:gridSpan w:val="2"/>
            <w:tcBorders>
              <w:left w:val="single" w:sz="6" w:space="0" w:color="auto"/>
            </w:tcBorders>
          </w:tcPr>
          <w:p w:rsidR="00B40966" w:rsidRDefault="00DA6E8C">
            <w:pPr>
              <w:rPr>
                <w:color w:val="000000"/>
                <w:sz w:val="16"/>
              </w:rPr>
            </w:pPr>
            <w:r>
              <w:rPr>
                <w:noProof/>
                <w:color w:val="000000"/>
                <w:sz w:val="20"/>
                <w:lang w:eastAsia="en-AU"/>
              </w:rPr>
              <w:drawing>
                <wp:inline distT="0" distB="0" distL="0" distR="0">
                  <wp:extent cx="895350" cy="533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B40966" w:rsidRDefault="00DA6E8C">
            <w:pPr>
              <w:rPr>
                <w:color w:val="000000"/>
                <w:sz w:val="16"/>
              </w:rPr>
            </w:pPr>
            <w:r>
              <w:rPr>
                <w:noProof/>
                <w:color w:val="000000"/>
                <w:sz w:val="20"/>
                <w:lang w:eastAsia="en-AU"/>
              </w:rPr>
              <w:drawing>
                <wp:inline distT="0" distB="0" distL="0" distR="0">
                  <wp:extent cx="847725" cy="5048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B40966" w:rsidRDefault="00DA6E8C">
            <w:pPr>
              <w:rPr>
                <w:color w:val="000000"/>
                <w:sz w:val="16"/>
              </w:rPr>
            </w:pPr>
            <w:r>
              <w:rPr>
                <w:noProof/>
                <w:color w:val="000000"/>
                <w:sz w:val="20"/>
                <w:lang w:eastAsia="en-AU"/>
              </w:rPr>
              <w:drawing>
                <wp:inline distT="0" distB="0" distL="0" distR="0">
                  <wp:extent cx="847725" cy="5334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654" w:type="dxa"/>
            <w:gridSpan w:val="2"/>
            <w:tcBorders>
              <w:right w:val="single" w:sz="6" w:space="0" w:color="auto"/>
            </w:tcBorders>
          </w:tcPr>
          <w:p w:rsidR="00B40966" w:rsidRDefault="00DA6E8C">
            <w:pPr>
              <w:rPr>
                <w:color w:val="000000"/>
                <w:sz w:val="16"/>
              </w:rPr>
            </w:pPr>
            <w:r>
              <w:rPr>
                <w:noProof/>
                <w:color w:val="000000"/>
                <w:sz w:val="20"/>
                <w:lang w:eastAsia="en-AU"/>
              </w:rPr>
              <w:drawing>
                <wp:inline distT="0" distB="0" distL="0" distR="0">
                  <wp:extent cx="876300" cy="533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654" w:type="dxa"/>
            <w:gridSpan w:val="2"/>
          </w:tcPr>
          <w:p w:rsidR="00B40966" w:rsidRDefault="00DA6E8C">
            <w:pPr>
              <w:rPr>
                <w:color w:val="000000"/>
                <w:sz w:val="16"/>
              </w:rPr>
            </w:pPr>
            <w:r>
              <w:rPr>
                <w:noProof/>
                <w:color w:val="000000"/>
                <w:sz w:val="20"/>
                <w:lang w:eastAsia="en-AU"/>
              </w:rPr>
              <w:drawing>
                <wp:inline distT="0" distB="0" distL="0" distR="0">
                  <wp:extent cx="790575" cy="5238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cantSplit/>
          <w:trHeight w:hRule="exact" w:val="240"/>
          <w:tblHeader/>
        </w:trPr>
        <w:tc>
          <w:tcPr>
            <w:tcW w:w="1280" w:type="dxa"/>
            <w:tcBorders>
              <w:top w:val="single" w:sz="6" w:space="0" w:color="auto"/>
              <w:bottom w:val="single" w:sz="6" w:space="0" w:color="auto"/>
              <w:right w:val="single" w:sz="6" w:space="0" w:color="auto"/>
            </w:tcBorders>
            <w:vAlign w:val="bottom"/>
          </w:tcPr>
          <w:p w:rsidR="00B40966" w:rsidRDefault="00B40966">
            <w:pPr>
              <w:pStyle w:val="TableColHd"/>
              <w:jc w:val="center"/>
            </w:pPr>
            <w:r>
              <w:t>inches</w:t>
            </w:r>
          </w:p>
        </w:tc>
        <w:tc>
          <w:tcPr>
            <w:tcW w:w="827" w:type="dxa"/>
            <w:tcBorders>
              <w:top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B40966" w:rsidRDefault="00B40966">
            <w:pPr>
              <w:pStyle w:val="TableColHd"/>
              <w:jc w:val="center"/>
            </w:pPr>
            <w:r>
              <w:t>cwts</w:t>
            </w:r>
          </w:p>
        </w:tc>
        <w:tc>
          <w:tcPr>
            <w:tcW w:w="827" w:type="dxa"/>
            <w:tcBorders>
              <w:top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r>
      <w:tr w:rsidR="00B40966">
        <w:trPr>
          <w:cantSplit/>
          <w:trHeight w:val="200"/>
        </w:trPr>
        <w:tc>
          <w:tcPr>
            <w:tcW w:w="1280" w:type="dxa"/>
            <w:tcBorders>
              <w:top w:val="single" w:sz="6" w:space="0" w:color="auto"/>
              <w:right w:val="single" w:sz="6" w:space="0" w:color="auto"/>
            </w:tcBorders>
          </w:tcPr>
          <w:p w:rsidR="00B40966" w:rsidRDefault="00B40966">
            <w:pPr>
              <w:pStyle w:val="TableText"/>
              <w:jc w:val="center"/>
              <w:rPr>
                <w:sz w:val="20"/>
              </w:rPr>
            </w:pPr>
            <w:r>
              <w:rPr>
                <w:position w:val="6"/>
                <w:sz w:val="20"/>
              </w:rPr>
              <w:t>5</w:t>
            </w:r>
            <w:r>
              <w:rPr>
                <w:sz w:val="20"/>
              </w:rPr>
              <w:t>/16</w:t>
            </w:r>
          </w:p>
        </w:tc>
        <w:tc>
          <w:tcPr>
            <w:tcW w:w="827" w:type="dxa"/>
            <w:tcBorders>
              <w:top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12</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1</w:t>
            </w:r>
          </w:p>
        </w:tc>
        <w:tc>
          <w:tcPr>
            <w:tcW w:w="827" w:type="dxa"/>
            <w:tcBorders>
              <w:top w:val="single" w:sz="6" w:space="0" w:color="auto"/>
            </w:tcBorders>
          </w:tcPr>
          <w:p w:rsidR="00B40966" w:rsidRDefault="00B40966">
            <w:pPr>
              <w:pStyle w:val="TableText"/>
              <w:jc w:val="center"/>
              <w:rPr>
                <w:sz w:val="20"/>
              </w:rPr>
            </w:pPr>
            <w:r>
              <w:rPr>
                <w:sz w:val="20"/>
              </w:rPr>
              <w:t>3</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1</w:t>
            </w:r>
          </w:p>
        </w:tc>
        <w:tc>
          <w:tcPr>
            <w:tcW w:w="827" w:type="dxa"/>
            <w:tcBorders>
              <w:top w:val="single" w:sz="6" w:space="0" w:color="auto"/>
            </w:tcBorders>
          </w:tcPr>
          <w:p w:rsidR="00B40966" w:rsidRDefault="00B40966">
            <w:pPr>
              <w:pStyle w:val="TableText"/>
              <w:jc w:val="center"/>
              <w:rPr>
                <w:sz w:val="20"/>
              </w:rPr>
            </w:pPr>
            <w:r>
              <w:rPr>
                <w:sz w:val="20"/>
              </w:rPr>
              <w:t>1</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17</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right w:val="single" w:sz="6" w:space="0" w:color="auto"/>
            </w:tcBorders>
          </w:tcPr>
          <w:p w:rsidR="00B40966" w:rsidRDefault="00B40966">
            <w:pPr>
              <w:pStyle w:val="TableText"/>
              <w:jc w:val="center"/>
              <w:rPr>
                <w:sz w:val="20"/>
              </w:rPr>
            </w:pPr>
            <w:r>
              <w:rPr>
                <w:sz w:val="20"/>
              </w:rPr>
              <w:t>12</w:t>
            </w:r>
          </w:p>
        </w:tc>
        <w:tc>
          <w:tcPr>
            <w:tcW w:w="827" w:type="dxa"/>
            <w:tcBorders>
              <w:top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6</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3</w:t>
            </w:r>
            <w:r>
              <w:rPr>
                <w:sz w:val="20"/>
              </w:rPr>
              <w:t>/8</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17</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0</w:t>
            </w:r>
          </w:p>
        </w:tc>
        <w:tc>
          <w:tcPr>
            <w:tcW w:w="827" w:type="dxa"/>
            <w:tcBorders>
              <w:right w:val="single" w:sz="6" w:space="0" w:color="auto"/>
            </w:tcBorders>
          </w:tcPr>
          <w:p w:rsidR="00B40966" w:rsidRDefault="00B40966">
            <w:pPr>
              <w:pStyle w:val="TableText"/>
              <w:jc w:val="center"/>
              <w:rPr>
                <w:sz w:val="20"/>
              </w:rPr>
            </w:pPr>
            <w:r>
              <w:rPr>
                <w:sz w:val="20"/>
              </w:rPr>
              <w:t>17</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9</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7</w:t>
            </w:r>
            <w:r>
              <w:rPr>
                <w:sz w:val="20"/>
              </w:rPr>
              <w:t>/16</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3</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12</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1</w:t>
            </w:r>
            <w:r>
              <w:rPr>
                <w:sz w:val="20"/>
              </w:rPr>
              <w:t>/2</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2</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16</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9</w:t>
            </w:r>
            <w:r>
              <w:rPr>
                <w:sz w:val="20"/>
              </w:rPr>
              <w:t>/16</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18</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5</w:t>
            </w:r>
            <w:r>
              <w:rPr>
                <w:sz w:val="20"/>
              </w:rPr>
              <w:t>/8</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7</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11</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Borders>
              <w:righ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4</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11</w:t>
            </w:r>
            <w:r>
              <w:rPr>
                <w:sz w:val="20"/>
              </w:rPr>
              <w:t>/16</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17</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Borders>
              <w:right w:val="single" w:sz="6" w:space="0" w:color="auto"/>
            </w:tcBorders>
          </w:tcPr>
          <w:p w:rsidR="00B40966" w:rsidRDefault="00B40966">
            <w:pPr>
              <w:pStyle w:val="TableText"/>
              <w:jc w:val="center"/>
              <w:rPr>
                <w:sz w:val="20"/>
              </w:rPr>
            </w:pPr>
            <w:r>
              <w:rPr>
                <w:sz w:val="20"/>
              </w:rPr>
              <w:t>17</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3</w:t>
            </w:r>
            <w:r>
              <w:rPr>
                <w:sz w:val="20"/>
              </w:rPr>
              <w:t>/4</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11</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16</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Borders>
              <w:righ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15</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13</w:t>
            </w:r>
            <w:r>
              <w:rPr>
                <w:sz w:val="20"/>
              </w:rPr>
              <w:t>/16</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Borders>
              <w:right w:val="single" w:sz="6" w:space="0" w:color="auto"/>
            </w:tcBorders>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7</w:t>
            </w:r>
            <w:r>
              <w:rPr>
                <w:sz w:val="20"/>
              </w:rPr>
              <w:t>/8</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Borders>
              <w:right w:val="single" w:sz="6" w:space="0" w:color="auto"/>
            </w:tcBorders>
          </w:tcPr>
          <w:p w:rsidR="00B40966" w:rsidRDefault="00B40966">
            <w:pPr>
              <w:pStyle w:val="TableText"/>
              <w:jc w:val="center"/>
              <w:rPr>
                <w:sz w:val="20"/>
              </w:rPr>
            </w:pPr>
            <w:r>
              <w:rPr>
                <w:sz w:val="20"/>
              </w:rPr>
              <w:t>12</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8</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6"/>
                <w:sz w:val="20"/>
              </w:rPr>
              <w:t>15</w:t>
            </w:r>
            <w:r>
              <w:rPr>
                <w:sz w:val="20"/>
              </w:rPr>
              <w:t>/16</w:t>
            </w:r>
          </w:p>
        </w:tc>
        <w:tc>
          <w:tcPr>
            <w:tcW w:w="827" w:type="dxa"/>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Borders>
              <w:righ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15</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Borders>
              <w:right w:val="single" w:sz="6" w:space="0" w:color="auto"/>
            </w:tcBorders>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2</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/16</w:t>
            </w:r>
          </w:p>
        </w:tc>
        <w:tc>
          <w:tcPr>
            <w:tcW w:w="827" w:type="dxa"/>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16</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3</w:t>
            </w:r>
          </w:p>
        </w:tc>
        <w:tc>
          <w:tcPr>
            <w:tcW w:w="827" w:type="dxa"/>
            <w:tcBorders>
              <w:left w:val="single" w:sz="6" w:space="0" w:color="auto"/>
            </w:tcBorders>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16</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Borders>
              <w:righ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/8</w:t>
            </w:r>
          </w:p>
        </w:tc>
        <w:tc>
          <w:tcPr>
            <w:tcW w:w="827" w:type="dxa"/>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Borders>
              <w:right w:val="single" w:sz="6" w:space="0" w:color="auto"/>
            </w:tcBorders>
          </w:tcPr>
          <w:p w:rsidR="00B40966" w:rsidRDefault="00B40966">
            <w:pPr>
              <w:pStyle w:val="TableText"/>
              <w:jc w:val="center"/>
              <w:rPr>
                <w:sz w:val="20"/>
              </w:rPr>
            </w:pPr>
            <w:r>
              <w:rPr>
                <w:sz w:val="20"/>
              </w:rPr>
              <w:t>12</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19</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/16</w:t>
            </w:r>
          </w:p>
        </w:tc>
        <w:tc>
          <w:tcPr>
            <w:tcW w:w="827" w:type="dxa"/>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12</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Borders>
              <w:righ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8</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827" w:type="dxa"/>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18</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Borders>
              <w:righ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17</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5</w:t>
            </w:r>
            <w:r>
              <w:rPr>
                <w:sz w:val="20"/>
              </w:rPr>
              <w:t>/16</w:t>
            </w:r>
          </w:p>
        </w:tc>
        <w:tc>
          <w:tcPr>
            <w:tcW w:w="827" w:type="dxa"/>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7</w:t>
            </w:r>
          </w:p>
        </w:tc>
        <w:tc>
          <w:tcPr>
            <w:tcW w:w="827" w:type="dxa"/>
            <w:tcBorders>
              <w:left w:val="single" w:sz="6" w:space="0" w:color="auto"/>
            </w:tcBorders>
          </w:tcPr>
          <w:p w:rsidR="00B40966" w:rsidRDefault="00B40966">
            <w:pPr>
              <w:pStyle w:val="TableText"/>
              <w:jc w:val="center"/>
              <w:rPr>
                <w:sz w:val="20"/>
              </w:rPr>
            </w:pPr>
            <w:r>
              <w:rPr>
                <w:sz w:val="20"/>
              </w:rPr>
              <w:t>20</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17</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Borders>
              <w:righ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7</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/8</w:t>
            </w:r>
          </w:p>
        </w:tc>
        <w:tc>
          <w:tcPr>
            <w:tcW w:w="827" w:type="dxa"/>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7</w:t>
            </w:r>
          </w:p>
        </w:tc>
        <w:tc>
          <w:tcPr>
            <w:tcW w:w="827" w:type="dxa"/>
            <w:tcBorders>
              <w:left w:val="single" w:sz="6" w:space="0" w:color="auto"/>
            </w:tcBorders>
          </w:tcPr>
          <w:p w:rsidR="00B40966" w:rsidRDefault="00B40966">
            <w:pPr>
              <w:pStyle w:val="TableText"/>
              <w:jc w:val="center"/>
              <w:rPr>
                <w:sz w:val="20"/>
              </w:rPr>
            </w:pPr>
            <w:r>
              <w:rPr>
                <w:sz w:val="20"/>
              </w:rPr>
              <w:t>21</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19</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1</w:t>
            </w:r>
          </w:p>
        </w:tc>
        <w:tc>
          <w:tcPr>
            <w:tcW w:w="827" w:type="dxa"/>
            <w:tcBorders>
              <w:left w:val="single" w:sz="6" w:space="0" w:color="auto"/>
            </w:tcBorders>
          </w:tcPr>
          <w:p w:rsidR="00B40966" w:rsidRDefault="00B40966">
            <w:pPr>
              <w:pStyle w:val="TableText"/>
              <w:jc w:val="center"/>
              <w:rPr>
                <w:sz w:val="20"/>
              </w:rPr>
            </w:pPr>
            <w:r>
              <w:rPr>
                <w:sz w:val="20"/>
              </w:rPr>
              <w:t>11</w:t>
            </w:r>
          </w:p>
        </w:tc>
        <w:tc>
          <w:tcPr>
            <w:tcW w:w="827" w:type="dxa"/>
            <w:tcBorders>
              <w:righ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18</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7</w:t>
            </w:r>
            <w:r>
              <w:rPr>
                <w:sz w:val="20"/>
              </w:rPr>
              <w:t>/16</w:t>
            </w:r>
          </w:p>
        </w:tc>
        <w:tc>
          <w:tcPr>
            <w:tcW w:w="827" w:type="dxa"/>
          </w:tcPr>
          <w:p w:rsidR="00B40966" w:rsidRDefault="00B40966">
            <w:pPr>
              <w:pStyle w:val="TableText"/>
              <w:jc w:val="center"/>
              <w:rPr>
                <w:sz w:val="20"/>
              </w:rPr>
            </w:pPr>
            <w:r>
              <w:rPr>
                <w:sz w:val="20"/>
              </w:rPr>
              <w:t>12</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23</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21</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17</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12</w:t>
            </w:r>
          </w:p>
        </w:tc>
        <w:tc>
          <w:tcPr>
            <w:tcW w:w="827" w:type="dxa"/>
            <w:tcBorders>
              <w:righ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8</w:t>
            </w:r>
          </w:p>
        </w:tc>
      </w:tr>
      <w:tr w:rsidR="00B40966">
        <w:trPr>
          <w:cantSplit/>
          <w:trHeight w:val="200"/>
        </w:trPr>
        <w:tc>
          <w:tcPr>
            <w:tcW w:w="1280" w:type="dxa"/>
            <w:tcBorders>
              <w:bottom w:val="single" w:sz="6" w:space="0" w:color="auto"/>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B40966" w:rsidRDefault="00B40966">
            <w:pPr>
              <w:pStyle w:val="TableText"/>
              <w:jc w:val="center"/>
              <w:rPr>
                <w:sz w:val="20"/>
              </w:rPr>
            </w:pPr>
            <w:r>
              <w:rPr>
                <w:sz w:val="20"/>
              </w:rPr>
              <w:t>13</w:t>
            </w:r>
          </w:p>
        </w:tc>
        <w:tc>
          <w:tcPr>
            <w:tcW w:w="827" w:type="dxa"/>
            <w:tcBorders>
              <w:bottom w:val="single" w:sz="6" w:space="0" w:color="auto"/>
            </w:tcBorders>
          </w:tcPr>
          <w:p w:rsidR="00B40966" w:rsidRDefault="00B40966">
            <w:pPr>
              <w:pStyle w:val="TableText"/>
              <w:jc w:val="center"/>
              <w:rPr>
                <w:sz w:val="20"/>
              </w:rPr>
            </w:pPr>
            <w:r>
              <w:rPr>
                <w:sz w:val="20"/>
              </w:rPr>
              <w:t>10</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26</w:t>
            </w:r>
          </w:p>
        </w:tc>
        <w:tc>
          <w:tcPr>
            <w:tcW w:w="827" w:type="dxa"/>
            <w:tcBorders>
              <w:bottom w:val="single" w:sz="6" w:space="0" w:color="auto"/>
            </w:tcBorders>
          </w:tcPr>
          <w:p w:rsidR="00B40966" w:rsidRDefault="00B40966">
            <w:pPr>
              <w:pStyle w:val="TableText"/>
              <w:jc w:val="center"/>
              <w:rPr>
                <w:sz w:val="20"/>
              </w:rPr>
            </w:pPr>
            <w:r>
              <w:rPr>
                <w:sz w:val="20"/>
              </w:rPr>
              <w:t>1</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23</w:t>
            </w:r>
          </w:p>
        </w:tc>
        <w:tc>
          <w:tcPr>
            <w:tcW w:w="827" w:type="dxa"/>
            <w:tcBorders>
              <w:bottom w:val="single" w:sz="6" w:space="0" w:color="auto"/>
            </w:tcBorders>
          </w:tcPr>
          <w:p w:rsidR="00B40966" w:rsidRDefault="00B40966">
            <w:pPr>
              <w:pStyle w:val="TableText"/>
              <w:jc w:val="center"/>
              <w:rPr>
                <w:sz w:val="20"/>
              </w:rPr>
            </w:pPr>
            <w:r>
              <w:rPr>
                <w:sz w:val="20"/>
              </w:rPr>
              <w:t>8</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19</w:t>
            </w:r>
          </w:p>
        </w:tc>
        <w:tc>
          <w:tcPr>
            <w:tcW w:w="827" w:type="dxa"/>
            <w:tcBorders>
              <w:bottom w:val="single" w:sz="6" w:space="0" w:color="auto"/>
            </w:tcBorders>
          </w:tcPr>
          <w:p w:rsidR="00B40966" w:rsidRDefault="00B40966">
            <w:pPr>
              <w:pStyle w:val="TableText"/>
              <w:jc w:val="center"/>
              <w:rPr>
                <w:sz w:val="20"/>
              </w:rPr>
            </w:pPr>
            <w:r>
              <w:rPr>
                <w:sz w:val="20"/>
              </w:rPr>
              <w:t>2</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13</w:t>
            </w:r>
          </w:p>
        </w:tc>
        <w:tc>
          <w:tcPr>
            <w:tcW w:w="827" w:type="dxa"/>
            <w:tcBorders>
              <w:bottom w:val="single" w:sz="6" w:space="0" w:color="auto"/>
              <w:right w:val="single" w:sz="6" w:space="0" w:color="auto"/>
            </w:tcBorders>
          </w:tcPr>
          <w:p w:rsidR="00B40966" w:rsidRDefault="00B40966">
            <w:pPr>
              <w:pStyle w:val="TableText"/>
              <w:jc w:val="center"/>
              <w:rPr>
                <w:sz w:val="20"/>
              </w:rPr>
            </w:pPr>
            <w:r>
              <w:rPr>
                <w:sz w:val="20"/>
              </w:rPr>
              <w:t>10</w:t>
            </w:r>
          </w:p>
        </w:tc>
        <w:tc>
          <w:tcPr>
            <w:tcW w:w="827" w:type="dxa"/>
            <w:tcBorders>
              <w:bottom w:val="single" w:sz="6" w:space="0" w:color="auto"/>
            </w:tcBorders>
          </w:tcPr>
          <w:p w:rsidR="00B40966" w:rsidRDefault="00B40966">
            <w:pPr>
              <w:pStyle w:val="TableText"/>
              <w:jc w:val="center"/>
              <w:rPr>
                <w:sz w:val="20"/>
              </w:rPr>
            </w:pPr>
            <w:r>
              <w:rPr>
                <w:sz w:val="20"/>
              </w:rPr>
              <w:t>7</w:t>
            </w:r>
          </w:p>
        </w:tc>
        <w:tc>
          <w:tcPr>
            <w:tcW w:w="827" w:type="dxa"/>
            <w:tcBorders>
              <w:bottom w:val="single" w:sz="6" w:space="0" w:color="auto"/>
            </w:tcBorders>
          </w:tcPr>
          <w:p w:rsidR="00B40966" w:rsidRDefault="00B40966">
            <w:pPr>
              <w:pStyle w:val="TableText"/>
              <w:jc w:val="center"/>
              <w:rPr>
                <w:sz w:val="20"/>
              </w:rPr>
            </w:pPr>
            <w:r>
              <w:rPr>
                <w:sz w:val="20"/>
              </w:rPr>
              <w:t>0</w:t>
            </w:r>
          </w:p>
        </w:tc>
      </w:tr>
    </w:tbl>
    <w:p w:rsidR="00B40966" w:rsidRDefault="00B40966"/>
    <w:p w:rsidR="00B40966" w:rsidRDefault="00B40966">
      <w:pPr>
        <w:pStyle w:val="TableHd"/>
      </w:pPr>
      <w:r>
        <w:t>Maximum safe working loads for chains—Classification 2</w:t>
      </w:r>
    </w:p>
    <w:tbl>
      <w:tblPr>
        <w:tblW w:w="0" w:type="auto"/>
        <w:tblLayout w:type="fixed"/>
        <w:tblCellMar>
          <w:left w:w="80" w:type="dxa"/>
          <w:right w:w="80" w:type="dxa"/>
        </w:tblCellMar>
        <w:tblLook w:val="0000" w:firstRow="0" w:lastRow="0" w:firstColumn="0" w:lastColumn="0" w:noHBand="0" w:noVBand="0"/>
      </w:tblPr>
      <w:tblGrid>
        <w:gridCol w:w="1280"/>
        <w:gridCol w:w="827"/>
        <w:gridCol w:w="827"/>
        <w:gridCol w:w="827"/>
        <w:gridCol w:w="827"/>
        <w:gridCol w:w="827"/>
        <w:gridCol w:w="827"/>
        <w:gridCol w:w="827"/>
        <w:gridCol w:w="827"/>
        <w:gridCol w:w="827"/>
        <w:gridCol w:w="827"/>
        <w:gridCol w:w="827"/>
        <w:gridCol w:w="827"/>
      </w:tblGrid>
      <w:tr w:rsidR="00B40966">
        <w:trPr>
          <w:cantSplit/>
          <w:tblHeader/>
        </w:trPr>
        <w:tc>
          <w:tcPr>
            <w:tcW w:w="1280" w:type="dxa"/>
            <w:tcBorders>
              <w:top w:val="single" w:sz="6" w:space="0" w:color="auto"/>
              <w:right w:val="single" w:sz="6" w:space="0" w:color="auto"/>
            </w:tcBorders>
          </w:tcPr>
          <w:p w:rsidR="00B40966" w:rsidRDefault="00B40966">
            <w:pPr>
              <w:pStyle w:val="TableColHd"/>
            </w:pPr>
          </w:p>
        </w:tc>
        <w:tc>
          <w:tcPr>
            <w:tcW w:w="827" w:type="dxa"/>
            <w:tcBorders>
              <w:top w:val="single" w:sz="6" w:space="0" w:color="auto"/>
            </w:tcBorders>
          </w:tcPr>
          <w:p w:rsidR="00B40966" w:rsidRDefault="00B40966">
            <w:pPr>
              <w:pStyle w:val="TableColHd"/>
            </w:pPr>
          </w:p>
        </w:tc>
        <w:tc>
          <w:tcPr>
            <w:tcW w:w="827" w:type="dxa"/>
            <w:tcBorders>
              <w:top w:val="single" w:sz="6" w:space="0" w:color="auto"/>
            </w:tcBorders>
          </w:tcPr>
          <w:p w:rsidR="00B40966" w:rsidRDefault="00B40966">
            <w:pPr>
              <w:pStyle w:val="TableColHd"/>
            </w:pPr>
          </w:p>
        </w:tc>
        <w:tc>
          <w:tcPr>
            <w:tcW w:w="8270" w:type="dxa"/>
            <w:gridSpan w:val="10"/>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1280" w:type="dxa"/>
            <w:tcBorders>
              <w:right w:val="single" w:sz="6" w:space="0" w:color="auto"/>
            </w:tcBorders>
            <w:vAlign w:val="bottom"/>
          </w:tcPr>
          <w:p w:rsidR="00B40966" w:rsidRDefault="00B40966">
            <w:pPr>
              <w:pStyle w:val="TableColHd"/>
            </w:pPr>
            <w:r>
              <w:t xml:space="preserve">size of </w:t>
            </w:r>
            <w:r>
              <w:br/>
              <w:t>chain</w:t>
            </w:r>
          </w:p>
        </w:tc>
        <w:tc>
          <w:tcPr>
            <w:tcW w:w="1654" w:type="dxa"/>
            <w:gridSpan w:val="2"/>
            <w:vAlign w:val="bottom"/>
          </w:tcPr>
          <w:p w:rsidR="00B40966" w:rsidRDefault="00B40966">
            <w:pPr>
              <w:pStyle w:val="TableColHd"/>
            </w:pPr>
            <w:r>
              <w:t>safe load for 1 single fall (part)</w:t>
            </w:r>
            <w:r>
              <w:br/>
              <w:t>of chain</w:t>
            </w:r>
          </w:p>
        </w:tc>
        <w:tc>
          <w:tcPr>
            <w:tcW w:w="1654" w:type="dxa"/>
            <w:gridSpan w:val="2"/>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95350" cy="533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95350" cy="533400"/>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654"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654" w:type="dxa"/>
            <w:gridSpan w:val="2"/>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654" w:type="dxa"/>
            <w:gridSpan w:val="2"/>
          </w:tcPr>
          <w:p w:rsidR="00B40966" w:rsidRDefault="00DA6E8C">
            <w:pPr>
              <w:rPr>
                <w:color w:val="000000"/>
                <w:sz w:val="18"/>
              </w:rPr>
            </w:pPr>
            <w:r>
              <w:rPr>
                <w:noProof/>
                <w:color w:val="000000"/>
                <w:sz w:val="20"/>
                <w:lang w:eastAsia="en-AU"/>
              </w:rPr>
              <w:drawing>
                <wp:inline distT="0" distB="0" distL="0" distR="0">
                  <wp:extent cx="790575" cy="523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cantSplit/>
          <w:trHeight w:hRule="exact" w:val="220"/>
          <w:tblHeader/>
        </w:trPr>
        <w:tc>
          <w:tcPr>
            <w:tcW w:w="1280" w:type="dxa"/>
            <w:tcBorders>
              <w:top w:val="single" w:sz="6" w:space="0" w:color="auto"/>
              <w:bottom w:val="single" w:sz="6" w:space="0" w:color="auto"/>
              <w:right w:val="single" w:sz="6" w:space="0" w:color="auto"/>
            </w:tcBorders>
            <w:vAlign w:val="bottom"/>
          </w:tcPr>
          <w:p w:rsidR="00B40966" w:rsidRDefault="00B40966">
            <w:pPr>
              <w:pStyle w:val="TableColHd"/>
              <w:jc w:val="center"/>
            </w:pPr>
            <w:r>
              <w:t>inches</w:t>
            </w:r>
          </w:p>
        </w:tc>
        <w:tc>
          <w:tcPr>
            <w:tcW w:w="827" w:type="dxa"/>
            <w:tcBorders>
              <w:top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c>
          <w:tcPr>
            <w:tcW w:w="827" w:type="dxa"/>
            <w:tcBorders>
              <w:top w:val="single" w:sz="6" w:space="0" w:color="auto"/>
              <w:left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right w:val="single" w:sz="6" w:space="0" w:color="auto"/>
            </w:tcBorders>
            <w:vAlign w:val="bottom"/>
          </w:tcPr>
          <w:p w:rsidR="00B40966" w:rsidRDefault="00B40966">
            <w:pPr>
              <w:pStyle w:val="TableColHd"/>
              <w:jc w:val="center"/>
            </w:pPr>
            <w:r>
              <w:t>cwts</w:t>
            </w:r>
          </w:p>
        </w:tc>
        <w:tc>
          <w:tcPr>
            <w:tcW w:w="827" w:type="dxa"/>
            <w:tcBorders>
              <w:top w:val="single" w:sz="6" w:space="0" w:color="auto"/>
              <w:bottom w:val="single" w:sz="6" w:space="0" w:color="auto"/>
            </w:tcBorders>
            <w:vAlign w:val="bottom"/>
          </w:tcPr>
          <w:p w:rsidR="00B40966" w:rsidRDefault="00B40966">
            <w:pPr>
              <w:pStyle w:val="TableColHd"/>
              <w:jc w:val="center"/>
            </w:pPr>
            <w:r>
              <w:t>tons</w:t>
            </w:r>
          </w:p>
        </w:tc>
        <w:tc>
          <w:tcPr>
            <w:tcW w:w="827" w:type="dxa"/>
            <w:tcBorders>
              <w:top w:val="single" w:sz="6" w:space="0" w:color="auto"/>
              <w:bottom w:val="single" w:sz="6" w:space="0" w:color="auto"/>
            </w:tcBorders>
            <w:vAlign w:val="bottom"/>
          </w:tcPr>
          <w:p w:rsidR="00B40966" w:rsidRDefault="00B40966">
            <w:pPr>
              <w:pStyle w:val="TableColHd"/>
              <w:jc w:val="center"/>
            </w:pPr>
            <w:r>
              <w:t>cwts</w:t>
            </w:r>
          </w:p>
        </w:tc>
      </w:tr>
      <w:tr w:rsidR="00B40966">
        <w:trPr>
          <w:cantSplit/>
          <w:trHeight w:val="200"/>
        </w:trPr>
        <w:tc>
          <w:tcPr>
            <w:tcW w:w="1280"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/16</w:t>
            </w:r>
          </w:p>
        </w:tc>
        <w:tc>
          <w:tcPr>
            <w:tcW w:w="827" w:type="dxa"/>
            <w:tcBorders>
              <w:top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10</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19</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17</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14</w:t>
            </w:r>
          </w:p>
        </w:tc>
        <w:tc>
          <w:tcPr>
            <w:tcW w:w="827"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right w:val="single" w:sz="6" w:space="0" w:color="auto"/>
            </w:tcBorders>
          </w:tcPr>
          <w:p w:rsidR="00B40966" w:rsidRDefault="00B40966">
            <w:pPr>
              <w:pStyle w:val="TableText"/>
              <w:jc w:val="center"/>
              <w:rPr>
                <w:sz w:val="20"/>
              </w:rPr>
            </w:pPr>
            <w:r>
              <w:rPr>
                <w:sz w:val="20"/>
              </w:rPr>
              <w:t>10</w:t>
            </w:r>
          </w:p>
        </w:tc>
        <w:tc>
          <w:tcPr>
            <w:tcW w:w="827" w:type="dxa"/>
            <w:tcBorders>
              <w:top w:val="single" w:sz="6" w:space="0" w:color="auto"/>
            </w:tcBorders>
          </w:tcPr>
          <w:p w:rsidR="00B40966" w:rsidRDefault="00B40966">
            <w:pPr>
              <w:pStyle w:val="TableText"/>
              <w:jc w:val="center"/>
              <w:rPr>
                <w:sz w:val="20"/>
              </w:rPr>
            </w:pPr>
            <w:r>
              <w:rPr>
                <w:sz w:val="20"/>
              </w:rPr>
              <w:t>0</w:t>
            </w:r>
          </w:p>
        </w:tc>
        <w:tc>
          <w:tcPr>
            <w:tcW w:w="827" w:type="dxa"/>
            <w:tcBorders>
              <w:top w:val="single" w:sz="6" w:space="0" w:color="auto"/>
            </w:tcBorders>
          </w:tcPr>
          <w:p w:rsidR="00B40966" w:rsidRDefault="00B40966">
            <w:pPr>
              <w:pStyle w:val="TableText"/>
              <w:jc w:val="center"/>
              <w:rPr>
                <w:sz w:val="20"/>
              </w:rPr>
            </w:pPr>
            <w:r>
              <w:rPr>
                <w:sz w:val="20"/>
              </w:rPr>
              <w:t>5</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3</w:t>
            </w:r>
            <w:r>
              <w:rPr>
                <w:sz w:val="20"/>
              </w:rPr>
              <w:t>/8</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7</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0</w:t>
            </w:r>
          </w:p>
        </w:tc>
        <w:tc>
          <w:tcPr>
            <w:tcW w:w="827" w:type="dxa"/>
            <w:tcBorders>
              <w:righ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7</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7</w:t>
            </w:r>
            <w:r>
              <w:rPr>
                <w:sz w:val="20"/>
              </w:rPr>
              <w:t>/16</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17</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7</w:t>
            </w:r>
          </w:p>
        </w:tc>
        <w:tc>
          <w:tcPr>
            <w:tcW w:w="827" w:type="dxa"/>
            <w:tcBorders>
              <w:left w:val="single" w:sz="6" w:space="0" w:color="auto"/>
            </w:tcBorders>
          </w:tcPr>
          <w:p w:rsidR="00B40966" w:rsidRDefault="00B40966">
            <w:pPr>
              <w:pStyle w:val="TableText"/>
              <w:jc w:val="center"/>
              <w:rPr>
                <w:sz w:val="20"/>
              </w:rPr>
            </w:pPr>
            <w:r>
              <w:rPr>
                <w:sz w:val="20"/>
              </w:rPr>
              <w:t>0</w:t>
            </w:r>
          </w:p>
        </w:tc>
        <w:tc>
          <w:tcPr>
            <w:tcW w:w="827" w:type="dxa"/>
            <w:tcBorders>
              <w:right w:val="single" w:sz="6" w:space="0" w:color="auto"/>
            </w:tcBorders>
          </w:tcPr>
          <w:p w:rsidR="00B40966" w:rsidRDefault="00B40966">
            <w:pPr>
              <w:pStyle w:val="TableText"/>
              <w:jc w:val="center"/>
              <w:rPr>
                <w:sz w:val="20"/>
              </w:rPr>
            </w:pPr>
            <w:r>
              <w:rPr>
                <w:sz w:val="20"/>
              </w:rPr>
              <w:t>19</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8</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3</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13</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9</w:t>
            </w:r>
            <w:r>
              <w:rPr>
                <w:sz w:val="20"/>
              </w:rPr>
              <w:t>/16</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11</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0</w:t>
            </w:r>
          </w:p>
        </w:tc>
        <w:tc>
          <w:tcPr>
            <w:tcW w:w="827" w:type="dxa"/>
          </w:tcPr>
          <w:p w:rsidR="00B40966" w:rsidRDefault="00B40966">
            <w:pPr>
              <w:pStyle w:val="TableText"/>
              <w:jc w:val="center"/>
              <w:rPr>
                <w:sz w:val="20"/>
              </w:rPr>
            </w:pPr>
            <w:r>
              <w:rPr>
                <w:sz w:val="20"/>
              </w:rPr>
              <w:t>16</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5</w:t>
            </w:r>
            <w:r>
              <w:rPr>
                <w:sz w:val="20"/>
              </w:rPr>
              <w:t>/8</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1</w:t>
            </w:r>
          </w:p>
        </w:tc>
        <w:tc>
          <w:tcPr>
            <w:tcW w:w="827" w:type="dxa"/>
            <w:tcBorders>
              <w:right w:val="single" w:sz="6" w:space="0" w:color="auto"/>
            </w:tcBorders>
          </w:tcPr>
          <w:p w:rsidR="00B40966" w:rsidRDefault="00B40966">
            <w:pPr>
              <w:pStyle w:val="TableText"/>
              <w:jc w:val="center"/>
              <w:rPr>
                <w:sz w:val="20"/>
              </w:rPr>
            </w:pPr>
            <w:r>
              <w:rPr>
                <w:sz w:val="20"/>
              </w:rPr>
              <w:t>18</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11</w:t>
            </w:r>
            <w:r>
              <w:rPr>
                <w:sz w:val="20"/>
              </w:rPr>
              <w:t>/16</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Borders>
              <w:righ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4</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2</w:t>
            </w:r>
          </w:p>
        </w:tc>
        <w:tc>
          <w:tcPr>
            <w:tcW w:w="827" w:type="dxa"/>
            <w:tcBorders>
              <w:right w:val="single" w:sz="6" w:space="0" w:color="auto"/>
            </w:tcBorders>
          </w:tcPr>
          <w:p w:rsidR="00B40966" w:rsidRDefault="00B40966">
            <w:pPr>
              <w:pStyle w:val="TableText"/>
              <w:jc w:val="center"/>
              <w:rPr>
                <w:sz w:val="20"/>
              </w:rPr>
            </w:pPr>
            <w:r>
              <w:rPr>
                <w:sz w:val="20"/>
              </w:rPr>
              <w:t>15</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8</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13</w:t>
            </w:r>
            <w:r>
              <w:rPr>
                <w:sz w:val="20"/>
              </w:rPr>
              <w:t>/16</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12</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Borders>
              <w:righ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14</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7</w:t>
            </w:r>
            <w:r>
              <w:rPr>
                <w:sz w:val="20"/>
              </w:rPr>
              <w:t>/8</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3</w:t>
            </w:r>
          </w:p>
        </w:tc>
        <w:tc>
          <w:tcPr>
            <w:tcW w:w="827" w:type="dxa"/>
            <w:tcBorders>
              <w:right w:val="single" w:sz="6" w:space="0" w:color="auto"/>
            </w:tcBorders>
          </w:tcPr>
          <w:p w:rsidR="00B40966" w:rsidRDefault="00B40966">
            <w:pPr>
              <w:pStyle w:val="TableText"/>
              <w:jc w:val="center"/>
              <w:rPr>
                <w:sz w:val="20"/>
              </w:rPr>
            </w:pPr>
            <w:r>
              <w:rPr>
                <w:sz w:val="20"/>
              </w:rPr>
              <w:t>15</w:t>
            </w:r>
          </w:p>
        </w:tc>
        <w:tc>
          <w:tcPr>
            <w:tcW w:w="827" w:type="dxa"/>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19</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position w:val="4"/>
                <w:sz w:val="20"/>
              </w:rPr>
              <w:t>15</w:t>
            </w:r>
            <w:r>
              <w:rPr>
                <w:sz w:val="20"/>
              </w:rPr>
              <w:t>/16</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2</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Borders>
              <w:righ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4</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18</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4</w:t>
            </w:r>
          </w:p>
        </w:tc>
        <w:tc>
          <w:tcPr>
            <w:tcW w:w="827" w:type="dxa"/>
            <w:tcBorders>
              <w:right w:val="single" w:sz="6" w:space="0" w:color="auto"/>
            </w:tcBorders>
          </w:tcPr>
          <w:p w:rsidR="00B40966" w:rsidRDefault="00B40966">
            <w:pPr>
              <w:pStyle w:val="TableText"/>
              <w:jc w:val="center"/>
              <w:rPr>
                <w:sz w:val="20"/>
              </w:rPr>
            </w:pPr>
            <w:r>
              <w:rPr>
                <w:sz w:val="20"/>
              </w:rPr>
              <w:t>18</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11</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/16</w:t>
            </w:r>
          </w:p>
        </w:tc>
        <w:tc>
          <w:tcPr>
            <w:tcW w:w="827" w:type="dxa"/>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11</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16</w:t>
            </w:r>
          </w:p>
        </w:tc>
        <w:tc>
          <w:tcPr>
            <w:tcW w:w="827" w:type="dxa"/>
            <w:tcBorders>
              <w:left w:val="single" w:sz="6" w:space="0" w:color="auto"/>
            </w:tcBorders>
          </w:tcPr>
          <w:p w:rsidR="00B40966" w:rsidRDefault="00B40966">
            <w:pPr>
              <w:pStyle w:val="TableText"/>
              <w:jc w:val="center"/>
              <w:rPr>
                <w:sz w:val="20"/>
              </w:rPr>
            </w:pPr>
            <w:r>
              <w:rPr>
                <w:sz w:val="20"/>
              </w:rPr>
              <w:t>5</w:t>
            </w:r>
          </w:p>
        </w:tc>
        <w:tc>
          <w:tcPr>
            <w:tcW w:w="827" w:type="dxa"/>
            <w:tcBorders>
              <w:righ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17</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/8</w:t>
            </w:r>
          </w:p>
        </w:tc>
        <w:tc>
          <w:tcPr>
            <w:tcW w:w="827" w:type="dxa"/>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4</w:t>
            </w:r>
          </w:p>
        </w:tc>
        <w:tc>
          <w:tcPr>
            <w:tcW w:w="827" w:type="dxa"/>
            <w:tcBorders>
              <w:left w:val="single" w:sz="6" w:space="0" w:color="auto"/>
            </w:tcBorders>
          </w:tcPr>
          <w:p w:rsidR="00B40966" w:rsidRDefault="00B40966">
            <w:pPr>
              <w:pStyle w:val="TableText"/>
              <w:jc w:val="center"/>
              <w:rPr>
                <w:sz w:val="20"/>
              </w:rPr>
            </w:pPr>
            <w:r>
              <w:rPr>
                <w:sz w:val="20"/>
              </w:rPr>
              <w:t>12</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Borders>
              <w:right w:val="single" w:sz="6" w:space="0" w:color="auto"/>
            </w:tcBorders>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4</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/16</w:t>
            </w:r>
          </w:p>
        </w:tc>
        <w:tc>
          <w:tcPr>
            <w:tcW w:w="827" w:type="dxa"/>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14</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11</w:t>
            </w:r>
          </w:p>
        </w:tc>
        <w:tc>
          <w:tcPr>
            <w:tcW w:w="827" w:type="dxa"/>
            <w:tcBorders>
              <w:left w:val="single" w:sz="6" w:space="0" w:color="auto"/>
            </w:tcBorders>
          </w:tcPr>
          <w:p w:rsidR="00B40966" w:rsidRDefault="00B40966">
            <w:pPr>
              <w:pStyle w:val="TableText"/>
              <w:jc w:val="center"/>
              <w:rPr>
                <w:sz w:val="20"/>
              </w:rPr>
            </w:pPr>
            <w:r>
              <w:rPr>
                <w:sz w:val="20"/>
              </w:rPr>
              <w:t>6</w:t>
            </w:r>
          </w:p>
        </w:tc>
        <w:tc>
          <w:tcPr>
            <w:tcW w:w="827" w:type="dxa"/>
            <w:tcBorders>
              <w:right w:val="single" w:sz="6" w:space="0" w:color="auto"/>
            </w:tcBorders>
          </w:tcPr>
          <w:p w:rsidR="00B40966" w:rsidRDefault="00B40966">
            <w:pPr>
              <w:pStyle w:val="TableText"/>
              <w:jc w:val="center"/>
              <w:rPr>
                <w:sz w:val="20"/>
              </w:rPr>
            </w:pPr>
            <w:r>
              <w:rPr>
                <w:sz w:val="20"/>
              </w:rPr>
              <w:t>15</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10</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827" w:type="dxa"/>
          </w:tcPr>
          <w:p w:rsidR="00B40966" w:rsidRDefault="00B40966">
            <w:pPr>
              <w:pStyle w:val="TableText"/>
              <w:jc w:val="center"/>
              <w:rPr>
                <w:sz w:val="20"/>
              </w:rPr>
            </w:pPr>
            <w:r>
              <w:rPr>
                <w:sz w:val="20"/>
              </w:rPr>
              <w:t>7</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15</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5</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16</w:t>
            </w:r>
          </w:p>
        </w:tc>
        <w:tc>
          <w:tcPr>
            <w:tcW w:w="827" w:type="dxa"/>
            <w:tcBorders>
              <w:left w:val="single" w:sz="6" w:space="0" w:color="auto"/>
            </w:tcBorders>
          </w:tcPr>
          <w:p w:rsidR="00B40966" w:rsidRDefault="00B40966">
            <w:pPr>
              <w:pStyle w:val="TableText"/>
              <w:jc w:val="center"/>
              <w:rPr>
                <w:sz w:val="20"/>
              </w:rPr>
            </w:pPr>
            <w:r>
              <w:rPr>
                <w:sz w:val="20"/>
              </w:rPr>
              <w:t>7</w:t>
            </w:r>
          </w:p>
        </w:tc>
        <w:tc>
          <w:tcPr>
            <w:tcW w:w="827" w:type="dxa"/>
            <w:tcBorders>
              <w:righ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3</w:t>
            </w:r>
          </w:p>
        </w:tc>
        <w:tc>
          <w:tcPr>
            <w:tcW w:w="827" w:type="dxa"/>
          </w:tcPr>
          <w:p w:rsidR="00B40966" w:rsidRDefault="00B40966">
            <w:pPr>
              <w:pStyle w:val="TableText"/>
              <w:jc w:val="center"/>
              <w:rPr>
                <w:sz w:val="20"/>
              </w:rPr>
            </w:pPr>
            <w:r>
              <w:rPr>
                <w:sz w:val="20"/>
              </w:rPr>
              <w:t>19</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5</w:t>
            </w:r>
            <w:r>
              <w:rPr>
                <w:sz w:val="20"/>
              </w:rPr>
              <w:t>/16</w:t>
            </w:r>
          </w:p>
        </w:tc>
        <w:tc>
          <w:tcPr>
            <w:tcW w:w="827" w:type="dxa"/>
          </w:tcPr>
          <w:p w:rsidR="00B40966" w:rsidRDefault="00B40966">
            <w:pPr>
              <w:pStyle w:val="TableText"/>
              <w:jc w:val="center"/>
              <w:rPr>
                <w:sz w:val="20"/>
              </w:rPr>
            </w:pPr>
            <w:r>
              <w:rPr>
                <w:sz w:val="20"/>
              </w:rPr>
              <w:t>8</w:t>
            </w:r>
          </w:p>
        </w:tc>
        <w:tc>
          <w:tcPr>
            <w:tcW w:w="827" w:type="dxa"/>
          </w:tcPr>
          <w:p w:rsidR="00B40966" w:rsidRDefault="00B40966">
            <w:pPr>
              <w:pStyle w:val="TableText"/>
              <w:jc w:val="center"/>
              <w:rPr>
                <w:sz w:val="20"/>
              </w:rPr>
            </w:pPr>
            <w:r>
              <w:rPr>
                <w:sz w:val="20"/>
              </w:rPr>
              <w:t>9</w:t>
            </w:r>
          </w:p>
        </w:tc>
        <w:tc>
          <w:tcPr>
            <w:tcW w:w="827" w:type="dxa"/>
            <w:tcBorders>
              <w:lef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13</w:t>
            </w:r>
          </w:p>
        </w:tc>
        <w:tc>
          <w:tcPr>
            <w:tcW w:w="827" w:type="dxa"/>
            <w:tcBorders>
              <w:left w:val="single" w:sz="6" w:space="0" w:color="auto"/>
            </w:tcBorders>
          </w:tcPr>
          <w:p w:rsidR="00B40966" w:rsidRDefault="00B40966">
            <w:pPr>
              <w:pStyle w:val="TableText"/>
              <w:jc w:val="center"/>
              <w:rPr>
                <w:sz w:val="20"/>
              </w:rPr>
            </w:pPr>
            <w:r>
              <w:rPr>
                <w:sz w:val="20"/>
              </w:rPr>
              <w:t>11</w:t>
            </w:r>
          </w:p>
        </w:tc>
        <w:tc>
          <w:tcPr>
            <w:tcW w:w="827" w:type="dxa"/>
          </w:tcPr>
          <w:p w:rsidR="00B40966" w:rsidRDefault="00B40966">
            <w:pPr>
              <w:pStyle w:val="TableText"/>
              <w:jc w:val="center"/>
              <w:rPr>
                <w:sz w:val="20"/>
              </w:rPr>
            </w:pPr>
            <w:r>
              <w:rPr>
                <w:sz w:val="20"/>
              </w:rPr>
              <w:t>19</w:t>
            </w:r>
          </w:p>
        </w:tc>
        <w:tc>
          <w:tcPr>
            <w:tcW w:w="827" w:type="dxa"/>
            <w:tcBorders>
              <w:left w:val="single" w:sz="6" w:space="0" w:color="auto"/>
            </w:tcBorders>
          </w:tcPr>
          <w:p w:rsidR="00B40966" w:rsidRDefault="00B40966">
            <w:pPr>
              <w:pStyle w:val="TableText"/>
              <w:jc w:val="center"/>
              <w:rPr>
                <w:sz w:val="20"/>
              </w:rPr>
            </w:pPr>
            <w:r>
              <w:rPr>
                <w:sz w:val="20"/>
              </w:rPr>
              <w:t>8</w:t>
            </w:r>
          </w:p>
        </w:tc>
        <w:tc>
          <w:tcPr>
            <w:tcW w:w="827" w:type="dxa"/>
            <w:tcBorders>
              <w:right w:val="single" w:sz="6" w:space="0" w:color="auto"/>
            </w:tcBorders>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7</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/8</w:t>
            </w:r>
          </w:p>
        </w:tc>
        <w:tc>
          <w:tcPr>
            <w:tcW w:w="827" w:type="dxa"/>
          </w:tcPr>
          <w:p w:rsidR="00B40966" w:rsidRDefault="00B40966">
            <w:pPr>
              <w:pStyle w:val="TableText"/>
              <w:jc w:val="center"/>
              <w:rPr>
                <w:sz w:val="20"/>
              </w:rPr>
            </w:pPr>
            <w:r>
              <w:rPr>
                <w:sz w:val="20"/>
              </w:rPr>
              <w:t>9</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18</w:t>
            </w:r>
          </w:p>
        </w:tc>
        <w:tc>
          <w:tcPr>
            <w:tcW w:w="827" w:type="dxa"/>
          </w:tcPr>
          <w:p w:rsidR="00B40966" w:rsidRDefault="00B40966">
            <w:pPr>
              <w:pStyle w:val="TableText"/>
              <w:jc w:val="center"/>
              <w:rPr>
                <w:sz w:val="20"/>
              </w:rPr>
            </w:pPr>
            <w:r>
              <w:rPr>
                <w:sz w:val="20"/>
              </w:rPr>
              <w:t>0</w:t>
            </w:r>
          </w:p>
        </w:tc>
        <w:tc>
          <w:tcPr>
            <w:tcW w:w="827" w:type="dxa"/>
            <w:tcBorders>
              <w:left w:val="single" w:sz="6" w:space="0" w:color="auto"/>
            </w:tcBorders>
          </w:tcPr>
          <w:p w:rsidR="00B40966" w:rsidRDefault="00B40966">
            <w:pPr>
              <w:pStyle w:val="TableText"/>
              <w:jc w:val="center"/>
              <w:rPr>
                <w:sz w:val="20"/>
              </w:rPr>
            </w:pPr>
            <w:r>
              <w:rPr>
                <w:sz w:val="20"/>
              </w:rPr>
              <w:t>16</w:t>
            </w:r>
          </w:p>
        </w:tc>
        <w:tc>
          <w:tcPr>
            <w:tcW w:w="827" w:type="dxa"/>
          </w:tcPr>
          <w:p w:rsidR="00B40966" w:rsidRDefault="00B40966">
            <w:pPr>
              <w:pStyle w:val="TableText"/>
              <w:jc w:val="center"/>
              <w:rPr>
                <w:sz w:val="20"/>
              </w:rPr>
            </w:pPr>
            <w:r>
              <w:rPr>
                <w:sz w:val="20"/>
              </w:rPr>
              <w:t>2</w:t>
            </w:r>
          </w:p>
        </w:tc>
        <w:tc>
          <w:tcPr>
            <w:tcW w:w="827" w:type="dxa"/>
            <w:tcBorders>
              <w:left w:val="single" w:sz="6" w:space="0" w:color="auto"/>
            </w:tcBorders>
          </w:tcPr>
          <w:p w:rsidR="00B40966" w:rsidRDefault="00B40966">
            <w:pPr>
              <w:pStyle w:val="TableText"/>
              <w:jc w:val="center"/>
              <w:rPr>
                <w:sz w:val="20"/>
              </w:rPr>
            </w:pPr>
            <w:r>
              <w:rPr>
                <w:sz w:val="20"/>
              </w:rPr>
              <w:t>13</w:t>
            </w:r>
          </w:p>
        </w:tc>
        <w:tc>
          <w:tcPr>
            <w:tcW w:w="827" w:type="dxa"/>
          </w:tcPr>
          <w:p w:rsidR="00B40966" w:rsidRDefault="00B40966">
            <w:pPr>
              <w:pStyle w:val="TableText"/>
              <w:jc w:val="center"/>
              <w:rPr>
                <w:sz w:val="20"/>
              </w:rPr>
            </w:pPr>
            <w:r>
              <w:rPr>
                <w:sz w:val="20"/>
              </w:rPr>
              <w:t>3</w:t>
            </w:r>
          </w:p>
        </w:tc>
        <w:tc>
          <w:tcPr>
            <w:tcW w:w="827" w:type="dxa"/>
            <w:tcBorders>
              <w:left w:val="single" w:sz="6" w:space="0" w:color="auto"/>
            </w:tcBorders>
          </w:tcPr>
          <w:p w:rsidR="00B40966" w:rsidRDefault="00B40966">
            <w:pPr>
              <w:pStyle w:val="TableText"/>
              <w:jc w:val="center"/>
              <w:rPr>
                <w:sz w:val="20"/>
              </w:rPr>
            </w:pPr>
            <w:r>
              <w:rPr>
                <w:sz w:val="20"/>
              </w:rPr>
              <w:t>9</w:t>
            </w:r>
          </w:p>
        </w:tc>
        <w:tc>
          <w:tcPr>
            <w:tcW w:w="827" w:type="dxa"/>
            <w:tcBorders>
              <w:right w:val="single" w:sz="6" w:space="0" w:color="auto"/>
            </w:tcBorders>
          </w:tcPr>
          <w:p w:rsidR="00B40966" w:rsidRDefault="00B40966">
            <w:pPr>
              <w:pStyle w:val="TableText"/>
              <w:jc w:val="center"/>
              <w:rPr>
                <w:sz w:val="20"/>
              </w:rPr>
            </w:pPr>
            <w:r>
              <w:rPr>
                <w:sz w:val="20"/>
              </w:rPr>
              <w:t>6</w:t>
            </w:r>
          </w:p>
        </w:tc>
        <w:tc>
          <w:tcPr>
            <w:tcW w:w="827" w:type="dxa"/>
          </w:tcPr>
          <w:p w:rsidR="00B40966" w:rsidRDefault="00B40966">
            <w:pPr>
              <w:pStyle w:val="TableText"/>
              <w:jc w:val="center"/>
              <w:rPr>
                <w:sz w:val="20"/>
              </w:rPr>
            </w:pPr>
            <w:r>
              <w:rPr>
                <w:sz w:val="20"/>
              </w:rPr>
              <w:t>4</w:t>
            </w:r>
          </w:p>
        </w:tc>
        <w:tc>
          <w:tcPr>
            <w:tcW w:w="827" w:type="dxa"/>
          </w:tcPr>
          <w:p w:rsidR="00B40966" w:rsidRDefault="00B40966">
            <w:pPr>
              <w:pStyle w:val="TableText"/>
              <w:jc w:val="center"/>
              <w:rPr>
                <w:sz w:val="20"/>
              </w:rPr>
            </w:pPr>
            <w:r>
              <w:rPr>
                <w:sz w:val="20"/>
              </w:rPr>
              <w:t>16</w:t>
            </w:r>
          </w:p>
        </w:tc>
      </w:tr>
      <w:tr w:rsidR="00B40966">
        <w:trPr>
          <w:cantSplit/>
          <w:trHeight w:val="200"/>
        </w:trPr>
        <w:tc>
          <w:tcPr>
            <w:tcW w:w="1280" w:type="dxa"/>
            <w:tcBorders>
              <w:right w:val="single" w:sz="6" w:space="0" w:color="auto"/>
            </w:tcBorders>
          </w:tcPr>
          <w:p w:rsidR="00B40966" w:rsidRDefault="00B40966">
            <w:pPr>
              <w:pStyle w:val="TableText"/>
              <w:jc w:val="center"/>
              <w:rPr>
                <w:sz w:val="20"/>
              </w:rPr>
            </w:pPr>
            <w:r>
              <w:rPr>
                <w:sz w:val="20"/>
              </w:rPr>
              <w:t>1</w:t>
            </w:r>
            <w:r>
              <w:rPr>
                <w:position w:val="4"/>
                <w:sz w:val="20"/>
              </w:rPr>
              <w:t>7</w:t>
            </w:r>
            <w:r>
              <w:rPr>
                <w:sz w:val="20"/>
              </w:rPr>
              <w:t>/16</w:t>
            </w:r>
          </w:p>
        </w:tc>
        <w:tc>
          <w:tcPr>
            <w:tcW w:w="827" w:type="dxa"/>
          </w:tcPr>
          <w:p w:rsidR="00B40966" w:rsidRDefault="00B40966">
            <w:pPr>
              <w:pStyle w:val="TableText"/>
              <w:jc w:val="center"/>
              <w:rPr>
                <w:sz w:val="20"/>
              </w:rPr>
            </w:pPr>
            <w:r>
              <w:rPr>
                <w:sz w:val="20"/>
              </w:rPr>
              <w:t>10</w:t>
            </w:r>
          </w:p>
        </w:tc>
        <w:tc>
          <w:tcPr>
            <w:tcW w:w="827" w:type="dxa"/>
          </w:tcPr>
          <w:p w:rsidR="00B40966" w:rsidRDefault="00B40966">
            <w:pPr>
              <w:pStyle w:val="TableText"/>
              <w:jc w:val="center"/>
              <w:rPr>
                <w:sz w:val="20"/>
              </w:rPr>
            </w:pPr>
            <w:r>
              <w:rPr>
                <w:sz w:val="20"/>
              </w:rPr>
              <w:t>2</w:t>
            </w:r>
          </w:p>
        </w:tc>
        <w:tc>
          <w:tcPr>
            <w:tcW w:w="827" w:type="dxa"/>
            <w:tcBorders>
              <w:left w:val="single" w:sz="6" w:space="0" w:color="auto"/>
            </w:tcBorders>
          </w:tcPr>
          <w:p w:rsidR="00B40966" w:rsidRDefault="00B40966">
            <w:pPr>
              <w:pStyle w:val="TableText"/>
              <w:jc w:val="center"/>
              <w:rPr>
                <w:sz w:val="20"/>
              </w:rPr>
            </w:pPr>
            <w:r>
              <w:rPr>
                <w:sz w:val="20"/>
              </w:rPr>
              <w:t>19</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17</w:t>
            </w:r>
          </w:p>
        </w:tc>
        <w:tc>
          <w:tcPr>
            <w:tcW w:w="827" w:type="dxa"/>
          </w:tcPr>
          <w:p w:rsidR="00B40966" w:rsidRDefault="00B40966">
            <w:pPr>
              <w:pStyle w:val="TableText"/>
              <w:jc w:val="center"/>
              <w:rPr>
                <w:sz w:val="20"/>
              </w:rPr>
            </w:pPr>
            <w:r>
              <w:rPr>
                <w:sz w:val="20"/>
              </w:rPr>
              <w:t>10</w:t>
            </w:r>
          </w:p>
        </w:tc>
        <w:tc>
          <w:tcPr>
            <w:tcW w:w="827" w:type="dxa"/>
            <w:tcBorders>
              <w:left w:val="single" w:sz="6" w:space="0" w:color="auto"/>
            </w:tcBorders>
          </w:tcPr>
          <w:p w:rsidR="00B40966" w:rsidRDefault="00B40966">
            <w:pPr>
              <w:pStyle w:val="TableText"/>
              <w:jc w:val="center"/>
              <w:rPr>
                <w:sz w:val="20"/>
              </w:rPr>
            </w:pPr>
            <w:r>
              <w:rPr>
                <w:sz w:val="20"/>
              </w:rPr>
              <w:t>14</w:t>
            </w:r>
          </w:p>
        </w:tc>
        <w:tc>
          <w:tcPr>
            <w:tcW w:w="827" w:type="dxa"/>
          </w:tcPr>
          <w:p w:rsidR="00B40966" w:rsidRDefault="00B40966">
            <w:pPr>
              <w:pStyle w:val="TableText"/>
              <w:jc w:val="center"/>
              <w:rPr>
                <w:sz w:val="20"/>
              </w:rPr>
            </w:pPr>
            <w:r>
              <w:rPr>
                <w:sz w:val="20"/>
              </w:rPr>
              <w:t>6</w:t>
            </w:r>
          </w:p>
        </w:tc>
        <w:tc>
          <w:tcPr>
            <w:tcW w:w="827" w:type="dxa"/>
            <w:tcBorders>
              <w:left w:val="single" w:sz="6" w:space="0" w:color="auto"/>
            </w:tcBorders>
          </w:tcPr>
          <w:p w:rsidR="00B40966" w:rsidRDefault="00B40966">
            <w:pPr>
              <w:pStyle w:val="TableText"/>
              <w:jc w:val="center"/>
              <w:rPr>
                <w:sz w:val="20"/>
              </w:rPr>
            </w:pPr>
            <w:r>
              <w:rPr>
                <w:sz w:val="20"/>
              </w:rPr>
              <w:t>10</w:t>
            </w:r>
          </w:p>
        </w:tc>
        <w:tc>
          <w:tcPr>
            <w:tcW w:w="827" w:type="dxa"/>
            <w:tcBorders>
              <w:right w:val="single" w:sz="6" w:space="0" w:color="auto"/>
            </w:tcBorders>
          </w:tcPr>
          <w:p w:rsidR="00B40966" w:rsidRDefault="00B40966">
            <w:pPr>
              <w:pStyle w:val="TableText"/>
              <w:jc w:val="center"/>
              <w:rPr>
                <w:sz w:val="20"/>
              </w:rPr>
            </w:pPr>
            <w:r>
              <w:rPr>
                <w:sz w:val="20"/>
              </w:rPr>
              <w:t>2</w:t>
            </w:r>
          </w:p>
        </w:tc>
        <w:tc>
          <w:tcPr>
            <w:tcW w:w="827" w:type="dxa"/>
          </w:tcPr>
          <w:p w:rsidR="00B40966" w:rsidRDefault="00B40966">
            <w:pPr>
              <w:pStyle w:val="TableText"/>
              <w:jc w:val="center"/>
              <w:rPr>
                <w:sz w:val="20"/>
              </w:rPr>
            </w:pPr>
            <w:r>
              <w:rPr>
                <w:sz w:val="20"/>
              </w:rPr>
              <w:t>5</w:t>
            </w:r>
          </w:p>
        </w:tc>
        <w:tc>
          <w:tcPr>
            <w:tcW w:w="827" w:type="dxa"/>
          </w:tcPr>
          <w:p w:rsidR="00B40966" w:rsidRDefault="00B40966">
            <w:pPr>
              <w:pStyle w:val="TableText"/>
              <w:jc w:val="center"/>
              <w:rPr>
                <w:sz w:val="20"/>
              </w:rPr>
            </w:pPr>
            <w:r>
              <w:rPr>
                <w:sz w:val="20"/>
              </w:rPr>
              <w:t>5</w:t>
            </w:r>
          </w:p>
        </w:tc>
      </w:tr>
      <w:tr w:rsidR="00B40966">
        <w:trPr>
          <w:cantSplit/>
          <w:trHeight w:val="200"/>
        </w:trPr>
        <w:tc>
          <w:tcPr>
            <w:tcW w:w="1280" w:type="dxa"/>
            <w:tcBorders>
              <w:bottom w:val="single" w:sz="6" w:space="0" w:color="auto"/>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827" w:type="dxa"/>
            <w:tcBorders>
              <w:bottom w:val="single" w:sz="6" w:space="0" w:color="auto"/>
            </w:tcBorders>
          </w:tcPr>
          <w:p w:rsidR="00B40966" w:rsidRDefault="00B40966">
            <w:pPr>
              <w:pStyle w:val="TableText"/>
              <w:jc w:val="center"/>
              <w:rPr>
                <w:sz w:val="20"/>
              </w:rPr>
            </w:pPr>
            <w:r>
              <w:rPr>
                <w:sz w:val="20"/>
              </w:rPr>
              <w:t>11</w:t>
            </w:r>
          </w:p>
        </w:tc>
        <w:tc>
          <w:tcPr>
            <w:tcW w:w="827" w:type="dxa"/>
            <w:tcBorders>
              <w:bottom w:val="single" w:sz="6" w:space="0" w:color="auto"/>
            </w:tcBorders>
          </w:tcPr>
          <w:p w:rsidR="00B40966" w:rsidRDefault="00B40966">
            <w:pPr>
              <w:pStyle w:val="TableText"/>
              <w:jc w:val="center"/>
              <w:rPr>
                <w:sz w:val="20"/>
              </w:rPr>
            </w:pPr>
            <w:r>
              <w:rPr>
                <w:sz w:val="20"/>
              </w:rPr>
              <w:t>0</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21</w:t>
            </w:r>
          </w:p>
        </w:tc>
        <w:tc>
          <w:tcPr>
            <w:tcW w:w="827" w:type="dxa"/>
            <w:tcBorders>
              <w:bottom w:val="single" w:sz="6" w:space="0" w:color="auto"/>
            </w:tcBorders>
          </w:tcPr>
          <w:p w:rsidR="00B40966" w:rsidRDefault="00B40966">
            <w:pPr>
              <w:pStyle w:val="TableText"/>
              <w:jc w:val="center"/>
              <w:rPr>
                <w:sz w:val="20"/>
              </w:rPr>
            </w:pPr>
            <w:r>
              <w:rPr>
                <w:sz w:val="20"/>
              </w:rPr>
              <w:t>5</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19</w:t>
            </w:r>
          </w:p>
        </w:tc>
        <w:tc>
          <w:tcPr>
            <w:tcW w:w="827" w:type="dxa"/>
            <w:tcBorders>
              <w:bottom w:val="single" w:sz="6" w:space="0" w:color="auto"/>
            </w:tcBorders>
          </w:tcPr>
          <w:p w:rsidR="00B40966" w:rsidRDefault="00B40966">
            <w:pPr>
              <w:pStyle w:val="TableText"/>
              <w:jc w:val="center"/>
              <w:rPr>
                <w:sz w:val="20"/>
              </w:rPr>
            </w:pPr>
            <w:r>
              <w:rPr>
                <w:sz w:val="20"/>
              </w:rPr>
              <w:t>2</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15</w:t>
            </w:r>
          </w:p>
        </w:tc>
        <w:tc>
          <w:tcPr>
            <w:tcW w:w="827" w:type="dxa"/>
            <w:tcBorders>
              <w:bottom w:val="single" w:sz="6" w:space="0" w:color="auto"/>
            </w:tcBorders>
          </w:tcPr>
          <w:p w:rsidR="00B40966" w:rsidRDefault="00B40966">
            <w:pPr>
              <w:pStyle w:val="TableText"/>
              <w:jc w:val="center"/>
              <w:rPr>
                <w:sz w:val="20"/>
              </w:rPr>
            </w:pPr>
            <w:r>
              <w:rPr>
                <w:sz w:val="20"/>
              </w:rPr>
              <w:t>11</w:t>
            </w:r>
          </w:p>
        </w:tc>
        <w:tc>
          <w:tcPr>
            <w:tcW w:w="827" w:type="dxa"/>
            <w:tcBorders>
              <w:left w:val="single" w:sz="6" w:space="0" w:color="auto"/>
              <w:bottom w:val="single" w:sz="6" w:space="0" w:color="auto"/>
            </w:tcBorders>
          </w:tcPr>
          <w:p w:rsidR="00B40966" w:rsidRDefault="00B40966">
            <w:pPr>
              <w:pStyle w:val="TableText"/>
              <w:jc w:val="center"/>
              <w:rPr>
                <w:sz w:val="20"/>
              </w:rPr>
            </w:pPr>
            <w:r>
              <w:rPr>
                <w:sz w:val="20"/>
              </w:rPr>
              <w:t>11</w:t>
            </w:r>
          </w:p>
        </w:tc>
        <w:tc>
          <w:tcPr>
            <w:tcW w:w="827" w:type="dxa"/>
            <w:tcBorders>
              <w:bottom w:val="single" w:sz="6" w:space="0" w:color="auto"/>
              <w:right w:val="single" w:sz="6" w:space="0" w:color="auto"/>
            </w:tcBorders>
          </w:tcPr>
          <w:p w:rsidR="00B40966" w:rsidRDefault="00B40966">
            <w:pPr>
              <w:pStyle w:val="TableText"/>
              <w:jc w:val="center"/>
              <w:rPr>
                <w:sz w:val="20"/>
              </w:rPr>
            </w:pPr>
            <w:r>
              <w:rPr>
                <w:sz w:val="20"/>
              </w:rPr>
              <w:t>0</w:t>
            </w:r>
          </w:p>
        </w:tc>
        <w:tc>
          <w:tcPr>
            <w:tcW w:w="827" w:type="dxa"/>
            <w:tcBorders>
              <w:bottom w:val="single" w:sz="6" w:space="0" w:color="auto"/>
            </w:tcBorders>
          </w:tcPr>
          <w:p w:rsidR="00B40966" w:rsidRDefault="00B40966">
            <w:pPr>
              <w:pStyle w:val="TableText"/>
              <w:jc w:val="center"/>
              <w:rPr>
                <w:sz w:val="20"/>
              </w:rPr>
            </w:pPr>
            <w:r>
              <w:rPr>
                <w:sz w:val="20"/>
              </w:rPr>
              <w:t>5</w:t>
            </w:r>
          </w:p>
        </w:tc>
        <w:tc>
          <w:tcPr>
            <w:tcW w:w="827" w:type="dxa"/>
            <w:tcBorders>
              <w:bottom w:val="single" w:sz="6" w:space="0" w:color="auto"/>
            </w:tcBorders>
          </w:tcPr>
          <w:p w:rsidR="00B40966" w:rsidRDefault="00B40966">
            <w:pPr>
              <w:pStyle w:val="TableText"/>
              <w:jc w:val="center"/>
              <w:rPr>
                <w:sz w:val="20"/>
              </w:rPr>
            </w:pPr>
            <w:r>
              <w:rPr>
                <w:sz w:val="20"/>
              </w:rPr>
              <w:t>14</w:t>
            </w:r>
          </w:p>
        </w:tc>
      </w:tr>
    </w:tbl>
    <w:p w:rsidR="00B40966" w:rsidRDefault="00B40966">
      <w:pPr>
        <w:pStyle w:val="02TextLandscape"/>
        <w:sectPr w:rsidR="00B40966">
          <w:headerReference w:type="even" r:id="rId149"/>
          <w:headerReference w:type="default" r:id="rId150"/>
          <w:footerReference w:type="even" r:id="rId151"/>
          <w:footerReference w:type="default" r:id="rId152"/>
          <w:pgSz w:w="16839" w:h="11907" w:orient="landscape" w:code="9"/>
          <w:pgMar w:top="2300" w:right="3000" w:bottom="1900" w:left="2500" w:header="2480" w:footer="2100" w:gutter="0"/>
          <w:cols w:space="720"/>
          <w:docGrid w:linePitch="254"/>
        </w:sectPr>
      </w:pPr>
    </w:p>
    <w:p w:rsidR="00B40966" w:rsidRDefault="00B40966">
      <w:pPr>
        <w:pStyle w:val="TableHd"/>
        <w:ind w:right="-133"/>
      </w:pPr>
      <w:r>
        <w:t>Maximum safe working load for chain used in chain blocks*—Classification 1</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B40966">
        <w:trPr>
          <w:cantSplit/>
        </w:trPr>
        <w:tc>
          <w:tcPr>
            <w:tcW w:w="2380" w:type="dxa"/>
          </w:tcPr>
          <w:p w:rsidR="00B40966" w:rsidRDefault="00B40966">
            <w:pPr>
              <w:pStyle w:val="TableColHd"/>
              <w:jc w:val="center"/>
            </w:pPr>
            <w:r>
              <w:t>size of chain</w:t>
            </w:r>
          </w:p>
        </w:tc>
        <w:tc>
          <w:tcPr>
            <w:tcW w:w="4900" w:type="dxa"/>
            <w:gridSpan w:val="2"/>
            <w:tcBorders>
              <w:bottom w:val="single" w:sz="6" w:space="0" w:color="auto"/>
            </w:tcBorders>
          </w:tcPr>
          <w:p w:rsidR="00B40966" w:rsidRDefault="00B40966">
            <w:pPr>
              <w:pStyle w:val="TableColHd"/>
              <w:jc w:val="center"/>
            </w:pPr>
            <w:r>
              <w:t>safe working load per fall (part) of chain</w:t>
            </w:r>
          </w:p>
        </w:tc>
      </w:tr>
      <w:tr w:rsidR="00B40966">
        <w:trPr>
          <w:cantSplit/>
        </w:trPr>
        <w:tc>
          <w:tcPr>
            <w:tcW w:w="2380" w:type="dxa"/>
            <w:tcBorders>
              <w:bottom w:val="single" w:sz="6" w:space="0" w:color="auto"/>
            </w:tcBorders>
          </w:tcPr>
          <w:p w:rsidR="00B40966" w:rsidRDefault="00B40966">
            <w:pPr>
              <w:pStyle w:val="TableColHd"/>
              <w:jc w:val="center"/>
            </w:pPr>
            <w:r>
              <w:t>(inches)</w:t>
            </w:r>
          </w:p>
        </w:tc>
        <w:tc>
          <w:tcPr>
            <w:tcW w:w="2980" w:type="dxa"/>
            <w:tcBorders>
              <w:bottom w:val="single" w:sz="6" w:space="0" w:color="auto"/>
            </w:tcBorders>
          </w:tcPr>
          <w:p w:rsidR="00B40966" w:rsidRDefault="00B40966">
            <w:pPr>
              <w:pStyle w:val="TableColHd"/>
              <w:jc w:val="center"/>
            </w:pPr>
            <w:r>
              <w:t>tons</w:t>
            </w:r>
          </w:p>
        </w:tc>
        <w:tc>
          <w:tcPr>
            <w:tcW w:w="1920" w:type="dxa"/>
            <w:tcBorders>
              <w:bottom w:val="single" w:sz="6" w:space="0" w:color="auto"/>
            </w:tcBorders>
          </w:tcPr>
          <w:p w:rsidR="00B40966" w:rsidRDefault="00B40966">
            <w:pPr>
              <w:pStyle w:val="TableColHd"/>
              <w:jc w:val="center"/>
            </w:pPr>
            <w:r>
              <w:t>cwts</w:t>
            </w:r>
          </w:p>
        </w:tc>
      </w:tr>
      <w:tr w:rsidR="00B40966">
        <w:trPr>
          <w:cantSplit/>
        </w:trPr>
        <w:tc>
          <w:tcPr>
            <w:tcW w:w="2380" w:type="dxa"/>
            <w:tcBorders>
              <w:top w:val="single" w:sz="6" w:space="0" w:color="auto"/>
            </w:tcBorders>
          </w:tcPr>
          <w:p w:rsidR="00B40966" w:rsidRDefault="00B40966">
            <w:pPr>
              <w:pStyle w:val="TableText"/>
              <w:jc w:val="center"/>
              <w:rPr>
                <w:sz w:val="20"/>
              </w:rPr>
            </w:pPr>
            <w:r>
              <w:rPr>
                <w:position w:val="6"/>
                <w:sz w:val="20"/>
              </w:rPr>
              <w:t>5</w:t>
            </w:r>
            <w:r>
              <w:rPr>
                <w:sz w:val="20"/>
              </w:rPr>
              <w:t>/16</w:t>
            </w:r>
          </w:p>
        </w:tc>
        <w:tc>
          <w:tcPr>
            <w:tcW w:w="2980" w:type="dxa"/>
            <w:tcBorders>
              <w:top w:val="single" w:sz="6" w:space="0" w:color="auto"/>
            </w:tcBorders>
          </w:tcPr>
          <w:p w:rsidR="00B40966" w:rsidRDefault="00B40966">
            <w:pPr>
              <w:pStyle w:val="TableText"/>
              <w:jc w:val="center"/>
              <w:rPr>
                <w:sz w:val="20"/>
              </w:rPr>
            </w:pPr>
            <w:r>
              <w:rPr>
                <w:sz w:val="20"/>
              </w:rPr>
              <w:t>0</w:t>
            </w:r>
          </w:p>
        </w:tc>
        <w:tc>
          <w:tcPr>
            <w:tcW w:w="1920" w:type="dxa"/>
            <w:tcBorders>
              <w:top w:val="single" w:sz="6" w:space="0" w:color="auto"/>
            </w:tcBorders>
          </w:tcPr>
          <w:p w:rsidR="00B40966" w:rsidRDefault="00B40966">
            <w:pPr>
              <w:pStyle w:val="TableText"/>
              <w:jc w:val="center"/>
              <w:rPr>
                <w:sz w:val="20"/>
              </w:rPr>
            </w:pPr>
            <w:r>
              <w:rPr>
                <w:sz w:val="20"/>
              </w:rPr>
              <w:t>13</w:t>
            </w:r>
          </w:p>
        </w:tc>
      </w:tr>
      <w:tr w:rsidR="00B40966">
        <w:trPr>
          <w:cantSplit/>
        </w:trPr>
        <w:tc>
          <w:tcPr>
            <w:tcW w:w="2380" w:type="dxa"/>
          </w:tcPr>
          <w:p w:rsidR="00B40966" w:rsidRDefault="00B40966">
            <w:pPr>
              <w:pStyle w:val="TableText"/>
              <w:jc w:val="center"/>
              <w:rPr>
                <w:sz w:val="20"/>
              </w:rPr>
            </w:pPr>
            <w:r>
              <w:rPr>
                <w:position w:val="6"/>
                <w:sz w:val="20"/>
              </w:rPr>
              <w:t>3</w:t>
            </w:r>
            <w:r>
              <w:rPr>
                <w:sz w:val="20"/>
              </w:rPr>
              <w:t>/8</w:t>
            </w:r>
          </w:p>
        </w:tc>
        <w:tc>
          <w:tcPr>
            <w:tcW w:w="2980" w:type="dxa"/>
          </w:tcPr>
          <w:p w:rsidR="00B40966" w:rsidRDefault="00B40966">
            <w:pPr>
              <w:pStyle w:val="TableText"/>
              <w:jc w:val="center"/>
              <w:rPr>
                <w:sz w:val="20"/>
              </w:rPr>
            </w:pPr>
            <w:r>
              <w:rPr>
                <w:sz w:val="20"/>
              </w:rPr>
              <w:t>0</w:t>
            </w:r>
          </w:p>
        </w:tc>
        <w:tc>
          <w:tcPr>
            <w:tcW w:w="1920" w:type="dxa"/>
          </w:tcPr>
          <w:p w:rsidR="00B40966" w:rsidRDefault="00B40966">
            <w:pPr>
              <w:pStyle w:val="TableText"/>
              <w:jc w:val="center"/>
              <w:rPr>
                <w:sz w:val="20"/>
              </w:rPr>
            </w:pPr>
            <w:r>
              <w:rPr>
                <w:sz w:val="20"/>
              </w:rPr>
              <w:t>19</w:t>
            </w:r>
          </w:p>
        </w:tc>
      </w:tr>
      <w:tr w:rsidR="00B40966">
        <w:trPr>
          <w:cantSplit/>
        </w:trPr>
        <w:tc>
          <w:tcPr>
            <w:tcW w:w="2380" w:type="dxa"/>
          </w:tcPr>
          <w:p w:rsidR="00B40966" w:rsidRDefault="00B40966">
            <w:pPr>
              <w:pStyle w:val="TableText"/>
              <w:jc w:val="center"/>
              <w:rPr>
                <w:sz w:val="20"/>
              </w:rPr>
            </w:pPr>
            <w:r>
              <w:rPr>
                <w:position w:val="6"/>
                <w:sz w:val="20"/>
              </w:rPr>
              <w:t>7</w:t>
            </w:r>
            <w:r>
              <w:rPr>
                <w:sz w:val="20"/>
              </w:rPr>
              <w:t>/16</w:t>
            </w:r>
          </w:p>
        </w:tc>
        <w:tc>
          <w:tcPr>
            <w:tcW w:w="2980" w:type="dxa"/>
          </w:tcPr>
          <w:p w:rsidR="00B40966" w:rsidRDefault="00B40966">
            <w:pPr>
              <w:pStyle w:val="TableText"/>
              <w:jc w:val="center"/>
              <w:rPr>
                <w:sz w:val="20"/>
              </w:rPr>
            </w:pPr>
            <w:r>
              <w:rPr>
                <w:sz w:val="20"/>
              </w:rPr>
              <w:t>1</w:t>
            </w:r>
          </w:p>
        </w:tc>
        <w:tc>
          <w:tcPr>
            <w:tcW w:w="1920" w:type="dxa"/>
          </w:tcPr>
          <w:p w:rsidR="00B40966" w:rsidRDefault="00B40966">
            <w:pPr>
              <w:pStyle w:val="TableText"/>
              <w:jc w:val="center"/>
              <w:rPr>
                <w:sz w:val="20"/>
              </w:rPr>
            </w:pPr>
            <w:r>
              <w:rPr>
                <w:sz w:val="20"/>
              </w:rPr>
              <w:t>6</w:t>
            </w:r>
          </w:p>
        </w:tc>
      </w:tr>
      <w:tr w:rsidR="00B40966">
        <w:trPr>
          <w:cantSplit/>
        </w:trPr>
        <w:tc>
          <w:tcPr>
            <w:tcW w:w="2380" w:type="dxa"/>
          </w:tcPr>
          <w:p w:rsidR="00B40966" w:rsidRDefault="00B40966">
            <w:pPr>
              <w:pStyle w:val="TableText"/>
              <w:jc w:val="center"/>
              <w:rPr>
                <w:sz w:val="20"/>
              </w:rPr>
            </w:pPr>
            <w:r>
              <w:rPr>
                <w:position w:val="6"/>
                <w:sz w:val="20"/>
              </w:rPr>
              <w:t>1</w:t>
            </w:r>
            <w:r>
              <w:rPr>
                <w:sz w:val="20"/>
              </w:rPr>
              <w:t>/2</w:t>
            </w:r>
          </w:p>
        </w:tc>
        <w:tc>
          <w:tcPr>
            <w:tcW w:w="2980" w:type="dxa"/>
          </w:tcPr>
          <w:p w:rsidR="00B40966" w:rsidRDefault="00B40966">
            <w:pPr>
              <w:pStyle w:val="TableText"/>
              <w:jc w:val="center"/>
              <w:rPr>
                <w:sz w:val="20"/>
              </w:rPr>
            </w:pPr>
            <w:r>
              <w:rPr>
                <w:sz w:val="20"/>
              </w:rPr>
              <w:t>1</w:t>
            </w:r>
          </w:p>
        </w:tc>
        <w:tc>
          <w:tcPr>
            <w:tcW w:w="1920" w:type="dxa"/>
          </w:tcPr>
          <w:p w:rsidR="00B40966" w:rsidRDefault="00B40966">
            <w:pPr>
              <w:pStyle w:val="TableText"/>
              <w:jc w:val="center"/>
              <w:rPr>
                <w:sz w:val="20"/>
              </w:rPr>
            </w:pPr>
            <w:r>
              <w:rPr>
                <w:sz w:val="20"/>
              </w:rPr>
              <w:t>13</w:t>
            </w:r>
          </w:p>
        </w:tc>
      </w:tr>
      <w:tr w:rsidR="00B40966">
        <w:trPr>
          <w:cantSplit/>
        </w:trPr>
        <w:tc>
          <w:tcPr>
            <w:tcW w:w="2380" w:type="dxa"/>
          </w:tcPr>
          <w:p w:rsidR="00B40966" w:rsidRDefault="00B40966">
            <w:pPr>
              <w:pStyle w:val="TableText"/>
              <w:jc w:val="center"/>
              <w:rPr>
                <w:sz w:val="20"/>
              </w:rPr>
            </w:pPr>
            <w:r>
              <w:rPr>
                <w:position w:val="6"/>
                <w:sz w:val="20"/>
              </w:rPr>
              <w:t>9</w:t>
            </w:r>
            <w:r>
              <w:rPr>
                <w:sz w:val="20"/>
              </w:rPr>
              <w:t>/16</w:t>
            </w:r>
          </w:p>
        </w:tc>
        <w:tc>
          <w:tcPr>
            <w:tcW w:w="2980" w:type="dxa"/>
          </w:tcPr>
          <w:p w:rsidR="00B40966" w:rsidRDefault="00B40966">
            <w:pPr>
              <w:pStyle w:val="TableText"/>
              <w:jc w:val="center"/>
              <w:rPr>
                <w:sz w:val="20"/>
              </w:rPr>
            </w:pPr>
            <w:r>
              <w:rPr>
                <w:sz w:val="20"/>
              </w:rPr>
              <w:t>2</w:t>
            </w:r>
          </w:p>
        </w:tc>
        <w:tc>
          <w:tcPr>
            <w:tcW w:w="1920" w:type="dxa"/>
          </w:tcPr>
          <w:p w:rsidR="00B40966" w:rsidRDefault="00B40966">
            <w:pPr>
              <w:pStyle w:val="TableText"/>
              <w:jc w:val="center"/>
              <w:rPr>
                <w:sz w:val="20"/>
              </w:rPr>
            </w:pPr>
            <w:r>
              <w:rPr>
                <w:sz w:val="20"/>
              </w:rPr>
              <w:t>2</w:t>
            </w:r>
          </w:p>
        </w:tc>
      </w:tr>
    </w:tbl>
    <w:p w:rsidR="00B40966" w:rsidRDefault="00B40966">
      <w:pPr>
        <w:spacing w:before="120"/>
        <w:ind w:left="285" w:hanging="285"/>
        <w:rPr>
          <w:sz w:val="20"/>
        </w:rPr>
      </w:pPr>
      <w:r>
        <w:rPr>
          <w:sz w:val="20"/>
        </w:rPr>
        <w:t>*</w:t>
      </w:r>
      <w:r>
        <w:rPr>
          <w:sz w:val="20"/>
        </w:rPr>
        <w:tab/>
        <w:t>The overall width of the links of this chain must not exceed 3</w:t>
      </w:r>
      <w:r>
        <w:rPr>
          <w:position w:val="6"/>
          <w:sz w:val="20"/>
        </w:rPr>
        <w:t>1</w:t>
      </w:r>
      <w:r>
        <w:rPr>
          <w:sz w:val="20"/>
        </w:rPr>
        <w:t>/4 times the size of the chain.</w:t>
      </w:r>
    </w:p>
    <w:p w:rsidR="00B40966" w:rsidRDefault="00B40966"/>
    <w:p w:rsidR="00B40966" w:rsidRDefault="00B40966">
      <w:pPr>
        <w:pStyle w:val="TableHd"/>
        <w:ind w:right="-133"/>
      </w:pPr>
      <w:r>
        <w:t>Maximum safe working load for chain used in chain blocks*—Classification 2</w:t>
      </w:r>
    </w:p>
    <w:tbl>
      <w:tblPr>
        <w:tblW w:w="0" w:type="auto"/>
        <w:tblLayout w:type="fixed"/>
        <w:tblCellMar>
          <w:left w:w="80" w:type="dxa"/>
          <w:right w:w="80" w:type="dxa"/>
        </w:tblCellMar>
        <w:tblLook w:val="0000" w:firstRow="0" w:lastRow="0" w:firstColumn="0" w:lastColumn="0" w:noHBand="0" w:noVBand="0"/>
      </w:tblPr>
      <w:tblGrid>
        <w:gridCol w:w="2380"/>
        <w:gridCol w:w="2980"/>
        <w:gridCol w:w="1920"/>
      </w:tblGrid>
      <w:tr w:rsidR="00B40966">
        <w:trPr>
          <w:cantSplit/>
        </w:trPr>
        <w:tc>
          <w:tcPr>
            <w:tcW w:w="2380" w:type="dxa"/>
          </w:tcPr>
          <w:p w:rsidR="00B40966" w:rsidRDefault="00B40966">
            <w:pPr>
              <w:pStyle w:val="TableColHd"/>
              <w:jc w:val="center"/>
            </w:pPr>
            <w:r>
              <w:t>size of chain</w:t>
            </w:r>
          </w:p>
        </w:tc>
        <w:tc>
          <w:tcPr>
            <w:tcW w:w="4900" w:type="dxa"/>
            <w:gridSpan w:val="2"/>
            <w:tcBorders>
              <w:bottom w:val="single" w:sz="6" w:space="0" w:color="auto"/>
            </w:tcBorders>
          </w:tcPr>
          <w:p w:rsidR="00B40966" w:rsidRDefault="00B40966">
            <w:pPr>
              <w:pStyle w:val="TableColHd"/>
              <w:jc w:val="center"/>
            </w:pPr>
            <w:r>
              <w:t>safe working load per fall (part) of chain</w:t>
            </w:r>
          </w:p>
        </w:tc>
      </w:tr>
      <w:tr w:rsidR="00B40966">
        <w:trPr>
          <w:cantSplit/>
        </w:trPr>
        <w:tc>
          <w:tcPr>
            <w:tcW w:w="2380" w:type="dxa"/>
            <w:tcBorders>
              <w:bottom w:val="single" w:sz="6" w:space="0" w:color="auto"/>
            </w:tcBorders>
          </w:tcPr>
          <w:p w:rsidR="00B40966" w:rsidRDefault="00B40966">
            <w:pPr>
              <w:pStyle w:val="TableColHd"/>
              <w:jc w:val="center"/>
            </w:pPr>
            <w:r>
              <w:t>(inches)</w:t>
            </w:r>
          </w:p>
        </w:tc>
        <w:tc>
          <w:tcPr>
            <w:tcW w:w="2980" w:type="dxa"/>
            <w:tcBorders>
              <w:bottom w:val="single" w:sz="6" w:space="0" w:color="auto"/>
            </w:tcBorders>
          </w:tcPr>
          <w:p w:rsidR="00B40966" w:rsidRDefault="00B40966">
            <w:pPr>
              <w:pStyle w:val="TableColHd"/>
              <w:jc w:val="center"/>
            </w:pPr>
            <w:r>
              <w:t>tons</w:t>
            </w:r>
          </w:p>
        </w:tc>
        <w:tc>
          <w:tcPr>
            <w:tcW w:w="1920" w:type="dxa"/>
            <w:tcBorders>
              <w:bottom w:val="single" w:sz="6" w:space="0" w:color="auto"/>
            </w:tcBorders>
          </w:tcPr>
          <w:p w:rsidR="00B40966" w:rsidRDefault="00B40966">
            <w:pPr>
              <w:pStyle w:val="TableColHd"/>
              <w:jc w:val="center"/>
            </w:pPr>
            <w:r>
              <w:t>cwts</w:t>
            </w:r>
          </w:p>
        </w:tc>
      </w:tr>
      <w:tr w:rsidR="00B40966">
        <w:trPr>
          <w:cantSplit/>
        </w:trPr>
        <w:tc>
          <w:tcPr>
            <w:tcW w:w="2380" w:type="dxa"/>
            <w:tcBorders>
              <w:top w:val="single" w:sz="6" w:space="0" w:color="auto"/>
            </w:tcBorders>
          </w:tcPr>
          <w:p w:rsidR="00B40966" w:rsidRDefault="00B40966">
            <w:pPr>
              <w:pStyle w:val="TableText"/>
              <w:jc w:val="center"/>
              <w:rPr>
                <w:sz w:val="20"/>
              </w:rPr>
            </w:pPr>
            <w:r>
              <w:rPr>
                <w:position w:val="6"/>
                <w:sz w:val="20"/>
              </w:rPr>
              <w:t>5</w:t>
            </w:r>
            <w:r>
              <w:rPr>
                <w:sz w:val="20"/>
              </w:rPr>
              <w:t>/16</w:t>
            </w:r>
          </w:p>
        </w:tc>
        <w:tc>
          <w:tcPr>
            <w:tcW w:w="2980" w:type="dxa"/>
            <w:tcBorders>
              <w:top w:val="single" w:sz="6" w:space="0" w:color="auto"/>
            </w:tcBorders>
          </w:tcPr>
          <w:p w:rsidR="00B40966" w:rsidRDefault="00B40966">
            <w:pPr>
              <w:pStyle w:val="TableText"/>
              <w:jc w:val="center"/>
              <w:rPr>
                <w:sz w:val="20"/>
              </w:rPr>
            </w:pPr>
            <w:r>
              <w:rPr>
                <w:sz w:val="20"/>
              </w:rPr>
              <w:t>0</w:t>
            </w:r>
          </w:p>
        </w:tc>
        <w:tc>
          <w:tcPr>
            <w:tcW w:w="1920" w:type="dxa"/>
            <w:tcBorders>
              <w:top w:val="single" w:sz="6" w:space="0" w:color="auto"/>
            </w:tcBorders>
          </w:tcPr>
          <w:p w:rsidR="00B40966" w:rsidRDefault="00B40966">
            <w:pPr>
              <w:pStyle w:val="TableText"/>
              <w:jc w:val="center"/>
              <w:rPr>
                <w:sz w:val="20"/>
              </w:rPr>
            </w:pPr>
            <w:r>
              <w:rPr>
                <w:sz w:val="20"/>
              </w:rPr>
              <w:t>11</w:t>
            </w:r>
          </w:p>
        </w:tc>
      </w:tr>
      <w:tr w:rsidR="00B40966">
        <w:trPr>
          <w:cantSplit/>
        </w:trPr>
        <w:tc>
          <w:tcPr>
            <w:tcW w:w="2380" w:type="dxa"/>
          </w:tcPr>
          <w:p w:rsidR="00B40966" w:rsidRDefault="00B40966">
            <w:pPr>
              <w:pStyle w:val="TableText"/>
              <w:jc w:val="center"/>
              <w:rPr>
                <w:sz w:val="20"/>
              </w:rPr>
            </w:pPr>
            <w:r>
              <w:rPr>
                <w:position w:val="6"/>
                <w:sz w:val="20"/>
              </w:rPr>
              <w:t>3</w:t>
            </w:r>
            <w:r>
              <w:rPr>
                <w:sz w:val="20"/>
              </w:rPr>
              <w:t>/8</w:t>
            </w:r>
          </w:p>
        </w:tc>
        <w:tc>
          <w:tcPr>
            <w:tcW w:w="2980" w:type="dxa"/>
          </w:tcPr>
          <w:p w:rsidR="00B40966" w:rsidRDefault="00B40966">
            <w:pPr>
              <w:pStyle w:val="TableText"/>
              <w:jc w:val="center"/>
              <w:rPr>
                <w:sz w:val="20"/>
              </w:rPr>
            </w:pPr>
            <w:r>
              <w:rPr>
                <w:sz w:val="20"/>
              </w:rPr>
              <w:t>0</w:t>
            </w:r>
          </w:p>
        </w:tc>
        <w:tc>
          <w:tcPr>
            <w:tcW w:w="1920" w:type="dxa"/>
          </w:tcPr>
          <w:p w:rsidR="00B40966" w:rsidRDefault="00B40966">
            <w:pPr>
              <w:pStyle w:val="TableText"/>
              <w:jc w:val="center"/>
              <w:rPr>
                <w:sz w:val="20"/>
              </w:rPr>
            </w:pPr>
            <w:r>
              <w:rPr>
                <w:sz w:val="20"/>
              </w:rPr>
              <w:t>16</w:t>
            </w:r>
          </w:p>
        </w:tc>
      </w:tr>
      <w:tr w:rsidR="00B40966">
        <w:trPr>
          <w:cantSplit/>
        </w:trPr>
        <w:tc>
          <w:tcPr>
            <w:tcW w:w="2380" w:type="dxa"/>
          </w:tcPr>
          <w:p w:rsidR="00B40966" w:rsidRDefault="00B40966">
            <w:pPr>
              <w:pStyle w:val="TableText"/>
              <w:jc w:val="center"/>
              <w:rPr>
                <w:sz w:val="20"/>
              </w:rPr>
            </w:pPr>
            <w:r>
              <w:rPr>
                <w:position w:val="6"/>
                <w:sz w:val="20"/>
              </w:rPr>
              <w:t>7</w:t>
            </w:r>
            <w:r>
              <w:rPr>
                <w:sz w:val="20"/>
              </w:rPr>
              <w:t>/16</w:t>
            </w:r>
          </w:p>
        </w:tc>
        <w:tc>
          <w:tcPr>
            <w:tcW w:w="2980" w:type="dxa"/>
          </w:tcPr>
          <w:p w:rsidR="00B40966" w:rsidRDefault="00B40966">
            <w:pPr>
              <w:pStyle w:val="TableText"/>
              <w:jc w:val="center"/>
              <w:rPr>
                <w:sz w:val="20"/>
              </w:rPr>
            </w:pPr>
            <w:r>
              <w:rPr>
                <w:sz w:val="20"/>
              </w:rPr>
              <w:t>1</w:t>
            </w:r>
          </w:p>
        </w:tc>
        <w:tc>
          <w:tcPr>
            <w:tcW w:w="1920" w:type="dxa"/>
          </w:tcPr>
          <w:p w:rsidR="00B40966" w:rsidRDefault="00B40966">
            <w:pPr>
              <w:pStyle w:val="TableText"/>
              <w:jc w:val="center"/>
              <w:rPr>
                <w:sz w:val="20"/>
              </w:rPr>
            </w:pPr>
            <w:r>
              <w:rPr>
                <w:sz w:val="20"/>
              </w:rPr>
              <w:t>1</w:t>
            </w:r>
          </w:p>
        </w:tc>
      </w:tr>
      <w:tr w:rsidR="00B40966">
        <w:trPr>
          <w:cantSplit/>
        </w:trPr>
        <w:tc>
          <w:tcPr>
            <w:tcW w:w="2380" w:type="dxa"/>
          </w:tcPr>
          <w:p w:rsidR="00B40966" w:rsidRDefault="00B40966">
            <w:pPr>
              <w:pStyle w:val="TableText"/>
              <w:jc w:val="center"/>
              <w:rPr>
                <w:sz w:val="20"/>
              </w:rPr>
            </w:pPr>
            <w:r>
              <w:rPr>
                <w:position w:val="6"/>
                <w:sz w:val="20"/>
              </w:rPr>
              <w:t>1</w:t>
            </w:r>
            <w:r>
              <w:rPr>
                <w:sz w:val="20"/>
              </w:rPr>
              <w:t>/2</w:t>
            </w:r>
          </w:p>
        </w:tc>
        <w:tc>
          <w:tcPr>
            <w:tcW w:w="2980" w:type="dxa"/>
          </w:tcPr>
          <w:p w:rsidR="00B40966" w:rsidRDefault="00B40966">
            <w:pPr>
              <w:pStyle w:val="TableText"/>
              <w:jc w:val="center"/>
              <w:rPr>
                <w:sz w:val="20"/>
              </w:rPr>
            </w:pPr>
            <w:r>
              <w:rPr>
                <w:sz w:val="20"/>
              </w:rPr>
              <w:t>1</w:t>
            </w:r>
          </w:p>
        </w:tc>
        <w:tc>
          <w:tcPr>
            <w:tcW w:w="1920" w:type="dxa"/>
          </w:tcPr>
          <w:p w:rsidR="00B40966" w:rsidRDefault="00B40966">
            <w:pPr>
              <w:pStyle w:val="TableText"/>
              <w:jc w:val="center"/>
              <w:rPr>
                <w:sz w:val="20"/>
              </w:rPr>
            </w:pPr>
            <w:r>
              <w:rPr>
                <w:sz w:val="20"/>
              </w:rPr>
              <w:t>10</w:t>
            </w:r>
          </w:p>
        </w:tc>
      </w:tr>
      <w:tr w:rsidR="00B40966">
        <w:trPr>
          <w:cantSplit/>
        </w:trPr>
        <w:tc>
          <w:tcPr>
            <w:tcW w:w="2380" w:type="dxa"/>
          </w:tcPr>
          <w:p w:rsidR="00B40966" w:rsidRDefault="00B40966">
            <w:pPr>
              <w:pStyle w:val="TableText"/>
              <w:jc w:val="center"/>
              <w:rPr>
                <w:sz w:val="20"/>
              </w:rPr>
            </w:pPr>
            <w:r>
              <w:rPr>
                <w:position w:val="6"/>
                <w:sz w:val="20"/>
              </w:rPr>
              <w:t>9</w:t>
            </w:r>
            <w:r>
              <w:rPr>
                <w:sz w:val="20"/>
              </w:rPr>
              <w:t>/16</w:t>
            </w:r>
          </w:p>
        </w:tc>
        <w:tc>
          <w:tcPr>
            <w:tcW w:w="2980" w:type="dxa"/>
          </w:tcPr>
          <w:p w:rsidR="00B40966" w:rsidRDefault="00B40966">
            <w:pPr>
              <w:pStyle w:val="TableText"/>
              <w:jc w:val="center"/>
              <w:rPr>
                <w:sz w:val="20"/>
              </w:rPr>
            </w:pPr>
            <w:r>
              <w:rPr>
                <w:sz w:val="20"/>
              </w:rPr>
              <w:t>2</w:t>
            </w:r>
          </w:p>
        </w:tc>
        <w:tc>
          <w:tcPr>
            <w:tcW w:w="1920" w:type="dxa"/>
          </w:tcPr>
          <w:p w:rsidR="00B40966" w:rsidRDefault="00B40966">
            <w:pPr>
              <w:pStyle w:val="TableText"/>
              <w:jc w:val="center"/>
              <w:rPr>
                <w:sz w:val="20"/>
              </w:rPr>
            </w:pPr>
            <w:r>
              <w:rPr>
                <w:sz w:val="20"/>
              </w:rPr>
              <w:t>0</w:t>
            </w:r>
          </w:p>
        </w:tc>
      </w:tr>
    </w:tbl>
    <w:p w:rsidR="00B40966" w:rsidRDefault="00B40966">
      <w:pPr>
        <w:spacing w:before="120"/>
        <w:ind w:left="285" w:hanging="285"/>
        <w:rPr>
          <w:sz w:val="20"/>
        </w:rPr>
      </w:pPr>
      <w:r>
        <w:rPr>
          <w:sz w:val="20"/>
        </w:rPr>
        <w:t>*</w:t>
      </w:r>
      <w:r>
        <w:rPr>
          <w:sz w:val="20"/>
        </w:rPr>
        <w:tab/>
        <w:t>The overall width of the links of this chain must not exceed 31/4 times the size of the chain.</w:t>
      </w:r>
    </w:p>
    <w:p w:rsidR="00B40966" w:rsidRDefault="00B40966"/>
    <w:p w:rsidR="00B40966" w:rsidRDefault="00B40966">
      <w:pPr>
        <w:pStyle w:val="Assectheading"/>
        <w:rPr>
          <w:rStyle w:val="charItals"/>
          <w:i/>
        </w:rPr>
      </w:pPr>
      <w:r>
        <w:rPr>
          <w:rStyle w:val="charItals"/>
          <w:i/>
        </w:rPr>
        <w:t>Drums, sheaves and quadrants for chain</w:t>
      </w:r>
    </w:p>
    <w:p w:rsidR="00B40966" w:rsidRDefault="00B40966">
      <w:pPr>
        <w:pStyle w:val="Amain"/>
      </w:pPr>
      <w:r>
        <w:tab/>
        <w:t>(20)</w:t>
      </w:r>
      <w:r>
        <w:tab/>
        <w:t>If chain is wound over or on drums, or over or on sheaves or quadrants that are not correctly pocketed, the drums, sheaves, and quadrants shall be grooved in an approved way and shall be not less in diameter than 24 times the size of the chain concerned.</w:t>
      </w:r>
    </w:p>
    <w:p w:rsidR="00B40966" w:rsidRDefault="00B40966">
      <w:pPr>
        <w:pStyle w:val="Assectheading"/>
      </w:pPr>
      <w:r>
        <w:rPr>
          <w:rStyle w:val="charItals"/>
          <w:i/>
        </w:rPr>
        <w:t>Swivel hooks for chain</w:t>
      </w:r>
    </w:p>
    <w:p w:rsidR="00B40966" w:rsidRDefault="00B40966">
      <w:pPr>
        <w:pStyle w:val="Amain"/>
      </w:pPr>
      <w:r>
        <w:tab/>
        <w:t>(21)</w:t>
      </w:r>
      <w:r>
        <w:tab/>
        <w:t>Lifting hooks, lifting eyes, attached to single falls (parts) of chain other than chain slings, shall be freely rotable under all conditions of loading, and if the load exceeds 2 tons shall be of the ball or roller thrust-bearing type.</w:t>
      </w:r>
    </w:p>
    <w:p w:rsidR="00B40966" w:rsidRDefault="00B40966">
      <w:pPr>
        <w:pStyle w:val="Amain"/>
      </w:pPr>
      <w:r>
        <w:tab/>
        <w:t>(22)</w:t>
      </w:r>
      <w:r>
        <w:tab/>
        <w:t>Provision shall be made to exclude dust and other foreign matter from thrust bearings.</w:t>
      </w:r>
    </w:p>
    <w:p w:rsidR="00B40966" w:rsidRDefault="00B40966">
      <w:pPr>
        <w:pStyle w:val="Assectheading"/>
      </w:pPr>
      <w:r>
        <w:rPr>
          <w:rStyle w:val="charItals"/>
          <w:i/>
        </w:rPr>
        <w:t>Guards for chain</w:t>
      </w:r>
    </w:p>
    <w:p w:rsidR="00B40966" w:rsidRDefault="00B40966">
      <w:pPr>
        <w:pStyle w:val="Amain"/>
      </w:pPr>
      <w:r>
        <w:tab/>
        <w:t>(23)</w:t>
      </w:r>
      <w:r>
        <w:tab/>
        <w:t>Guards shall be provided to prevent persons’ hands or other parts of their body being injured by the chains and sheaves or gypsies of hook blocks or bottom blocks of power cranes or power hoists.</w:t>
      </w:r>
    </w:p>
    <w:p w:rsidR="00B40966" w:rsidRDefault="00B40966">
      <w:pPr>
        <w:pStyle w:val="Assectheading"/>
      </w:pPr>
      <w:r>
        <w:rPr>
          <w:rStyle w:val="charItals"/>
          <w:i/>
        </w:rPr>
        <w:t>Heat treatment</w:t>
      </w:r>
    </w:p>
    <w:p w:rsidR="00B40966" w:rsidRDefault="00B40966">
      <w:pPr>
        <w:pStyle w:val="Amain"/>
      </w:pPr>
      <w:r>
        <w:tab/>
        <w:t>(24)</w:t>
      </w:r>
      <w:r>
        <w:tab/>
        <w:t>Chains shall be heat-treated after manufacture before being used.</w:t>
      </w:r>
    </w:p>
    <w:p w:rsidR="00B40966" w:rsidRDefault="00B40966">
      <w:pPr>
        <w:pStyle w:val="Amain"/>
      </w:pPr>
      <w:r>
        <w:tab/>
        <w:t>(25)</w:t>
      </w:r>
      <w:r>
        <w:tab/>
        <w:t>Mild steel chain shall be ‘normalised’, wrought iron chain shall be ‘annealed’.</w:t>
      </w:r>
    </w:p>
    <w:p w:rsidR="00B40966" w:rsidRDefault="00B40966">
      <w:pPr>
        <w:pStyle w:val="Amain"/>
      </w:pPr>
      <w:r>
        <w:tab/>
        <w:t>(26)</w:t>
      </w:r>
      <w:r>
        <w:tab/>
        <w:t>No chain shall be normalised or annealed after use except as provided in subsection (27).</w:t>
      </w:r>
    </w:p>
    <w:p w:rsidR="00B40966" w:rsidRDefault="00B40966">
      <w:pPr>
        <w:pStyle w:val="Amain"/>
      </w:pPr>
      <w:r>
        <w:tab/>
        <w:t>(27)</w:t>
      </w:r>
      <w:r>
        <w:tab/>
        <w:t>When chain is required, the affected parts shall be normalised or annealed as aforesaid before reuse.</w:t>
      </w:r>
    </w:p>
    <w:p w:rsidR="00B40966" w:rsidRDefault="00B40966">
      <w:pPr>
        <w:pStyle w:val="Assectheading"/>
      </w:pPr>
      <w:r>
        <w:rPr>
          <w:rStyle w:val="charItals"/>
          <w:i/>
        </w:rPr>
        <w:t>Periodic inspection</w:t>
      </w:r>
    </w:p>
    <w:p w:rsidR="00B40966" w:rsidRDefault="00B40966">
      <w:pPr>
        <w:pStyle w:val="Amain"/>
      </w:pPr>
      <w:r>
        <w:tab/>
        <w:t>(28)</w:t>
      </w:r>
      <w:r>
        <w:tab/>
        <w:t>No person shall use any chain or any attachment of it unless every link and the attachments of it have been thoroughly cleaned and subjected to close, detailed examination at the intervals that are necessary or advisable to ascertain whether flaws, cracks, or other defects exist and to ensure that defective chains or attachments are not used.</w:t>
      </w:r>
    </w:p>
    <w:p w:rsidR="00B40966" w:rsidRDefault="00B40966">
      <w:pPr>
        <w:pStyle w:val="Amain"/>
      </w:pPr>
      <w:r>
        <w:tab/>
        <w:t>(29)</w:t>
      </w:r>
      <w:r>
        <w:tab/>
        <w:t>A chain shall not be used if its links or attachments have flaws, cracks, or other defects liable to affect its safe use, or if the wear on any link or attachment exceeds 10% of the dimension measured.</w:t>
      </w:r>
    </w:p>
    <w:p w:rsidR="00B40966" w:rsidRDefault="00B40966">
      <w:pPr>
        <w:pStyle w:val="Assectheading"/>
      </w:pPr>
      <w:r>
        <w:rPr>
          <w:rStyle w:val="charItals"/>
          <w:i/>
        </w:rPr>
        <w:t>Testing of chain</w:t>
      </w:r>
    </w:p>
    <w:p w:rsidR="00B40966" w:rsidRDefault="00B40966">
      <w:pPr>
        <w:pStyle w:val="Amain"/>
      </w:pPr>
      <w:r>
        <w:tab/>
        <w:t>(30)</w:t>
      </w:r>
      <w:r>
        <w:tab/>
        <w:t>No person shall use any chain a part of which has not been tested in accordance with this section, or in relation to which the provisions of this section about the submitting of a test certificate or copy of the certificate have not been complied with.</w:t>
      </w:r>
    </w:p>
    <w:p w:rsidR="00B40966" w:rsidRDefault="00B40966">
      <w:pPr>
        <w:pStyle w:val="Amain"/>
      </w:pPr>
      <w:r>
        <w:tab/>
        <w:t>(31)</w:t>
      </w:r>
      <w:r>
        <w:tab/>
        <w:t>Every person acquiring a chain for use shall within 24 hours of acquiring the chain, submit to the chief inspector a test certificate, correct in all particulars for a part of the chain, and the certificate shall be in accordance with schedule 2, form 14, and shall be signed by the manufacturer or vendor of the chain.</w:t>
      </w:r>
    </w:p>
    <w:p w:rsidR="00B40966" w:rsidRDefault="00B40966">
      <w:pPr>
        <w:pStyle w:val="Amain"/>
      </w:pPr>
      <w:r>
        <w:tab/>
        <w:t>(32)</w:t>
      </w:r>
      <w:r>
        <w:tab/>
        <w:t>The manufacturer or vendor of a chain shall test at least 1 part of each 1 000 feet of chain made, or disposed of, by the manufacturer or vendor.</w:t>
      </w:r>
    </w:p>
    <w:p w:rsidR="00B40966" w:rsidRDefault="00B40966">
      <w:pPr>
        <w:pStyle w:val="Amain"/>
      </w:pPr>
      <w:r>
        <w:tab/>
        <w:t>(33)</w:t>
      </w:r>
      <w:r>
        <w:tab/>
        <w:t>If the chain is electrically welded mild steel chain, the test shall comprise a breaking test of a 36 inch gauge length of chain and shall be carried out as prescribed by British Standard Specification No 590-1949 for electrically welded mild steel chain, promulgated by Standards Australia.</w:t>
      </w:r>
    </w:p>
    <w:p w:rsidR="00B40966" w:rsidRDefault="00B40966">
      <w:pPr>
        <w:pStyle w:val="Amain"/>
      </w:pPr>
      <w:r>
        <w:tab/>
        <w:t>(34)</w:t>
      </w:r>
      <w:r>
        <w:tab/>
        <w:t>The test shall include determination of the energy absorption factor.</w:t>
      </w:r>
    </w:p>
    <w:p w:rsidR="00B40966" w:rsidRDefault="00B40966">
      <w:pPr>
        <w:pStyle w:val="Amain"/>
      </w:pPr>
      <w:r>
        <w:tab/>
        <w:t>(35)</w:t>
      </w:r>
      <w:r>
        <w:tab/>
        <w:t>If the chain is of wrought iron, all of the tests prescribed by British Standard Specifications Nos. 465-1932 and 394-1944 shall be carried out.</w:t>
      </w:r>
    </w:p>
    <w:p w:rsidR="00B40966" w:rsidRDefault="00B40966">
      <w:pPr>
        <w:pStyle w:val="Amain"/>
      </w:pPr>
      <w:r>
        <w:tab/>
        <w:t>(36)</w:t>
      </w:r>
      <w:r>
        <w:tab/>
        <w:t>Chains shown by the tests mentioned in subsection (35) to be deficient shall not be used.</w:t>
      </w:r>
    </w:p>
    <w:p w:rsidR="00B40966" w:rsidRDefault="00B40966">
      <w:pPr>
        <w:pStyle w:val="Amain"/>
      </w:pPr>
      <w:r>
        <w:tab/>
        <w:t>(37)</w:t>
      </w:r>
      <w:r>
        <w:tab/>
        <w:t>No chain that is to be used shall be subjected to any proof or test load that exceeds by more than 25% the safe working load for the chain prescribed by this regulation.</w:t>
      </w:r>
    </w:p>
    <w:p w:rsidR="00B40966" w:rsidRDefault="00B40966">
      <w:pPr>
        <w:pStyle w:val="Amain"/>
      </w:pPr>
      <w:r>
        <w:tab/>
        <w:t>(38)</w:t>
      </w:r>
      <w:r>
        <w:tab/>
        <w:t>If a chain has been made into shorter lengths than 1 000 feet and any person acquires for use any shorter length, the person shall, within 24 hours of acquiring the shorter length of chain, submit to the chief inspector a document that is a true copy of the test certificate correct in all particulars issued for the 1 000 feet length of chain mentioned in subsection (32) and signed by the manufacturer or vendor.</w:t>
      </w:r>
    </w:p>
    <w:p w:rsidR="00B40966" w:rsidRDefault="00B40966">
      <w:pPr>
        <w:pStyle w:val="Amain"/>
      </w:pPr>
      <w:r>
        <w:tab/>
        <w:t>(39)</w:t>
      </w:r>
      <w:r>
        <w:tab/>
        <w:t>The document shall be accompanied by a statutory declaration of the manufacturer or vendor that it is a true copy of the original test certificate issued for the 1 000 feet length of chain.</w:t>
      </w:r>
    </w:p>
    <w:p w:rsidR="00B40966" w:rsidRDefault="00B40966">
      <w:pPr>
        <w:pStyle w:val="Amain"/>
      </w:pPr>
      <w:r>
        <w:tab/>
        <w:t>(40)</w:t>
      </w:r>
      <w:r>
        <w:tab/>
        <w:t>The original test certificate must be signed by the person witnessing the test and the person must be the responsible testing officer of a licensed proving house, the testing officer of a government department or of a university or other approved engineering school, or the testing officer of a manufacturer of chain who has a testing machine on the manufacturer’s premises approved for testing samples of the completed chain.</w:t>
      </w:r>
    </w:p>
    <w:p w:rsidR="00B40966" w:rsidRDefault="00B40966">
      <w:pPr>
        <w:pStyle w:val="AH4SubDiv"/>
        <w:ind w:left="0" w:firstLine="0"/>
      </w:pPr>
      <w:bookmarkStart w:id="284" w:name="_Toc87258120"/>
      <w:r>
        <w:t>Steel wire ropes for use in connection with cranes, lifts, hoists, scaffolding, plant, gear, or building work, excavation work, or compressed air work</w:t>
      </w:r>
      <w:bookmarkEnd w:id="284"/>
    </w:p>
    <w:p w:rsidR="00B40966" w:rsidRDefault="00B40966">
      <w:pPr>
        <w:pStyle w:val="AH5Sec"/>
      </w:pPr>
      <w:bookmarkStart w:id="285" w:name="_Toc87258121"/>
      <w:r>
        <w:rPr>
          <w:rStyle w:val="CharSectNo"/>
        </w:rPr>
        <w:t>144</w:t>
      </w:r>
      <w:bookmarkEnd w:id="285"/>
      <w:r>
        <w:tab/>
        <w:t xml:space="preserve">  </w:t>
      </w:r>
    </w:p>
    <w:p w:rsidR="00B40966" w:rsidRDefault="00B40966">
      <w:pPr>
        <w:pStyle w:val="Assectheading"/>
      </w:pPr>
      <w:r>
        <w:t>General</w:t>
      </w:r>
    </w:p>
    <w:p w:rsidR="00B40966" w:rsidRDefault="00B40966">
      <w:pPr>
        <w:pStyle w:val="Amain"/>
      </w:pPr>
      <w:r>
        <w:tab/>
        <w:t>(1)</w:t>
      </w:r>
      <w:r>
        <w:tab/>
        <w:t>Reverse bends that are detrimental to the life of a running rope shall be avoided if practicable.</w:t>
      </w:r>
    </w:p>
    <w:p w:rsidR="00B40966" w:rsidRDefault="00B40966">
      <w:pPr>
        <w:pStyle w:val="Amain"/>
      </w:pPr>
      <w:r>
        <w:tab/>
        <w:t>(2)</w:t>
      </w:r>
      <w:r>
        <w:tab/>
        <w:t>Suitable packing shall be provided and used to prevent wire rope coming in contact with sharp edges of loads or hard material.</w:t>
      </w:r>
    </w:p>
    <w:p w:rsidR="00B40966" w:rsidRDefault="00B40966">
      <w:pPr>
        <w:pStyle w:val="Amain"/>
      </w:pPr>
      <w:r>
        <w:tab/>
        <w:t>(3)</w:t>
      </w:r>
      <w:r>
        <w:tab/>
        <w:t>Steel wire rope shall not be exposed to temperatures exceeding 200° Fahrenheit.</w:t>
      </w:r>
    </w:p>
    <w:p w:rsidR="00B40966" w:rsidRDefault="00B40966">
      <w:pPr>
        <w:pStyle w:val="Amain"/>
      </w:pPr>
      <w:r>
        <w:tab/>
        <w:t>(4)</w:t>
      </w:r>
      <w:r>
        <w:tab/>
        <w:t xml:space="preserve">Steel wire rope of circumference less than </w:t>
      </w:r>
      <w:r>
        <w:rPr>
          <w:position w:val="6"/>
          <w:sz w:val="18"/>
        </w:rPr>
        <w:t>5</w:t>
      </w:r>
      <w:r>
        <w:t>/</w:t>
      </w:r>
      <w:r>
        <w:rPr>
          <w:sz w:val="18"/>
        </w:rPr>
        <w:t>8</w:t>
      </w:r>
      <w:r>
        <w:t xml:space="preserve"> of an inch shall not be used for load carrying purposes unless otherwise approved.</w:t>
      </w:r>
    </w:p>
    <w:p w:rsidR="00B40966" w:rsidRDefault="00B40966">
      <w:pPr>
        <w:pStyle w:val="Amain"/>
      </w:pPr>
      <w:r>
        <w:tab/>
        <w:t>(5)</w:t>
      </w:r>
      <w:r>
        <w:tab/>
        <w:t>Kinked ropes shall not be used.</w:t>
      </w:r>
    </w:p>
    <w:p w:rsidR="00B40966" w:rsidRDefault="00B40966">
      <w:pPr>
        <w:pStyle w:val="Amain"/>
      </w:pPr>
      <w:r>
        <w:tab/>
        <w:t>(6)</w:t>
      </w:r>
      <w:r>
        <w:tab/>
        <w:t>Ropes shall be stored under cover in a clean, dry place and be raised clear of the ground.</w:t>
      </w:r>
    </w:p>
    <w:p w:rsidR="00B40966" w:rsidRDefault="00B40966">
      <w:pPr>
        <w:pStyle w:val="Amain"/>
      </w:pPr>
      <w:r>
        <w:tab/>
        <w:t>(7)</w:t>
      </w:r>
      <w:r>
        <w:tab/>
        <w:t>In no case shall the rope be in contact with ashes, clinker or coke.</w:t>
      </w:r>
    </w:p>
    <w:p w:rsidR="00B40966" w:rsidRDefault="00B40966">
      <w:pPr>
        <w:pStyle w:val="Amain"/>
      </w:pPr>
      <w:r>
        <w:tab/>
        <w:t>(8)</w:t>
      </w:r>
      <w:r>
        <w:tab/>
        <w:t>The ropes in store shall be examined periodically and the protective coating renewed when required.</w:t>
      </w:r>
    </w:p>
    <w:p w:rsidR="00B40966" w:rsidRDefault="00B40966">
      <w:pPr>
        <w:pStyle w:val="Amain"/>
      </w:pPr>
      <w:r>
        <w:tab/>
        <w:t>(9)</w:t>
      </w:r>
      <w:r>
        <w:tab/>
        <w:t>When a load is supported on more than 1 fall, single or part of rope, the load shall be distributed equally by statically determinate automatic means between the various falls, singles or parts.</w:t>
      </w:r>
    </w:p>
    <w:p w:rsidR="00B40966" w:rsidRDefault="00B40966">
      <w:pPr>
        <w:pStyle w:val="Amain"/>
      </w:pPr>
      <w:r>
        <w:tab/>
        <w:t>(10)</w:t>
      </w:r>
      <w:r>
        <w:tab/>
        <w:t>No rope shall be used for load carrying purposes that has been subjected to a severe shock or that has been unduly stretched.</w:t>
      </w:r>
    </w:p>
    <w:p w:rsidR="00B40966" w:rsidRDefault="00B40966">
      <w:pPr>
        <w:pStyle w:val="Amain"/>
      </w:pPr>
      <w:r>
        <w:tab/>
        <w:t>(11)</w:t>
      </w:r>
      <w:r>
        <w:tab/>
        <w:t>No rope sling shall be used if the included angle measured between any 2 legs exceeds 150° or if the angle formed between any sling leg and the line of action of the pull exceeds 75°.</w:t>
      </w:r>
    </w:p>
    <w:p w:rsidR="00B40966" w:rsidRDefault="00B40966">
      <w:pPr>
        <w:pStyle w:val="Amain"/>
      </w:pPr>
      <w:r>
        <w:tab/>
        <w:t>(12)</w:t>
      </w:r>
      <w:r>
        <w:tab/>
        <w:t>Rope slings before being used, and if repaired or altered before being reused, shall be subjected to a load equal to their safe working load and closely examined about suitability for use or reuse as the case may be.</w:t>
      </w:r>
    </w:p>
    <w:p w:rsidR="00B40966" w:rsidRDefault="00B40966">
      <w:pPr>
        <w:pStyle w:val="Amain"/>
      </w:pPr>
      <w:r>
        <w:tab/>
        <w:t>(13)</w:t>
      </w:r>
      <w:r>
        <w:tab/>
        <w:t>Ropes having less than 6 strands, or having any strand containing less than 19 wires shall not be wound on drums or over or on sheaves, rollers, or quadrants, or used in any way as running ropes.</w:t>
      </w:r>
    </w:p>
    <w:p w:rsidR="00B40966" w:rsidRDefault="00B40966">
      <w:pPr>
        <w:pStyle w:val="Amain"/>
      </w:pPr>
      <w:r>
        <w:tab/>
        <w:t>(14)</w:t>
      </w:r>
      <w:r>
        <w:tab/>
        <w:t>Screw threads used in conjunction with wire ropes shall be prevented by positive means from unscrewing.</w:t>
      </w:r>
    </w:p>
    <w:p w:rsidR="00B40966" w:rsidRDefault="00B40966">
      <w:pPr>
        <w:pStyle w:val="Amain"/>
      </w:pPr>
      <w:r>
        <w:tab/>
        <w:t>(15)</w:t>
      </w:r>
      <w:r>
        <w:tab/>
        <w:t>If rope is used to support workers, it shall not be less than 1</w:t>
      </w:r>
      <w:r>
        <w:rPr>
          <w:position w:val="6"/>
          <w:sz w:val="18"/>
        </w:rPr>
        <w:t>1</w:t>
      </w:r>
      <w:r>
        <w:t>/</w:t>
      </w:r>
      <w:r>
        <w:rPr>
          <w:sz w:val="18"/>
        </w:rPr>
        <w:t>8</w:t>
      </w:r>
      <w:r>
        <w:t xml:space="preserve"> inches circumference and </w:t>
      </w:r>
      <w:r>
        <w:rPr>
          <w:position w:val="6"/>
          <w:sz w:val="18"/>
        </w:rPr>
        <w:t>3</w:t>
      </w:r>
      <w:r>
        <w:t>/</w:t>
      </w:r>
      <w:r>
        <w:rPr>
          <w:sz w:val="18"/>
        </w:rPr>
        <w:t>8</w:t>
      </w:r>
      <w:r>
        <w:t xml:space="preserve"> of an inch diameter—if hand operated, or 1</w:t>
      </w:r>
      <w:r>
        <w:rPr>
          <w:position w:val="6"/>
          <w:sz w:val="18"/>
        </w:rPr>
        <w:t>5</w:t>
      </w:r>
      <w:r>
        <w:t>/</w:t>
      </w:r>
      <w:r>
        <w:rPr>
          <w:sz w:val="18"/>
        </w:rPr>
        <w:t>8</w:t>
      </w:r>
      <w:r>
        <w:t xml:space="preserve"> inches circumference and </w:t>
      </w:r>
      <w:r>
        <w:rPr>
          <w:position w:val="6"/>
          <w:sz w:val="18"/>
        </w:rPr>
        <w:t>1</w:t>
      </w:r>
      <w:r>
        <w:t>/</w:t>
      </w:r>
      <w:r>
        <w:rPr>
          <w:sz w:val="18"/>
        </w:rPr>
        <w:t>2</w:t>
      </w:r>
      <w:r>
        <w:t xml:space="preserve"> an inch diameter—if power operated.</w:t>
      </w:r>
    </w:p>
    <w:p w:rsidR="00B40966" w:rsidRDefault="00B40966">
      <w:pPr>
        <w:pStyle w:val="Amain"/>
      </w:pPr>
      <w:r>
        <w:tab/>
        <w:t>(16)</w:t>
      </w:r>
      <w:r>
        <w:tab/>
        <w:t>Every steel wire rope and every part of it shall be of sound material, good construction, adequate strength, free from patent defects, and be suitable and safe for the purpose for which it is intended.</w:t>
      </w:r>
    </w:p>
    <w:p w:rsidR="00B40966" w:rsidRDefault="00B40966">
      <w:pPr>
        <w:pStyle w:val="Amain"/>
      </w:pPr>
      <w:r>
        <w:tab/>
        <w:t>(17)</w:t>
      </w:r>
      <w:r>
        <w:tab/>
        <w:t>Rope of lang lay shall not be used unless the ends are fixed to prevent unlaying of the rope.</w:t>
      </w:r>
    </w:p>
    <w:p w:rsidR="00B40966" w:rsidRDefault="00B40966">
      <w:pPr>
        <w:pStyle w:val="Assectheading"/>
      </w:pPr>
      <w:r>
        <w:t>Design, construction, use and safe working load</w:t>
      </w:r>
    </w:p>
    <w:p w:rsidR="00B40966" w:rsidRDefault="00B40966">
      <w:pPr>
        <w:pStyle w:val="Amain"/>
      </w:pPr>
      <w:r>
        <w:tab/>
        <w:t>(18)</w:t>
      </w:r>
      <w:r>
        <w:tab/>
        <w:t>All steel wire rope shall comply with the provisions of Australian Standard Specification No B.9-1938, promulgated by Standards Australia.</w:t>
      </w:r>
    </w:p>
    <w:p w:rsidR="00B40966" w:rsidRDefault="00B40966">
      <w:pPr>
        <w:pStyle w:val="Amain"/>
      </w:pPr>
      <w:r>
        <w:tab/>
        <w:t>(19)</w:t>
      </w:r>
      <w:r>
        <w:tab/>
        <w:t>However—</w:t>
      </w:r>
    </w:p>
    <w:p w:rsidR="00B40966" w:rsidRDefault="00B40966">
      <w:pPr>
        <w:pStyle w:val="Apara"/>
      </w:pPr>
      <w:r>
        <w:tab/>
        <w:t>(a)</w:t>
      </w:r>
      <w:r>
        <w:tab/>
        <w:t>every steel wire ropes shall be classified numerically in conformity with table 144.1; and</w:t>
      </w:r>
    </w:p>
    <w:p w:rsidR="00B40966" w:rsidRDefault="00B40966">
      <w:pPr>
        <w:pStyle w:val="Apara"/>
      </w:pPr>
      <w:r>
        <w:tab/>
        <w:t>(b)</w:t>
      </w:r>
      <w:r>
        <w:tab/>
        <w:t>in the event of uncertainty or dispute the classification may be determined by the chief inspector; and</w:t>
      </w:r>
    </w:p>
    <w:p w:rsidR="00B40966" w:rsidRDefault="00B40966">
      <w:pPr>
        <w:pStyle w:val="Apara"/>
      </w:pPr>
      <w:r>
        <w:tab/>
        <w:t>(c)</w:t>
      </w:r>
      <w:r>
        <w:tab/>
        <w:t>no wire rope shall be subjected to any greater load than that shown in table 144.1 as relevant and appropriate to its circumference, construction, and classification, or way of use, provided that—</w:t>
      </w:r>
    </w:p>
    <w:p w:rsidR="00B40966" w:rsidRDefault="00B40966">
      <w:pPr>
        <w:pStyle w:val="Asubpara"/>
      </w:pPr>
      <w:r>
        <w:tab/>
        <w:t>(i)</w:t>
      </w:r>
      <w:r>
        <w:tab/>
        <w:t>if it is of a grade of steel of greater or lesser minimum ultimate tensile value than 80 tons per square inch—the tabulated load shall be increased or decreased in the ratio:</w:t>
      </w:r>
    </w:p>
    <w:p w:rsidR="00B40966" w:rsidRDefault="00B40966">
      <w:pPr>
        <w:pStyle w:val="Formula"/>
        <w:ind w:right="-133" w:hanging="240"/>
      </w:pPr>
      <w:r>
        <w:rPr>
          <w:position w:val="-24"/>
        </w:rPr>
        <w:object w:dxaOrig="7060" w:dyaOrig="620">
          <v:shape id="_x0000_i1053" type="#_x0000_t75" style="width:353.25pt;height:30.75pt" o:ole="" fillcolor="window">
            <v:imagedata r:id="rId153" o:title=""/>
          </v:shape>
          <o:OLEObject Type="Embed" ProgID="Equation.3" ShapeID="_x0000_i1053" DrawAspect="Content" ObjectID="_1595937070" r:id="rId154"/>
        </w:object>
      </w:r>
      <w:r>
        <w:t>; and</w:t>
      </w:r>
    </w:p>
    <w:p w:rsidR="00B40966" w:rsidRDefault="00B40966">
      <w:pPr>
        <w:pStyle w:val="Asubpara"/>
      </w:pPr>
      <w:r>
        <w:tab/>
        <w:t>(ii)</w:t>
      </w:r>
      <w:r>
        <w:tab/>
        <w:t>if the rope is used solely as a static guy rope—the tabulated load may be increased by 50%; and</w:t>
      </w:r>
    </w:p>
    <w:p w:rsidR="00B40966" w:rsidRDefault="00B40966">
      <w:pPr>
        <w:pStyle w:val="Asubpara"/>
      </w:pPr>
      <w:r>
        <w:tab/>
        <w:t>(iii)</w:t>
      </w:r>
      <w:r>
        <w:tab/>
        <w:t>if the rope comprises the main cable of a cableway—a further increase in load may be approved by the chief inspector; and</w:t>
      </w:r>
    </w:p>
    <w:p w:rsidR="00B40966" w:rsidRDefault="00B40966">
      <w:pPr>
        <w:pStyle w:val="Apara"/>
        <w:keepLines/>
      </w:pPr>
      <w:r>
        <w:tab/>
        <w:t>(d)</w:t>
      </w:r>
      <w:r>
        <w:tab/>
        <w:t>no steel wire rope shall be used if of other design or other material than provided in the British Standard Specifications promulgated by the British Standards Institution, England, or Australian Standard Specification No B9—1938 promulgated by Standards Australia, without first being approved.</w:t>
      </w:r>
    </w:p>
    <w:p w:rsidR="00B40966" w:rsidRDefault="00B40966">
      <w:pPr>
        <w:pStyle w:val="TableHd"/>
        <w:ind w:left="1425" w:hanging="1425"/>
      </w:pPr>
      <w:r>
        <w:t>Table 144.1</w:t>
      </w:r>
      <w:r>
        <w:tab/>
        <w:t>Classification of steel wire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60"/>
        <w:gridCol w:w="3520"/>
        <w:gridCol w:w="2246"/>
      </w:tblGrid>
      <w:tr w:rsidR="00B40966">
        <w:trPr>
          <w:cantSplit/>
        </w:trPr>
        <w:tc>
          <w:tcPr>
            <w:tcW w:w="1560" w:type="dxa"/>
            <w:tcBorders>
              <w:bottom w:val="single" w:sz="4" w:space="0" w:color="auto"/>
            </w:tcBorders>
            <w:vAlign w:val="bottom"/>
          </w:tcPr>
          <w:p w:rsidR="00B40966" w:rsidRDefault="00B40966">
            <w:pPr>
              <w:pStyle w:val="TableColHd"/>
            </w:pPr>
            <w:r>
              <w:t xml:space="preserve">classification </w:t>
            </w:r>
            <w:r>
              <w:br/>
              <w:t>of rope</w:t>
            </w:r>
          </w:p>
        </w:tc>
        <w:tc>
          <w:tcPr>
            <w:tcW w:w="3520" w:type="dxa"/>
            <w:tcBorders>
              <w:bottom w:val="single" w:sz="4" w:space="0" w:color="auto"/>
            </w:tcBorders>
            <w:vAlign w:val="bottom"/>
          </w:tcPr>
          <w:p w:rsidR="00B40966" w:rsidRDefault="00B40966">
            <w:pPr>
              <w:pStyle w:val="TableColHd"/>
            </w:pPr>
            <w:r>
              <w:t>classification of crane, hoist, lift, plant, or scaffolding in connection with which the steel wire rope is used</w:t>
            </w:r>
          </w:p>
        </w:tc>
        <w:tc>
          <w:tcPr>
            <w:tcW w:w="2246" w:type="dxa"/>
            <w:tcBorders>
              <w:bottom w:val="single" w:sz="4" w:space="0" w:color="auto"/>
            </w:tcBorders>
            <w:vAlign w:val="bottom"/>
          </w:tcPr>
          <w:p w:rsidR="00B40966" w:rsidRDefault="00B40966">
            <w:pPr>
              <w:pStyle w:val="TableColHd"/>
            </w:pPr>
            <w:r>
              <w:t>ropes used for other purposes</w:t>
            </w:r>
          </w:p>
        </w:tc>
      </w:tr>
      <w:tr w:rsidR="00B40966">
        <w:trPr>
          <w:cantSplit/>
        </w:trPr>
        <w:tc>
          <w:tcPr>
            <w:tcW w:w="1560" w:type="dxa"/>
            <w:tcBorders>
              <w:top w:val="single" w:sz="4" w:space="0" w:color="auto"/>
            </w:tcBorders>
          </w:tcPr>
          <w:p w:rsidR="00B40966" w:rsidRDefault="00B40966">
            <w:pPr>
              <w:pStyle w:val="TableText"/>
            </w:pPr>
            <w:r>
              <w:t>1</w:t>
            </w:r>
          </w:p>
        </w:tc>
        <w:tc>
          <w:tcPr>
            <w:tcW w:w="3520" w:type="dxa"/>
            <w:tcBorders>
              <w:top w:val="single" w:sz="4" w:space="0" w:color="auto"/>
            </w:tcBorders>
          </w:tcPr>
          <w:p w:rsidR="00B40966" w:rsidRDefault="00B40966">
            <w:pPr>
              <w:pStyle w:val="TableText"/>
            </w:pPr>
            <w:r>
              <w:t>classifications Nos 1, 2 and 3</w:t>
            </w:r>
          </w:p>
        </w:tc>
        <w:tc>
          <w:tcPr>
            <w:tcW w:w="2246" w:type="dxa"/>
            <w:tcBorders>
              <w:top w:val="single" w:sz="4" w:space="0" w:color="auto"/>
            </w:tcBorders>
          </w:tcPr>
          <w:p w:rsidR="00B40966" w:rsidRDefault="00B40966">
            <w:pPr>
              <w:pStyle w:val="TableText"/>
            </w:pPr>
            <w:r>
              <w:t>building, excavation or compressed air work</w:t>
            </w:r>
          </w:p>
        </w:tc>
      </w:tr>
      <w:tr w:rsidR="00B40966">
        <w:trPr>
          <w:cantSplit/>
        </w:trPr>
        <w:tc>
          <w:tcPr>
            <w:tcW w:w="1560" w:type="dxa"/>
          </w:tcPr>
          <w:p w:rsidR="00B40966" w:rsidRDefault="00B40966">
            <w:pPr>
              <w:pStyle w:val="TableText"/>
            </w:pPr>
            <w:r>
              <w:t>2</w:t>
            </w:r>
          </w:p>
        </w:tc>
        <w:tc>
          <w:tcPr>
            <w:tcW w:w="3520" w:type="dxa"/>
          </w:tcPr>
          <w:p w:rsidR="00B40966" w:rsidRDefault="00B40966">
            <w:pPr>
              <w:pStyle w:val="TableText"/>
            </w:pPr>
            <w:r>
              <w:t>classification No 4</w:t>
            </w:r>
          </w:p>
        </w:tc>
        <w:tc>
          <w:tcPr>
            <w:tcW w:w="2246" w:type="dxa"/>
          </w:tcPr>
          <w:p w:rsidR="00B40966" w:rsidRDefault="00B40966">
            <w:pPr>
              <w:pStyle w:val="TableText"/>
            </w:pPr>
            <w:r>
              <w:tab/>
            </w:r>
          </w:p>
        </w:tc>
      </w:tr>
    </w:tbl>
    <w:p w:rsidR="00B40966" w:rsidRDefault="00B40966">
      <w:pPr>
        <w:pStyle w:val="02Text"/>
        <w:sectPr w:rsidR="00B40966">
          <w:headerReference w:type="even" r:id="rId155"/>
          <w:headerReference w:type="default" r:id="rId156"/>
          <w:footerReference w:type="even" r:id="rId157"/>
          <w:footerReference w:type="default" r:id="rId158"/>
          <w:footerReference w:type="first" r:id="rId159"/>
          <w:pgSz w:w="11907" w:h="16839" w:code="9"/>
          <w:pgMar w:top="3000" w:right="1900" w:bottom="2500" w:left="2300" w:header="2480" w:footer="2100" w:gutter="0"/>
          <w:cols w:space="720"/>
          <w:docGrid w:linePitch="254"/>
        </w:sectPr>
      </w:pPr>
    </w:p>
    <w:p w:rsidR="00B40966" w:rsidRDefault="00B40966">
      <w:pPr>
        <w:pStyle w:val="TableHd"/>
      </w:pPr>
      <w:r>
        <w:t>Maximum safe working load for steel wire rope—Classification 1</w:t>
      </w:r>
    </w:p>
    <w:p w:rsidR="00B40966" w:rsidRDefault="00B40966">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924"/>
        <w:gridCol w:w="579"/>
        <w:gridCol w:w="93"/>
        <w:gridCol w:w="840"/>
        <w:gridCol w:w="600"/>
        <w:gridCol w:w="720"/>
        <w:gridCol w:w="764"/>
        <w:gridCol w:w="844"/>
        <w:gridCol w:w="756"/>
        <w:gridCol w:w="804"/>
        <w:gridCol w:w="742"/>
        <w:gridCol w:w="778"/>
        <w:gridCol w:w="790"/>
        <w:gridCol w:w="650"/>
        <w:gridCol w:w="24"/>
      </w:tblGrid>
      <w:tr w:rsidR="00B40966">
        <w:trPr>
          <w:gridAfter w:val="1"/>
          <w:wAfter w:w="12" w:type="dxa"/>
          <w:cantSplit/>
          <w:tblHeader/>
        </w:trPr>
        <w:tc>
          <w:tcPr>
            <w:tcW w:w="984" w:type="dxa"/>
            <w:tcBorders>
              <w:top w:val="single" w:sz="6" w:space="0" w:color="auto"/>
              <w:right w:val="single" w:sz="6" w:space="0" w:color="auto"/>
            </w:tcBorders>
          </w:tcPr>
          <w:p w:rsidR="00B40966" w:rsidRDefault="00B40966">
            <w:pPr>
              <w:pStyle w:val="TableColHd"/>
              <w:jc w:val="center"/>
            </w:pPr>
          </w:p>
        </w:tc>
        <w:tc>
          <w:tcPr>
            <w:tcW w:w="924" w:type="dxa"/>
            <w:tcBorders>
              <w:top w:val="single" w:sz="6" w:space="0" w:color="auto"/>
              <w:right w:val="single" w:sz="6" w:space="0" w:color="auto"/>
            </w:tcBorders>
          </w:tcPr>
          <w:p w:rsidR="00B40966" w:rsidRDefault="00B40966">
            <w:pPr>
              <w:pStyle w:val="TableColHd"/>
              <w:jc w:val="center"/>
            </w:pPr>
          </w:p>
        </w:tc>
        <w:tc>
          <w:tcPr>
            <w:tcW w:w="579" w:type="dxa"/>
            <w:tcBorders>
              <w:top w:val="single" w:sz="6" w:space="0" w:color="auto"/>
            </w:tcBorders>
          </w:tcPr>
          <w:p w:rsidR="00B40966" w:rsidRDefault="00B40966">
            <w:pPr>
              <w:pStyle w:val="TableColHd"/>
              <w:jc w:val="center"/>
            </w:pPr>
          </w:p>
        </w:tc>
        <w:tc>
          <w:tcPr>
            <w:tcW w:w="933" w:type="dxa"/>
            <w:gridSpan w:val="2"/>
            <w:tcBorders>
              <w:top w:val="single" w:sz="6" w:space="0" w:color="auto"/>
            </w:tcBorders>
          </w:tcPr>
          <w:p w:rsidR="00B40966" w:rsidRDefault="00B40966">
            <w:pPr>
              <w:pStyle w:val="TableColHd"/>
              <w:jc w:val="center"/>
            </w:pPr>
          </w:p>
        </w:tc>
        <w:tc>
          <w:tcPr>
            <w:tcW w:w="7448" w:type="dxa"/>
            <w:gridSpan w:val="10"/>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984" w:type="dxa"/>
            <w:tcBorders>
              <w:right w:val="single" w:sz="6" w:space="0" w:color="auto"/>
            </w:tcBorders>
            <w:vAlign w:val="bottom"/>
          </w:tcPr>
          <w:p w:rsidR="00B40966" w:rsidRDefault="00B40966">
            <w:pPr>
              <w:pStyle w:val="TableColHd"/>
            </w:pPr>
            <w:r>
              <w:t>circum-</w:t>
            </w:r>
            <w:r>
              <w:br/>
              <w:t>ference</w:t>
            </w:r>
            <w:r>
              <w:br/>
              <w:t>of rope</w:t>
            </w:r>
          </w:p>
        </w:tc>
        <w:tc>
          <w:tcPr>
            <w:tcW w:w="924" w:type="dxa"/>
            <w:tcBorders>
              <w:right w:val="single" w:sz="6" w:space="0" w:color="auto"/>
            </w:tcBorders>
            <w:vAlign w:val="bottom"/>
          </w:tcPr>
          <w:p w:rsidR="00B40966" w:rsidRDefault="00B40966">
            <w:pPr>
              <w:pStyle w:val="TableColHd"/>
            </w:pPr>
            <w:r>
              <w:t>approx.</w:t>
            </w:r>
            <w:r>
              <w:br/>
              <w:t>diameter</w:t>
            </w:r>
            <w:r>
              <w:br/>
              <w:t>of rope</w:t>
            </w:r>
          </w:p>
        </w:tc>
        <w:tc>
          <w:tcPr>
            <w:tcW w:w="1512" w:type="dxa"/>
            <w:gridSpan w:val="3"/>
            <w:vAlign w:val="bottom"/>
          </w:tcPr>
          <w:p w:rsidR="00B40966" w:rsidRDefault="00B40966">
            <w:pPr>
              <w:pStyle w:val="TableColHd"/>
            </w:pPr>
            <w:r>
              <w:t>safe load for 1 single fall (part) of rope</w:t>
            </w:r>
          </w:p>
        </w:tc>
        <w:tc>
          <w:tcPr>
            <w:tcW w:w="1320" w:type="dxa"/>
            <w:gridSpan w:val="2"/>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2"/>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3"/>
          </w:tcPr>
          <w:p w:rsidR="00B40966" w:rsidRDefault="00DA6E8C">
            <w:pPr>
              <w:rPr>
                <w:color w:val="000000"/>
                <w:sz w:val="18"/>
              </w:rPr>
            </w:pPr>
            <w:r>
              <w:rPr>
                <w:noProof/>
                <w:color w:val="000000"/>
                <w:sz w:val="20"/>
                <w:lang w:eastAsia="en-AU"/>
              </w:rPr>
              <w:drawing>
                <wp:inline distT="0" distB="0" distL="0" distR="0">
                  <wp:extent cx="790575" cy="5238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cantSplit/>
          <w:trHeight w:val="220"/>
          <w:tblHeader/>
        </w:trPr>
        <w:tc>
          <w:tcPr>
            <w:tcW w:w="98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2"/>
            <w:tcBorders>
              <w:top w:val="single" w:sz="6" w:space="0" w:color="auto"/>
              <w:bottom w:val="single" w:sz="6" w:space="0" w:color="auto"/>
            </w:tcBorders>
            <w:vAlign w:val="bottom"/>
          </w:tcPr>
          <w:p w:rsidR="00B40966" w:rsidRDefault="00B40966">
            <w:pPr>
              <w:pStyle w:val="TableColHd"/>
              <w:spacing w:after="0"/>
              <w:jc w:val="center"/>
            </w:pPr>
            <w:r>
              <w:t>tons</w:t>
            </w:r>
          </w:p>
        </w:tc>
        <w:tc>
          <w:tcPr>
            <w:tcW w:w="84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44"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04"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790"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74"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84"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/8</w:t>
            </w:r>
          </w:p>
        </w:tc>
        <w:tc>
          <w:tcPr>
            <w:tcW w:w="924" w:type="dxa"/>
            <w:tcBorders>
              <w:top w:val="single" w:sz="6" w:space="0" w:color="auto"/>
              <w:right w:val="single" w:sz="6" w:space="0" w:color="auto"/>
            </w:tcBorders>
          </w:tcPr>
          <w:p w:rsidR="00B40966" w:rsidRDefault="00B40966">
            <w:pPr>
              <w:pStyle w:val="TableText"/>
              <w:jc w:val="center"/>
              <w:rPr>
                <w:sz w:val="20"/>
              </w:rPr>
            </w:pPr>
            <w:r>
              <w:rPr>
                <w:position w:val="4"/>
                <w:sz w:val="20"/>
              </w:rPr>
              <w:t>3</w:t>
            </w:r>
            <w:r>
              <w:rPr>
                <w:sz w:val="20"/>
              </w:rPr>
              <w:t>/16</w:t>
            </w:r>
          </w:p>
        </w:tc>
        <w:tc>
          <w:tcPr>
            <w:tcW w:w="672" w:type="dxa"/>
            <w:gridSpan w:val="2"/>
            <w:tcBorders>
              <w:top w:val="single" w:sz="6" w:space="0" w:color="auto"/>
            </w:tcBorders>
          </w:tcPr>
          <w:p w:rsidR="00B40966" w:rsidRDefault="00B40966">
            <w:pPr>
              <w:pStyle w:val="TableText"/>
              <w:jc w:val="center"/>
              <w:rPr>
                <w:sz w:val="20"/>
              </w:rPr>
            </w:pPr>
            <w:r>
              <w:rPr>
                <w:sz w:val="20"/>
              </w:rPr>
              <w:t>0</w:t>
            </w:r>
          </w:p>
        </w:tc>
        <w:tc>
          <w:tcPr>
            <w:tcW w:w="840" w:type="dxa"/>
            <w:tcBorders>
              <w:top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60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16" w:type="dxa"/>
            <w:tcBorders>
              <w:top w:val="single" w:sz="6" w:space="0" w:color="auto"/>
            </w:tcBorders>
          </w:tcPr>
          <w:p w:rsidR="00B40966" w:rsidRDefault="00B40966">
            <w:pPr>
              <w:pStyle w:val="TableText"/>
              <w:jc w:val="center"/>
              <w:rPr>
                <w:sz w:val="20"/>
              </w:rPr>
            </w:pPr>
            <w:r>
              <w:rPr>
                <w:sz w:val="20"/>
              </w:rPr>
              <w:t>5</w:t>
            </w:r>
          </w:p>
        </w:tc>
        <w:tc>
          <w:tcPr>
            <w:tcW w:w="764"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44" w:type="dxa"/>
            <w:tcBorders>
              <w:top w:val="single" w:sz="6" w:space="0" w:color="auto"/>
            </w:tcBorders>
          </w:tcPr>
          <w:p w:rsidR="00B40966" w:rsidRDefault="00B40966">
            <w:pPr>
              <w:pStyle w:val="TableText"/>
              <w:jc w:val="center"/>
              <w:rPr>
                <w:sz w:val="20"/>
              </w:rPr>
            </w:pPr>
            <w:r>
              <w:rPr>
                <w:sz w:val="20"/>
              </w:rPr>
              <w:t>4</w:t>
            </w:r>
          </w:p>
        </w:tc>
        <w:tc>
          <w:tcPr>
            <w:tcW w:w="756"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04" w:type="dxa"/>
            <w:tcBorders>
              <w:top w:val="single" w:sz="6" w:space="0" w:color="auto"/>
            </w:tcBorders>
          </w:tcPr>
          <w:p w:rsidR="00B40966" w:rsidRDefault="00B40966">
            <w:pPr>
              <w:pStyle w:val="TableText"/>
              <w:jc w:val="center"/>
              <w:rPr>
                <w:sz w:val="20"/>
              </w:rPr>
            </w:pPr>
            <w:r>
              <w:rPr>
                <w:sz w:val="20"/>
              </w:rPr>
              <w:t>3</w:t>
            </w:r>
            <w:r>
              <w:rPr>
                <w:position w:val="4"/>
                <w:sz w:val="20"/>
              </w:rPr>
              <w:t>1</w:t>
            </w:r>
            <w:r>
              <w:rPr>
                <w:sz w:val="20"/>
              </w:rPr>
              <w:t>/2</w:t>
            </w:r>
          </w:p>
        </w:tc>
        <w:tc>
          <w:tcPr>
            <w:tcW w:w="74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70" w:type="dxa"/>
            <w:tcBorders>
              <w:top w:val="single" w:sz="6" w:space="0" w:color="auto"/>
              <w:right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790" w:type="dxa"/>
            <w:tcBorders>
              <w:top w:val="single" w:sz="6" w:space="0" w:color="auto"/>
            </w:tcBorders>
          </w:tcPr>
          <w:p w:rsidR="00B40966" w:rsidRDefault="00B40966">
            <w:pPr>
              <w:pStyle w:val="TableText"/>
              <w:jc w:val="center"/>
              <w:rPr>
                <w:sz w:val="20"/>
              </w:rPr>
            </w:pPr>
            <w:r>
              <w:rPr>
                <w:sz w:val="20"/>
              </w:rPr>
              <w:t>0</w:t>
            </w:r>
          </w:p>
        </w:tc>
        <w:tc>
          <w:tcPr>
            <w:tcW w:w="674" w:type="dxa"/>
            <w:gridSpan w:val="2"/>
            <w:tcBorders>
              <w:top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924" w:type="dxa"/>
            <w:tcBorders>
              <w:right w:val="single" w:sz="6" w:space="0" w:color="auto"/>
            </w:tcBorders>
          </w:tcPr>
          <w:p w:rsidR="00B40966" w:rsidRDefault="00B40966">
            <w:pPr>
              <w:pStyle w:val="TableText"/>
              <w:jc w:val="center"/>
              <w:rPr>
                <w:sz w:val="20"/>
              </w:rPr>
            </w:pPr>
            <w:r>
              <w:rPr>
                <w:position w:val="4"/>
                <w:sz w:val="20"/>
              </w:rPr>
              <w:t>1</w:t>
            </w:r>
            <w:r>
              <w:rPr>
                <w:sz w:val="20"/>
              </w:rPr>
              <w:t>/4</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3</w:t>
            </w:r>
            <w:r>
              <w:rPr>
                <w:position w:val="4"/>
                <w:sz w:val="20"/>
              </w:rPr>
              <w:t>1</w:t>
            </w:r>
            <w:r>
              <w:rPr>
                <w:sz w:val="20"/>
              </w:rPr>
              <w:t>/2</w:t>
            </w:r>
          </w:p>
        </w:tc>
        <w:tc>
          <w:tcPr>
            <w:tcW w:w="600" w:type="dxa"/>
            <w:tcBorders>
              <w:left w:val="single" w:sz="6" w:space="0" w:color="auto"/>
            </w:tcBorders>
          </w:tcPr>
          <w:p w:rsidR="00B40966" w:rsidRDefault="00B40966">
            <w:pPr>
              <w:pStyle w:val="TableText"/>
              <w:jc w:val="center"/>
              <w:rPr>
                <w:sz w:val="20"/>
              </w:rPr>
            </w:pPr>
            <w:r>
              <w:rPr>
                <w:sz w:val="20"/>
              </w:rPr>
              <w:t>0</w:t>
            </w:r>
          </w:p>
        </w:tc>
        <w:tc>
          <w:tcPr>
            <w:tcW w:w="716" w:type="dxa"/>
          </w:tcPr>
          <w:p w:rsidR="00B40966" w:rsidRDefault="00B40966">
            <w:pPr>
              <w:pStyle w:val="TableText"/>
              <w:jc w:val="center"/>
              <w:rPr>
                <w:sz w:val="20"/>
              </w:rPr>
            </w:pPr>
            <w:r>
              <w:rPr>
                <w:sz w:val="20"/>
              </w:rPr>
              <w:t>7</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6</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5</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3</w:t>
            </w:r>
            <w:r>
              <w:rPr>
                <w:position w:val="4"/>
                <w:sz w:val="20"/>
              </w:rPr>
              <w:t>1</w:t>
            </w:r>
            <w:r>
              <w:rPr>
                <w:sz w:val="20"/>
              </w:rPr>
              <w:t>/2</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2</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position w:val="4"/>
                <w:sz w:val="20"/>
              </w:rPr>
              <w:t>7</w:t>
            </w:r>
            <w:r>
              <w:rPr>
                <w:sz w:val="20"/>
              </w:rPr>
              <w:t>/8</w:t>
            </w:r>
          </w:p>
        </w:tc>
        <w:tc>
          <w:tcPr>
            <w:tcW w:w="924" w:type="dxa"/>
            <w:tcBorders>
              <w:right w:val="single" w:sz="6" w:space="0" w:color="auto"/>
            </w:tcBorders>
          </w:tcPr>
          <w:p w:rsidR="00B40966" w:rsidRDefault="00B40966">
            <w:pPr>
              <w:pStyle w:val="TableText"/>
              <w:jc w:val="center"/>
              <w:rPr>
                <w:sz w:val="20"/>
              </w:rPr>
            </w:pPr>
            <w:r>
              <w:rPr>
                <w:position w:val="4"/>
                <w:sz w:val="20"/>
              </w:rPr>
              <w:t>9</w:t>
            </w:r>
            <w:r>
              <w:rPr>
                <w:sz w:val="20"/>
              </w:rPr>
              <w:t>/32</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4</w:t>
            </w:r>
            <w:r>
              <w:rPr>
                <w:position w:val="4"/>
                <w:sz w:val="20"/>
              </w:rPr>
              <w:t>1</w:t>
            </w:r>
            <w:r>
              <w:rPr>
                <w:sz w:val="20"/>
              </w:rPr>
              <w:t>/2</w:t>
            </w:r>
          </w:p>
        </w:tc>
        <w:tc>
          <w:tcPr>
            <w:tcW w:w="600" w:type="dxa"/>
            <w:tcBorders>
              <w:left w:val="single" w:sz="6" w:space="0" w:color="auto"/>
            </w:tcBorders>
          </w:tcPr>
          <w:p w:rsidR="00B40966" w:rsidRDefault="00B40966">
            <w:pPr>
              <w:pStyle w:val="TableText"/>
              <w:jc w:val="center"/>
              <w:rPr>
                <w:sz w:val="20"/>
              </w:rPr>
            </w:pPr>
            <w:r>
              <w:rPr>
                <w:sz w:val="20"/>
              </w:rPr>
              <w:t>0</w:t>
            </w:r>
          </w:p>
        </w:tc>
        <w:tc>
          <w:tcPr>
            <w:tcW w:w="716" w:type="dxa"/>
          </w:tcPr>
          <w:p w:rsidR="00B40966" w:rsidRDefault="00B40966">
            <w:pPr>
              <w:pStyle w:val="TableText"/>
              <w:jc w:val="center"/>
              <w:rPr>
                <w:sz w:val="20"/>
              </w:rPr>
            </w:pPr>
            <w:r>
              <w:rPr>
                <w:sz w:val="20"/>
              </w:rPr>
              <w:t>9</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8</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6</w:t>
            </w:r>
            <w:r>
              <w:rPr>
                <w:position w:val="4"/>
                <w:sz w:val="20"/>
              </w:rPr>
              <w:t>1</w:t>
            </w:r>
            <w:r>
              <w:rPr>
                <w:sz w:val="20"/>
              </w:rPr>
              <w:t>/2</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4</w:t>
            </w:r>
            <w:r>
              <w:rPr>
                <w:position w:val="4"/>
                <w:sz w:val="20"/>
              </w:rPr>
              <w:t>1</w:t>
            </w:r>
            <w:r>
              <w:rPr>
                <w:sz w:val="20"/>
              </w:rPr>
              <w:t>/2</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2</w:t>
            </w:r>
            <w:r>
              <w:rPr>
                <w:position w:val="4"/>
                <w:sz w:val="20"/>
              </w:rPr>
              <w:t>1</w:t>
            </w:r>
            <w:r>
              <w:rPr>
                <w:sz w:val="20"/>
              </w:rPr>
              <w:t>/2</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p>
        </w:tc>
        <w:tc>
          <w:tcPr>
            <w:tcW w:w="924" w:type="dxa"/>
            <w:tcBorders>
              <w:right w:val="single" w:sz="6" w:space="0" w:color="auto"/>
            </w:tcBorders>
          </w:tcPr>
          <w:p w:rsidR="00B40966" w:rsidRDefault="00B40966">
            <w:pPr>
              <w:pStyle w:val="TableText"/>
              <w:jc w:val="center"/>
              <w:rPr>
                <w:sz w:val="20"/>
              </w:rPr>
            </w:pPr>
            <w:r>
              <w:rPr>
                <w:position w:val="4"/>
                <w:sz w:val="20"/>
              </w:rPr>
              <w:t>5</w:t>
            </w:r>
            <w:r>
              <w:rPr>
                <w:sz w:val="20"/>
              </w:rPr>
              <w:t>/16</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6</w:t>
            </w:r>
          </w:p>
        </w:tc>
        <w:tc>
          <w:tcPr>
            <w:tcW w:w="600" w:type="dxa"/>
            <w:tcBorders>
              <w:left w:val="single" w:sz="6" w:space="0" w:color="auto"/>
            </w:tcBorders>
          </w:tcPr>
          <w:p w:rsidR="00B40966" w:rsidRDefault="00B40966">
            <w:pPr>
              <w:pStyle w:val="TableText"/>
              <w:jc w:val="center"/>
              <w:rPr>
                <w:sz w:val="20"/>
              </w:rPr>
            </w:pPr>
            <w:r>
              <w:rPr>
                <w:sz w:val="20"/>
              </w:rPr>
              <w:t>0</w:t>
            </w:r>
          </w:p>
        </w:tc>
        <w:tc>
          <w:tcPr>
            <w:tcW w:w="716" w:type="dxa"/>
          </w:tcPr>
          <w:p w:rsidR="00B40966" w:rsidRDefault="00B40966">
            <w:pPr>
              <w:pStyle w:val="TableText"/>
              <w:jc w:val="center"/>
              <w:rPr>
                <w:sz w:val="20"/>
              </w:rPr>
            </w:pPr>
            <w:r>
              <w:rPr>
                <w:sz w:val="20"/>
              </w:rPr>
              <w:t>12</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10</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8</w:t>
            </w:r>
            <w:r>
              <w:rPr>
                <w:position w:val="4"/>
                <w:sz w:val="20"/>
              </w:rPr>
              <w:t>1</w:t>
            </w:r>
            <w:r>
              <w:rPr>
                <w:sz w:val="20"/>
              </w:rPr>
              <w:t>/2</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6</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3</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/8</w:t>
            </w:r>
          </w:p>
        </w:tc>
        <w:tc>
          <w:tcPr>
            <w:tcW w:w="924" w:type="dxa"/>
            <w:tcBorders>
              <w:right w:val="single" w:sz="6" w:space="0" w:color="auto"/>
            </w:tcBorders>
          </w:tcPr>
          <w:p w:rsidR="00B40966" w:rsidRDefault="00B40966">
            <w:pPr>
              <w:pStyle w:val="TableText"/>
              <w:jc w:val="center"/>
              <w:rPr>
                <w:sz w:val="20"/>
              </w:rPr>
            </w:pPr>
            <w:r>
              <w:rPr>
                <w:position w:val="4"/>
                <w:sz w:val="20"/>
              </w:rPr>
              <w:t>3</w:t>
            </w:r>
            <w:r>
              <w:rPr>
                <w:sz w:val="20"/>
              </w:rPr>
              <w:t>/8</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8</w:t>
            </w:r>
          </w:p>
        </w:tc>
        <w:tc>
          <w:tcPr>
            <w:tcW w:w="600" w:type="dxa"/>
            <w:tcBorders>
              <w:left w:val="single" w:sz="6" w:space="0" w:color="auto"/>
            </w:tcBorders>
          </w:tcPr>
          <w:p w:rsidR="00B40966" w:rsidRDefault="00B40966">
            <w:pPr>
              <w:pStyle w:val="TableText"/>
              <w:jc w:val="center"/>
              <w:rPr>
                <w:sz w:val="20"/>
              </w:rPr>
            </w:pPr>
            <w:r>
              <w:rPr>
                <w:sz w:val="20"/>
              </w:rPr>
              <w:t>0</w:t>
            </w:r>
          </w:p>
        </w:tc>
        <w:tc>
          <w:tcPr>
            <w:tcW w:w="716" w:type="dxa"/>
          </w:tcPr>
          <w:p w:rsidR="00B40966" w:rsidRDefault="00B40966">
            <w:pPr>
              <w:pStyle w:val="TableText"/>
              <w:jc w:val="center"/>
              <w:rPr>
                <w:sz w:val="20"/>
              </w:rPr>
            </w:pPr>
            <w:r>
              <w:rPr>
                <w:sz w:val="20"/>
              </w:rPr>
              <w:t>15</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13</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11</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8</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4</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924" w:type="dxa"/>
            <w:tcBorders>
              <w:right w:val="single" w:sz="6" w:space="0" w:color="auto"/>
            </w:tcBorders>
          </w:tcPr>
          <w:p w:rsidR="00B40966" w:rsidRDefault="00B40966">
            <w:pPr>
              <w:pStyle w:val="TableText"/>
              <w:jc w:val="center"/>
              <w:rPr>
                <w:sz w:val="20"/>
              </w:rPr>
            </w:pPr>
            <w:r>
              <w:rPr>
                <w:position w:val="4"/>
                <w:sz w:val="16"/>
              </w:rPr>
              <w:t>13</w:t>
            </w:r>
            <w:r>
              <w:rPr>
                <w:sz w:val="20"/>
              </w:rPr>
              <w:t>/</w:t>
            </w:r>
            <w:r>
              <w:rPr>
                <w:sz w:val="16"/>
              </w:rPr>
              <w:t>32</w:t>
            </w:r>
            <w:r>
              <w:rPr>
                <w:sz w:val="20"/>
              </w:rPr>
              <w:t xml:space="preserve"> </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10</w:t>
            </w:r>
          </w:p>
        </w:tc>
        <w:tc>
          <w:tcPr>
            <w:tcW w:w="600" w:type="dxa"/>
            <w:tcBorders>
              <w:left w:val="single" w:sz="6" w:space="0" w:color="auto"/>
            </w:tcBorders>
          </w:tcPr>
          <w:p w:rsidR="00B40966" w:rsidRDefault="00B40966">
            <w:pPr>
              <w:pStyle w:val="TableText"/>
              <w:jc w:val="center"/>
              <w:rPr>
                <w:sz w:val="20"/>
              </w:rPr>
            </w:pPr>
            <w:r>
              <w:rPr>
                <w:sz w:val="20"/>
              </w:rPr>
              <w:t>0</w:t>
            </w:r>
          </w:p>
        </w:tc>
        <w:tc>
          <w:tcPr>
            <w:tcW w:w="716" w:type="dxa"/>
          </w:tcPr>
          <w:p w:rsidR="00B40966" w:rsidRDefault="00B40966">
            <w:pPr>
              <w:pStyle w:val="TableText"/>
              <w:jc w:val="center"/>
              <w:rPr>
                <w:sz w:val="20"/>
              </w:rPr>
            </w:pPr>
            <w:r>
              <w:rPr>
                <w:sz w:val="20"/>
              </w:rPr>
              <w:t>19</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17</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14</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10</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5</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924" w:type="dxa"/>
            <w:tcBorders>
              <w:right w:val="single" w:sz="6" w:space="0" w:color="auto"/>
            </w:tcBorders>
          </w:tcPr>
          <w:p w:rsidR="00B40966" w:rsidRDefault="00B40966">
            <w:pPr>
              <w:pStyle w:val="TableText"/>
              <w:jc w:val="center"/>
              <w:rPr>
                <w:sz w:val="20"/>
              </w:rPr>
            </w:pPr>
            <w:r>
              <w:rPr>
                <w:position w:val="4"/>
                <w:sz w:val="16"/>
              </w:rPr>
              <w:t>7</w:t>
            </w:r>
            <w:r>
              <w:rPr>
                <w:sz w:val="20"/>
              </w:rPr>
              <w:t>/</w:t>
            </w:r>
            <w:r>
              <w:rPr>
                <w:sz w:val="16"/>
              </w:rPr>
              <w:t>16</w:t>
            </w:r>
            <w:r>
              <w:rPr>
                <w:sz w:val="20"/>
              </w:rPr>
              <w:t xml:space="preserve"> </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11</w:t>
            </w:r>
          </w:p>
        </w:tc>
        <w:tc>
          <w:tcPr>
            <w:tcW w:w="600" w:type="dxa"/>
            <w:tcBorders>
              <w:left w:val="single" w:sz="6" w:space="0" w:color="auto"/>
            </w:tcBorders>
          </w:tcPr>
          <w:p w:rsidR="00B40966" w:rsidRDefault="00B40966">
            <w:pPr>
              <w:pStyle w:val="TableText"/>
              <w:jc w:val="center"/>
              <w:rPr>
                <w:sz w:val="20"/>
              </w:rPr>
            </w:pPr>
            <w:r>
              <w:rPr>
                <w:sz w:val="20"/>
              </w:rPr>
              <w:t>1</w:t>
            </w:r>
          </w:p>
        </w:tc>
        <w:tc>
          <w:tcPr>
            <w:tcW w:w="716" w:type="dxa"/>
          </w:tcPr>
          <w:p w:rsidR="00B40966" w:rsidRDefault="00B40966">
            <w:pPr>
              <w:pStyle w:val="TableText"/>
              <w:jc w:val="center"/>
              <w:rPr>
                <w:sz w:val="20"/>
              </w:rPr>
            </w:pPr>
            <w:r>
              <w:rPr>
                <w:sz w:val="20"/>
              </w:rPr>
              <w:t>1</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19</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16</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11</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6</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924" w:type="dxa"/>
            <w:tcBorders>
              <w:right w:val="single" w:sz="6" w:space="0" w:color="auto"/>
            </w:tcBorders>
          </w:tcPr>
          <w:p w:rsidR="00B40966" w:rsidRDefault="00B40966">
            <w:pPr>
              <w:pStyle w:val="TableText"/>
              <w:jc w:val="center"/>
              <w:rPr>
                <w:sz w:val="20"/>
              </w:rPr>
            </w:pPr>
            <w:r>
              <w:rPr>
                <w:position w:val="4"/>
                <w:sz w:val="16"/>
              </w:rPr>
              <w:t>15</w:t>
            </w:r>
            <w:r>
              <w:rPr>
                <w:sz w:val="20"/>
              </w:rPr>
              <w:t>/</w:t>
            </w:r>
            <w:r>
              <w:rPr>
                <w:sz w:val="16"/>
              </w:rPr>
              <w:t>32</w:t>
            </w:r>
            <w:r>
              <w:rPr>
                <w:sz w:val="20"/>
              </w:rPr>
              <w:t xml:space="preserve"> </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14</w:t>
            </w:r>
          </w:p>
        </w:tc>
        <w:tc>
          <w:tcPr>
            <w:tcW w:w="600" w:type="dxa"/>
            <w:tcBorders>
              <w:left w:val="single" w:sz="6" w:space="0" w:color="auto"/>
            </w:tcBorders>
          </w:tcPr>
          <w:p w:rsidR="00B40966" w:rsidRDefault="00B40966">
            <w:pPr>
              <w:pStyle w:val="TableText"/>
              <w:jc w:val="center"/>
              <w:rPr>
                <w:sz w:val="20"/>
              </w:rPr>
            </w:pPr>
            <w:r>
              <w:rPr>
                <w:sz w:val="20"/>
              </w:rPr>
              <w:t>1</w:t>
            </w:r>
          </w:p>
        </w:tc>
        <w:tc>
          <w:tcPr>
            <w:tcW w:w="716" w:type="dxa"/>
          </w:tcPr>
          <w:p w:rsidR="00B40966" w:rsidRDefault="00B40966">
            <w:pPr>
              <w:pStyle w:val="TableText"/>
              <w:jc w:val="center"/>
              <w:rPr>
                <w:sz w:val="20"/>
              </w:rPr>
            </w:pPr>
            <w:r>
              <w:rPr>
                <w:sz w:val="20"/>
              </w:rPr>
              <w:t>7</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4</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0</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14</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7</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924" w:type="dxa"/>
            <w:tcBorders>
              <w:right w:val="single" w:sz="6" w:space="0" w:color="auto"/>
            </w:tcBorders>
          </w:tcPr>
          <w:p w:rsidR="00B40966" w:rsidRDefault="00B40966">
            <w:pPr>
              <w:pStyle w:val="TableText"/>
              <w:jc w:val="center"/>
              <w:rPr>
                <w:sz w:val="20"/>
              </w:rPr>
            </w:pPr>
            <w:r>
              <w:rPr>
                <w:position w:val="4"/>
                <w:sz w:val="16"/>
              </w:rPr>
              <w:t>1</w:t>
            </w:r>
            <w:r>
              <w:rPr>
                <w:sz w:val="20"/>
              </w:rPr>
              <w:t>/</w:t>
            </w:r>
            <w:r>
              <w:rPr>
                <w:sz w:val="16"/>
              </w:rPr>
              <w:t>2</w:t>
            </w:r>
            <w:r>
              <w:rPr>
                <w:sz w:val="20"/>
              </w:rPr>
              <w:t xml:space="preserve"> </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17</w:t>
            </w:r>
          </w:p>
        </w:tc>
        <w:tc>
          <w:tcPr>
            <w:tcW w:w="600" w:type="dxa"/>
            <w:tcBorders>
              <w:left w:val="single" w:sz="6" w:space="0" w:color="auto"/>
            </w:tcBorders>
          </w:tcPr>
          <w:p w:rsidR="00B40966" w:rsidRDefault="00B40966">
            <w:pPr>
              <w:pStyle w:val="TableText"/>
              <w:jc w:val="center"/>
              <w:rPr>
                <w:sz w:val="20"/>
              </w:rPr>
            </w:pPr>
            <w:r>
              <w:rPr>
                <w:sz w:val="20"/>
              </w:rPr>
              <w:t>1</w:t>
            </w:r>
          </w:p>
        </w:tc>
        <w:tc>
          <w:tcPr>
            <w:tcW w:w="716" w:type="dxa"/>
          </w:tcPr>
          <w:p w:rsidR="00B40966" w:rsidRDefault="00B40966">
            <w:pPr>
              <w:pStyle w:val="TableText"/>
              <w:jc w:val="center"/>
              <w:rPr>
                <w:sz w:val="20"/>
              </w:rPr>
            </w:pPr>
            <w:r>
              <w:rPr>
                <w:sz w:val="20"/>
              </w:rPr>
              <w:t>13</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9</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4</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17</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9</w:t>
            </w:r>
          </w:p>
        </w:tc>
      </w:tr>
      <w:tr w:rsidR="00B40966">
        <w:trPr>
          <w:cantSplit/>
          <w:trHeight w:val="200"/>
        </w:trPr>
        <w:tc>
          <w:tcPr>
            <w:tcW w:w="984" w:type="dxa"/>
            <w:tcBorders>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924" w:type="dxa"/>
            <w:tcBorders>
              <w:right w:val="single" w:sz="6" w:space="0" w:color="auto"/>
            </w:tcBorders>
          </w:tcPr>
          <w:p w:rsidR="00B40966" w:rsidRDefault="00B40966">
            <w:pPr>
              <w:pStyle w:val="TableText"/>
              <w:jc w:val="center"/>
              <w:rPr>
                <w:sz w:val="20"/>
              </w:rPr>
            </w:pPr>
            <w:r>
              <w:rPr>
                <w:position w:val="4"/>
                <w:sz w:val="16"/>
              </w:rPr>
              <w:t>9</w:t>
            </w:r>
            <w:r>
              <w:rPr>
                <w:sz w:val="20"/>
              </w:rPr>
              <w:t>/</w:t>
            </w:r>
            <w:r>
              <w:rPr>
                <w:sz w:val="16"/>
              </w:rPr>
              <w:t>16</w:t>
            </w:r>
            <w:r>
              <w:rPr>
                <w:sz w:val="20"/>
              </w:rPr>
              <w:t xml:space="preserve"> </w:t>
            </w:r>
          </w:p>
        </w:tc>
        <w:tc>
          <w:tcPr>
            <w:tcW w:w="672"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19</w:t>
            </w:r>
          </w:p>
        </w:tc>
        <w:tc>
          <w:tcPr>
            <w:tcW w:w="600" w:type="dxa"/>
            <w:tcBorders>
              <w:left w:val="single" w:sz="6" w:space="0" w:color="auto"/>
            </w:tcBorders>
          </w:tcPr>
          <w:p w:rsidR="00B40966" w:rsidRDefault="00B40966">
            <w:pPr>
              <w:pStyle w:val="TableText"/>
              <w:jc w:val="center"/>
              <w:rPr>
                <w:sz w:val="20"/>
              </w:rPr>
            </w:pPr>
            <w:r>
              <w:rPr>
                <w:sz w:val="20"/>
              </w:rPr>
              <w:t>1</w:t>
            </w:r>
          </w:p>
        </w:tc>
        <w:tc>
          <w:tcPr>
            <w:tcW w:w="716" w:type="dxa"/>
          </w:tcPr>
          <w:p w:rsidR="00B40966" w:rsidRDefault="00B40966">
            <w:pPr>
              <w:pStyle w:val="TableText"/>
              <w:jc w:val="center"/>
              <w:rPr>
                <w:sz w:val="20"/>
              </w:rPr>
            </w:pPr>
            <w:r>
              <w:rPr>
                <w:sz w:val="20"/>
              </w:rPr>
              <w:t>17</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13</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7</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19</w:t>
            </w:r>
          </w:p>
        </w:tc>
        <w:tc>
          <w:tcPr>
            <w:tcW w:w="790" w:type="dxa"/>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10</w:t>
            </w:r>
          </w:p>
        </w:tc>
      </w:tr>
      <w:tr w:rsidR="00B40966">
        <w:trPr>
          <w:cantSplit/>
          <w:trHeight w:val="200"/>
        </w:trPr>
        <w:tc>
          <w:tcPr>
            <w:tcW w:w="984" w:type="dxa"/>
            <w:tcBorders>
              <w:right w:val="single" w:sz="6" w:space="0" w:color="auto"/>
            </w:tcBorders>
          </w:tcPr>
          <w:p w:rsidR="00B40966" w:rsidRDefault="00B40966">
            <w:pPr>
              <w:spacing w:before="20" w:after="20"/>
              <w:ind w:left="20"/>
              <w:jc w:val="center"/>
              <w:rPr>
                <w:color w:val="000000"/>
                <w:sz w:val="20"/>
              </w:rPr>
            </w:pPr>
            <w:r>
              <w:rPr>
                <w:color w:val="000000"/>
                <w:sz w:val="20"/>
              </w:rPr>
              <w:t>1</w:t>
            </w:r>
            <w:r>
              <w:rPr>
                <w:color w:val="000000"/>
                <w:position w:val="4"/>
                <w:sz w:val="16"/>
              </w:rPr>
              <w:t>7</w:t>
            </w:r>
            <w:r>
              <w:rPr>
                <w:color w:val="000000"/>
                <w:sz w:val="20"/>
              </w:rPr>
              <w:t>/</w:t>
            </w:r>
            <w:r>
              <w:rPr>
                <w:color w:val="000000"/>
                <w:sz w:val="16"/>
              </w:rPr>
              <w:t>8</w:t>
            </w:r>
          </w:p>
        </w:tc>
        <w:tc>
          <w:tcPr>
            <w:tcW w:w="924" w:type="dxa"/>
            <w:tcBorders>
              <w:right w:val="single" w:sz="6" w:space="0" w:color="auto"/>
            </w:tcBorders>
          </w:tcPr>
          <w:p w:rsidR="00B40966" w:rsidRDefault="00B40966">
            <w:pPr>
              <w:ind w:right="200"/>
              <w:jc w:val="center"/>
              <w:rPr>
                <w:color w:val="000000"/>
                <w:sz w:val="20"/>
              </w:rPr>
            </w:pPr>
            <w:r>
              <w:rPr>
                <w:color w:val="000000"/>
                <w:position w:val="4"/>
                <w:sz w:val="16"/>
              </w:rPr>
              <w:t>19</w:t>
            </w:r>
            <w:r>
              <w:rPr>
                <w:color w:val="000000"/>
                <w:sz w:val="20"/>
              </w:rPr>
              <w:t>/</w:t>
            </w:r>
            <w:r>
              <w:rPr>
                <w:color w:val="000000"/>
                <w:sz w:val="16"/>
              </w:rPr>
              <w:t>32</w:t>
            </w:r>
            <w:r>
              <w:rPr>
                <w:color w:val="000000"/>
                <w:sz w:val="20"/>
              </w:rPr>
              <w:t xml:space="preserve"> </w:t>
            </w:r>
          </w:p>
        </w:tc>
        <w:tc>
          <w:tcPr>
            <w:tcW w:w="672" w:type="dxa"/>
            <w:gridSpan w:val="2"/>
          </w:tcPr>
          <w:p w:rsidR="00B40966" w:rsidRDefault="00B40966">
            <w:pPr>
              <w:ind w:right="67"/>
              <w:jc w:val="center"/>
              <w:rPr>
                <w:color w:val="000000"/>
                <w:sz w:val="20"/>
              </w:rPr>
            </w:pPr>
            <w:r>
              <w:rPr>
                <w:color w:val="000000"/>
                <w:sz w:val="20"/>
              </w:rPr>
              <w:t>1</w:t>
            </w:r>
          </w:p>
        </w:tc>
        <w:tc>
          <w:tcPr>
            <w:tcW w:w="840" w:type="dxa"/>
          </w:tcPr>
          <w:p w:rsidR="00B40966" w:rsidRDefault="00B40966">
            <w:pPr>
              <w:ind w:right="160"/>
              <w:jc w:val="center"/>
              <w:rPr>
                <w:color w:val="000000"/>
                <w:sz w:val="20"/>
              </w:rPr>
            </w:pPr>
            <w:r>
              <w:rPr>
                <w:color w:val="000000"/>
                <w:sz w:val="20"/>
              </w:rPr>
              <w:t>2</w:t>
            </w:r>
          </w:p>
        </w:tc>
        <w:tc>
          <w:tcPr>
            <w:tcW w:w="600" w:type="dxa"/>
            <w:tcBorders>
              <w:left w:val="single" w:sz="6" w:space="0" w:color="auto"/>
            </w:tcBorders>
          </w:tcPr>
          <w:p w:rsidR="00B40966" w:rsidRDefault="00B40966">
            <w:pPr>
              <w:ind w:right="67"/>
              <w:jc w:val="center"/>
              <w:rPr>
                <w:color w:val="000000"/>
                <w:sz w:val="20"/>
              </w:rPr>
            </w:pPr>
            <w:r>
              <w:rPr>
                <w:color w:val="000000"/>
                <w:sz w:val="20"/>
              </w:rPr>
              <w:t>2</w:t>
            </w:r>
          </w:p>
        </w:tc>
        <w:tc>
          <w:tcPr>
            <w:tcW w:w="716" w:type="dxa"/>
          </w:tcPr>
          <w:p w:rsidR="00B40966" w:rsidRDefault="00B40966">
            <w:pPr>
              <w:ind w:right="67"/>
              <w:jc w:val="center"/>
              <w:rPr>
                <w:color w:val="000000"/>
                <w:sz w:val="20"/>
              </w:rPr>
            </w:pPr>
            <w:r>
              <w:rPr>
                <w:color w:val="000000"/>
                <w:sz w:val="20"/>
              </w:rPr>
              <w:t>2</w:t>
            </w:r>
          </w:p>
        </w:tc>
        <w:tc>
          <w:tcPr>
            <w:tcW w:w="764" w:type="dxa"/>
            <w:tcBorders>
              <w:left w:val="single" w:sz="6" w:space="0" w:color="auto"/>
            </w:tcBorders>
          </w:tcPr>
          <w:p w:rsidR="00B40966" w:rsidRDefault="00B40966">
            <w:pPr>
              <w:ind w:right="67"/>
              <w:jc w:val="center"/>
              <w:rPr>
                <w:color w:val="000000"/>
                <w:sz w:val="20"/>
              </w:rPr>
            </w:pPr>
            <w:r>
              <w:rPr>
                <w:color w:val="000000"/>
                <w:sz w:val="20"/>
              </w:rPr>
              <w:t>1</w:t>
            </w:r>
          </w:p>
        </w:tc>
        <w:tc>
          <w:tcPr>
            <w:tcW w:w="844" w:type="dxa"/>
          </w:tcPr>
          <w:p w:rsidR="00B40966" w:rsidRDefault="00B40966">
            <w:pPr>
              <w:ind w:right="67"/>
              <w:jc w:val="center"/>
              <w:rPr>
                <w:color w:val="000000"/>
                <w:sz w:val="20"/>
              </w:rPr>
            </w:pPr>
            <w:r>
              <w:rPr>
                <w:color w:val="000000"/>
                <w:sz w:val="20"/>
              </w:rPr>
              <w:t>18</w:t>
            </w:r>
          </w:p>
        </w:tc>
        <w:tc>
          <w:tcPr>
            <w:tcW w:w="756" w:type="dxa"/>
            <w:tcBorders>
              <w:left w:val="single" w:sz="6" w:space="0" w:color="auto"/>
            </w:tcBorders>
          </w:tcPr>
          <w:p w:rsidR="00B40966" w:rsidRDefault="00B40966">
            <w:pPr>
              <w:ind w:right="67"/>
              <w:jc w:val="center"/>
              <w:rPr>
                <w:color w:val="000000"/>
                <w:sz w:val="20"/>
              </w:rPr>
            </w:pPr>
            <w:r>
              <w:rPr>
                <w:color w:val="000000"/>
                <w:sz w:val="20"/>
              </w:rPr>
              <w:t>1</w:t>
            </w:r>
          </w:p>
        </w:tc>
        <w:tc>
          <w:tcPr>
            <w:tcW w:w="804" w:type="dxa"/>
          </w:tcPr>
          <w:p w:rsidR="00B40966" w:rsidRDefault="00B40966">
            <w:pPr>
              <w:ind w:right="146"/>
              <w:jc w:val="center"/>
              <w:rPr>
                <w:color w:val="000000"/>
                <w:sz w:val="20"/>
              </w:rPr>
            </w:pPr>
            <w:r>
              <w:rPr>
                <w:color w:val="000000"/>
                <w:sz w:val="20"/>
              </w:rPr>
              <w:t>11</w:t>
            </w:r>
          </w:p>
        </w:tc>
        <w:tc>
          <w:tcPr>
            <w:tcW w:w="742" w:type="dxa"/>
            <w:tcBorders>
              <w:left w:val="single" w:sz="6" w:space="0" w:color="auto"/>
            </w:tcBorders>
          </w:tcPr>
          <w:p w:rsidR="00B40966" w:rsidRDefault="00B40966">
            <w:pPr>
              <w:ind w:right="67"/>
              <w:jc w:val="center"/>
              <w:rPr>
                <w:color w:val="000000"/>
                <w:sz w:val="20"/>
              </w:rPr>
            </w:pPr>
            <w:r>
              <w:rPr>
                <w:color w:val="000000"/>
                <w:sz w:val="20"/>
              </w:rPr>
              <w:t>1</w:t>
            </w:r>
          </w:p>
        </w:tc>
        <w:tc>
          <w:tcPr>
            <w:tcW w:w="770" w:type="dxa"/>
            <w:tcBorders>
              <w:right w:val="single" w:sz="6" w:space="0" w:color="auto"/>
            </w:tcBorders>
          </w:tcPr>
          <w:p w:rsidR="00B40966" w:rsidRDefault="00B40966">
            <w:pPr>
              <w:ind w:right="180"/>
              <w:jc w:val="center"/>
              <w:rPr>
                <w:color w:val="000000"/>
                <w:sz w:val="20"/>
              </w:rPr>
            </w:pPr>
            <w:r>
              <w:rPr>
                <w:color w:val="000000"/>
                <w:sz w:val="20"/>
              </w:rPr>
              <w:t>2</w:t>
            </w:r>
          </w:p>
        </w:tc>
        <w:tc>
          <w:tcPr>
            <w:tcW w:w="790" w:type="dxa"/>
          </w:tcPr>
          <w:p w:rsidR="00B40966" w:rsidRDefault="00B40966">
            <w:pPr>
              <w:ind w:right="67"/>
              <w:jc w:val="center"/>
              <w:rPr>
                <w:color w:val="000000"/>
                <w:sz w:val="20"/>
              </w:rPr>
            </w:pPr>
            <w:r>
              <w:rPr>
                <w:color w:val="000000"/>
                <w:sz w:val="20"/>
              </w:rPr>
              <w:t>0</w:t>
            </w:r>
          </w:p>
        </w:tc>
        <w:tc>
          <w:tcPr>
            <w:tcW w:w="674" w:type="dxa"/>
            <w:gridSpan w:val="2"/>
          </w:tcPr>
          <w:p w:rsidR="00B40966" w:rsidRDefault="00B40966">
            <w:pPr>
              <w:ind w:right="160"/>
              <w:jc w:val="center"/>
              <w:rPr>
                <w:color w:val="000000"/>
                <w:sz w:val="20"/>
              </w:rPr>
            </w:pPr>
            <w:r>
              <w:rPr>
                <w:color w:val="000000"/>
                <w:sz w:val="20"/>
              </w:rPr>
              <w:t>11</w:t>
            </w:r>
          </w:p>
        </w:tc>
      </w:tr>
      <w:tr w:rsidR="00B40966">
        <w:trPr>
          <w:cantSplit/>
          <w:trHeight w:val="200"/>
        </w:trPr>
        <w:tc>
          <w:tcPr>
            <w:tcW w:w="984" w:type="dxa"/>
            <w:tcBorders>
              <w:right w:val="single" w:sz="6" w:space="0" w:color="auto"/>
            </w:tcBorders>
          </w:tcPr>
          <w:p w:rsidR="00B40966" w:rsidRDefault="00B40966">
            <w:pPr>
              <w:spacing w:before="40" w:after="20"/>
              <w:ind w:left="20"/>
              <w:jc w:val="center"/>
              <w:rPr>
                <w:color w:val="000000"/>
                <w:sz w:val="20"/>
              </w:rPr>
            </w:pPr>
            <w:r>
              <w:rPr>
                <w:color w:val="000000"/>
                <w:sz w:val="20"/>
              </w:rPr>
              <w:t>2</w:t>
            </w:r>
          </w:p>
        </w:tc>
        <w:tc>
          <w:tcPr>
            <w:tcW w:w="924" w:type="dxa"/>
            <w:tcBorders>
              <w:right w:val="single" w:sz="6" w:space="0" w:color="auto"/>
            </w:tcBorders>
          </w:tcPr>
          <w:p w:rsidR="00B40966" w:rsidRDefault="00B40966">
            <w:pPr>
              <w:ind w:right="200"/>
              <w:jc w:val="center"/>
              <w:rPr>
                <w:color w:val="000000"/>
                <w:sz w:val="20"/>
              </w:rPr>
            </w:pPr>
            <w:r>
              <w:rPr>
                <w:color w:val="000000"/>
                <w:position w:val="4"/>
                <w:sz w:val="16"/>
              </w:rPr>
              <w:t>5</w:t>
            </w:r>
            <w:r>
              <w:rPr>
                <w:color w:val="000000"/>
                <w:sz w:val="20"/>
              </w:rPr>
              <w:t>/</w:t>
            </w:r>
            <w:r>
              <w:rPr>
                <w:color w:val="000000"/>
                <w:sz w:val="16"/>
              </w:rPr>
              <w:t>8</w:t>
            </w:r>
            <w:r>
              <w:rPr>
                <w:color w:val="000000"/>
                <w:sz w:val="20"/>
              </w:rPr>
              <w:t xml:space="preserve"> </w:t>
            </w:r>
          </w:p>
        </w:tc>
        <w:tc>
          <w:tcPr>
            <w:tcW w:w="672" w:type="dxa"/>
            <w:gridSpan w:val="2"/>
          </w:tcPr>
          <w:p w:rsidR="00B40966" w:rsidRDefault="00B40966">
            <w:pPr>
              <w:ind w:right="67"/>
              <w:jc w:val="center"/>
              <w:rPr>
                <w:color w:val="000000"/>
                <w:sz w:val="20"/>
              </w:rPr>
            </w:pPr>
            <w:r>
              <w:rPr>
                <w:color w:val="000000"/>
                <w:sz w:val="20"/>
              </w:rPr>
              <w:t>1</w:t>
            </w:r>
          </w:p>
        </w:tc>
        <w:tc>
          <w:tcPr>
            <w:tcW w:w="840" w:type="dxa"/>
          </w:tcPr>
          <w:p w:rsidR="00B40966" w:rsidRDefault="00B40966">
            <w:pPr>
              <w:ind w:right="160"/>
              <w:jc w:val="center"/>
              <w:rPr>
                <w:color w:val="000000"/>
                <w:sz w:val="20"/>
              </w:rPr>
            </w:pPr>
            <w:r>
              <w:rPr>
                <w:color w:val="000000"/>
                <w:sz w:val="20"/>
              </w:rPr>
              <w:t>5</w:t>
            </w:r>
          </w:p>
        </w:tc>
        <w:tc>
          <w:tcPr>
            <w:tcW w:w="600" w:type="dxa"/>
            <w:tcBorders>
              <w:left w:val="single" w:sz="6" w:space="0" w:color="auto"/>
            </w:tcBorders>
          </w:tcPr>
          <w:p w:rsidR="00B40966" w:rsidRDefault="00B40966">
            <w:pPr>
              <w:ind w:right="67"/>
              <w:jc w:val="center"/>
              <w:rPr>
                <w:color w:val="000000"/>
                <w:sz w:val="20"/>
              </w:rPr>
            </w:pPr>
            <w:r>
              <w:rPr>
                <w:color w:val="000000"/>
                <w:sz w:val="20"/>
              </w:rPr>
              <w:t>2</w:t>
            </w:r>
          </w:p>
        </w:tc>
        <w:tc>
          <w:tcPr>
            <w:tcW w:w="716" w:type="dxa"/>
          </w:tcPr>
          <w:p w:rsidR="00B40966" w:rsidRDefault="00B40966">
            <w:pPr>
              <w:ind w:right="67"/>
              <w:jc w:val="center"/>
              <w:rPr>
                <w:color w:val="000000"/>
                <w:sz w:val="20"/>
              </w:rPr>
            </w:pPr>
            <w:r>
              <w:rPr>
                <w:color w:val="000000"/>
                <w:sz w:val="20"/>
              </w:rPr>
              <w:t>8</w:t>
            </w:r>
          </w:p>
        </w:tc>
        <w:tc>
          <w:tcPr>
            <w:tcW w:w="764" w:type="dxa"/>
            <w:tcBorders>
              <w:left w:val="single" w:sz="6" w:space="0" w:color="auto"/>
            </w:tcBorders>
          </w:tcPr>
          <w:p w:rsidR="00B40966" w:rsidRDefault="00B40966">
            <w:pPr>
              <w:ind w:right="67"/>
              <w:jc w:val="center"/>
              <w:rPr>
                <w:color w:val="000000"/>
                <w:sz w:val="20"/>
              </w:rPr>
            </w:pPr>
            <w:r>
              <w:rPr>
                <w:color w:val="000000"/>
                <w:sz w:val="20"/>
              </w:rPr>
              <w:t>2</w:t>
            </w:r>
          </w:p>
        </w:tc>
        <w:tc>
          <w:tcPr>
            <w:tcW w:w="844" w:type="dxa"/>
          </w:tcPr>
          <w:p w:rsidR="00B40966" w:rsidRDefault="00B40966">
            <w:pPr>
              <w:ind w:right="67"/>
              <w:jc w:val="center"/>
              <w:rPr>
                <w:color w:val="000000"/>
                <w:sz w:val="20"/>
              </w:rPr>
            </w:pPr>
            <w:r>
              <w:rPr>
                <w:color w:val="000000"/>
                <w:sz w:val="20"/>
              </w:rPr>
              <w:t>3</w:t>
            </w:r>
          </w:p>
        </w:tc>
        <w:tc>
          <w:tcPr>
            <w:tcW w:w="756" w:type="dxa"/>
            <w:tcBorders>
              <w:left w:val="single" w:sz="6" w:space="0" w:color="auto"/>
            </w:tcBorders>
          </w:tcPr>
          <w:p w:rsidR="00B40966" w:rsidRDefault="00B40966">
            <w:pPr>
              <w:ind w:right="67"/>
              <w:jc w:val="center"/>
              <w:rPr>
                <w:color w:val="000000"/>
                <w:sz w:val="20"/>
              </w:rPr>
            </w:pPr>
            <w:r>
              <w:rPr>
                <w:color w:val="000000"/>
                <w:sz w:val="20"/>
              </w:rPr>
              <w:t>1</w:t>
            </w:r>
          </w:p>
        </w:tc>
        <w:tc>
          <w:tcPr>
            <w:tcW w:w="804" w:type="dxa"/>
          </w:tcPr>
          <w:p w:rsidR="00B40966" w:rsidRDefault="00B40966">
            <w:pPr>
              <w:ind w:right="146"/>
              <w:jc w:val="center"/>
              <w:rPr>
                <w:color w:val="000000"/>
                <w:sz w:val="20"/>
              </w:rPr>
            </w:pPr>
            <w:r>
              <w:rPr>
                <w:color w:val="000000"/>
                <w:sz w:val="20"/>
              </w:rPr>
              <w:t>15</w:t>
            </w:r>
          </w:p>
        </w:tc>
        <w:tc>
          <w:tcPr>
            <w:tcW w:w="742" w:type="dxa"/>
            <w:tcBorders>
              <w:left w:val="single" w:sz="6" w:space="0" w:color="auto"/>
            </w:tcBorders>
          </w:tcPr>
          <w:p w:rsidR="00B40966" w:rsidRDefault="00B40966">
            <w:pPr>
              <w:ind w:right="67"/>
              <w:jc w:val="center"/>
              <w:rPr>
                <w:color w:val="000000"/>
                <w:sz w:val="20"/>
              </w:rPr>
            </w:pPr>
            <w:r>
              <w:rPr>
                <w:color w:val="000000"/>
                <w:sz w:val="20"/>
              </w:rPr>
              <w:t>1</w:t>
            </w:r>
          </w:p>
        </w:tc>
        <w:tc>
          <w:tcPr>
            <w:tcW w:w="770" w:type="dxa"/>
            <w:tcBorders>
              <w:right w:val="single" w:sz="6" w:space="0" w:color="auto"/>
            </w:tcBorders>
          </w:tcPr>
          <w:p w:rsidR="00B40966" w:rsidRDefault="00B40966">
            <w:pPr>
              <w:ind w:right="180"/>
              <w:jc w:val="center"/>
              <w:rPr>
                <w:color w:val="000000"/>
                <w:sz w:val="20"/>
              </w:rPr>
            </w:pPr>
            <w:r>
              <w:rPr>
                <w:color w:val="000000"/>
                <w:sz w:val="20"/>
              </w:rPr>
              <w:t>5</w:t>
            </w:r>
          </w:p>
        </w:tc>
        <w:tc>
          <w:tcPr>
            <w:tcW w:w="790" w:type="dxa"/>
          </w:tcPr>
          <w:p w:rsidR="00B40966" w:rsidRDefault="00B40966">
            <w:pPr>
              <w:ind w:right="67"/>
              <w:jc w:val="center"/>
              <w:rPr>
                <w:color w:val="000000"/>
                <w:sz w:val="20"/>
              </w:rPr>
            </w:pPr>
            <w:r>
              <w:rPr>
                <w:color w:val="000000"/>
                <w:sz w:val="20"/>
              </w:rPr>
              <w:t>0</w:t>
            </w:r>
          </w:p>
        </w:tc>
        <w:tc>
          <w:tcPr>
            <w:tcW w:w="674" w:type="dxa"/>
            <w:gridSpan w:val="2"/>
          </w:tcPr>
          <w:p w:rsidR="00B40966" w:rsidRDefault="00B40966">
            <w:pPr>
              <w:ind w:right="160"/>
              <w:jc w:val="center"/>
              <w:rPr>
                <w:color w:val="000000"/>
                <w:sz w:val="20"/>
              </w:rPr>
            </w:pPr>
            <w:r>
              <w:rPr>
                <w:color w:val="000000"/>
                <w:sz w:val="20"/>
              </w:rPr>
              <w:t>13</w:t>
            </w:r>
          </w:p>
        </w:tc>
      </w:tr>
      <w:tr w:rsidR="00B40966">
        <w:trPr>
          <w:cantSplit/>
          <w:trHeight w:val="200"/>
        </w:trPr>
        <w:tc>
          <w:tcPr>
            <w:tcW w:w="984" w:type="dxa"/>
            <w:tcBorders>
              <w:right w:val="single" w:sz="6" w:space="0" w:color="auto"/>
            </w:tcBorders>
          </w:tcPr>
          <w:p w:rsidR="00B40966" w:rsidRDefault="00B40966">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8</w:t>
            </w:r>
          </w:p>
        </w:tc>
        <w:tc>
          <w:tcPr>
            <w:tcW w:w="924" w:type="dxa"/>
            <w:tcBorders>
              <w:right w:val="single" w:sz="6" w:space="0" w:color="auto"/>
            </w:tcBorders>
          </w:tcPr>
          <w:p w:rsidR="00B40966" w:rsidRDefault="00B40966">
            <w:pPr>
              <w:ind w:right="200"/>
              <w:jc w:val="center"/>
              <w:rPr>
                <w:color w:val="000000"/>
                <w:sz w:val="20"/>
              </w:rPr>
            </w:pPr>
            <w:r>
              <w:rPr>
                <w:color w:val="000000"/>
                <w:position w:val="4"/>
                <w:sz w:val="16"/>
              </w:rPr>
              <w:t>11</w:t>
            </w:r>
            <w:r>
              <w:rPr>
                <w:color w:val="000000"/>
                <w:sz w:val="20"/>
              </w:rPr>
              <w:t>/</w:t>
            </w:r>
            <w:r>
              <w:rPr>
                <w:color w:val="000000"/>
                <w:sz w:val="16"/>
              </w:rPr>
              <w:t>16</w:t>
            </w:r>
            <w:r>
              <w:rPr>
                <w:color w:val="000000"/>
                <w:sz w:val="20"/>
              </w:rPr>
              <w:t xml:space="preserve"> </w:t>
            </w:r>
          </w:p>
        </w:tc>
        <w:tc>
          <w:tcPr>
            <w:tcW w:w="672" w:type="dxa"/>
            <w:gridSpan w:val="2"/>
          </w:tcPr>
          <w:p w:rsidR="00B40966" w:rsidRDefault="00B40966">
            <w:pPr>
              <w:ind w:right="67"/>
              <w:jc w:val="center"/>
              <w:rPr>
                <w:color w:val="000000"/>
                <w:sz w:val="20"/>
              </w:rPr>
            </w:pPr>
            <w:r>
              <w:rPr>
                <w:color w:val="000000"/>
                <w:sz w:val="20"/>
              </w:rPr>
              <w:t>1</w:t>
            </w:r>
          </w:p>
        </w:tc>
        <w:tc>
          <w:tcPr>
            <w:tcW w:w="840" w:type="dxa"/>
          </w:tcPr>
          <w:p w:rsidR="00B40966" w:rsidRDefault="00B40966">
            <w:pPr>
              <w:ind w:right="160"/>
              <w:jc w:val="center"/>
              <w:rPr>
                <w:color w:val="000000"/>
                <w:sz w:val="20"/>
              </w:rPr>
            </w:pPr>
            <w:r>
              <w:rPr>
                <w:color w:val="000000"/>
                <w:sz w:val="20"/>
              </w:rPr>
              <w:t>8</w:t>
            </w:r>
          </w:p>
        </w:tc>
        <w:tc>
          <w:tcPr>
            <w:tcW w:w="600" w:type="dxa"/>
            <w:tcBorders>
              <w:left w:val="single" w:sz="6" w:space="0" w:color="auto"/>
            </w:tcBorders>
          </w:tcPr>
          <w:p w:rsidR="00B40966" w:rsidRDefault="00B40966">
            <w:pPr>
              <w:ind w:right="67"/>
              <w:jc w:val="center"/>
              <w:rPr>
                <w:color w:val="000000"/>
                <w:sz w:val="20"/>
              </w:rPr>
            </w:pPr>
            <w:r>
              <w:rPr>
                <w:color w:val="000000"/>
                <w:sz w:val="20"/>
              </w:rPr>
              <w:t>2</w:t>
            </w:r>
          </w:p>
        </w:tc>
        <w:tc>
          <w:tcPr>
            <w:tcW w:w="716" w:type="dxa"/>
          </w:tcPr>
          <w:p w:rsidR="00B40966" w:rsidRDefault="00B40966">
            <w:pPr>
              <w:ind w:right="67"/>
              <w:jc w:val="center"/>
              <w:rPr>
                <w:color w:val="000000"/>
                <w:sz w:val="20"/>
              </w:rPr>
            </w:pPr>
            <w:r>
              <w:rPr>
                <w:color w:val="000000"/>
                <w:sz w:val="20"/>
              </w:rPr>
              <w:t>14</w:t>
            </w:r>
          </w:p>
        </w:tc>
        <w:tc>
          <w:tcPr>
            <w:tcW w:w="764" w:type="dxa"/>
            <w:tcBorders>
              <w:left w:val="single" w:sz="6" w:space="0" w:color="auto"/>
            </w:tcBorders>
          </w:tcPr>
          <w:p w:rsidR="00B40966" w:rsidRDefault="00B40966">
            <w:pPr>
              <w:ind w:right="67"/>
              <w:jc w:val="center"/>
              <w:rPr>
                <w:color w:val="000000"/>
                <w:sz w:val="20"/>
              </w:rPr>
            </w:pPr>
            <w:r>
              <w:rPr>
                <w:color w:val="000000"/>
                <w:sz w:val="20"/>
              </w:rPr>
              <w:t>2</w:t>
            </w:r>
          </w:p>
        </w:tc>
        <w:tc>
          <w:tcPr>
            <w:tcW w:w="844" w:type="dxa"/>
          </w:tcPr>
          <w:p w:rsidR="00B40966" w:rsidRDefault="00B40966">
            <w:pPr>
              <w:ind w:right="67"/>
              <w:jc w:val="center"/>
              <w:rPr>
                <w:color w:val="000000"/>
                <w:sz w:val="20"/>
              </w:rPr>
            </w:pPr>
            <w:r>
              <w:rPr>
                <w:color w:val="000000"/>
                <w:sz w:val="20"/>
              </w:rPr>
              <w:t>8</w:t>
            </w:r>
          </w:p>
        </w:tc>
        <w:tc>
          <w:tcPr>
            <w:tcW w:w="756" w:type="dxa"/>
            <w:tcBorders>
              <w:left w:val="single" w:sz="6" w:space="0" w:color="auto"/>
            </w:tcBorders>
          </w:tcPr>
          <w:p w:rsidR="00B40966" w:rsidRDefault="00B40966">
            <w:pPr>
              <w:ind w:right="67"/>
              <w:jc w:val="center"/>
              <w:rPr>
                <w:color w:val="000000"/>
                <w:sz w:val="20"/>
              </w:rPr>
            </w:pPr>
            <w:r>
              <w:rPr>
                <w:color w:val="000000"/>
                <w:sz w:val="20"/>
              </w:rPr>
              <w:t>2</w:t>
            </w:r>
          </w:p>
        </w:tc>
        <w:tc>
          <w:tcPr>
            <w:tcW w:w="804" w:type="dxa"/>
          </w:tcPr>
          <w:p w:rsidR="00B40966" w:rsidRDefault="00B40966">
            <w:pPr>
              <w:ind w:right="146"/>
              <w:jc w:val="center"/>
              <w:rPr>
                <w:color w:val="000000"/>
                <w:sz w:val="20"/>
              </w:rPr>
            </w:pPr>
            <w:r>
              <w:rPr>
                <w:color w:val="000000"/>
                <w:sz w:val="20"/>
              </w:rPr>
              <w:t>0</w:t>
            </w:r>
          </w:p>
        </w:tc>
        <w:tc>
          <w:tcPr>
            <w:tcW w:w="742" w:type="dxa"/>
            <w:tcBorders>
              <w:left w:val="single" w:sz="6" w:space="0" w:color="auto"/>
            </w:tcBorders>
          </w:tcPr>
          <w:p w:rsidR="00B40966" w:rsidRDefault="00B40966">
            <w:pPr>
              <w:ind w:right="67"/>
              <w:jc w:val="center"/>
              <w:rPr>
                <w:color w:val="000000"/>
                <w:sz w:val="20"/>
              </w:rPr>
            </w:pPr>
            <w:r>
              <w:rPr>
                <w:color w:val="000000"/>
                <w:sz w:val="20"/>
              </w:rPr>
              <w:t>1</w:t>
            </w:r>
          </w:p>
        </w:tc>
        <w:tc>
          <w:tcPr>
            <w:tcW w:w="770" w:type="dxa"/>
            <w:tcBorders>
              <w:right w:val="single" w:sz="6" w:space="0" w:color="auto"/>
            </w:tcBorders>
          </w:tcPr>
          <w:p w:rsidR="00B40966" w:rsidRDefault="00B40966">
            <w:pPr>
              <w:ind w:right="180"/>
              <w:jc w:val="center"/>
              <w:rPr>
                <w:color w:val="000000"/>
                <w:sz w:val="20"/>
              </w:rPr>
            </w:pPr>
            <w:r>
              <w:rPr>
                <w:color w:val="000000"/>
                <w:sz w:val="20"/>
              </w:rPr>
              <w:t>8</w:t>
            </w:r>
          </w:p>
        </w:tc>
        <w:tc>
          <w:tcPr>
            <w:tcW w:w="790" w:type="dxa"/>
          </w:tcPr>
          <w:p w:rsidR="00B40966" w:rsidRDefault="00B40966">
            <w:pPr>
              <w:ind w:right="67"/>
              <w:jc w:val="center"/>
              <w:rPr>
                <w:color w:val="000000"/>
                <w:sz w:val="20"/>
              </w:rPr>
            </w:pPr>
            <w:r>
              <w:rPr>
                <w:color w:val="000000"/>
                <w:sz w:val="20"/>
              </w:rPr>
              <w:t>0</w:t>
            </w:r>
          </w:p>
        </w:tc>
        <w:tc>
          <w:tcPr>
            <w:tcW w:w="674" w:type="dxa"/>
            <w:gridSpan w:val="2"/>
          </w:tcPr>
          <w:p w:rsidR="00B40966" w:rsidRDefault="00B40966">
            <w:pPr>
              <w:ind w:right="160"/>
              <w:jc w:val="center"/>
              <w:rPr>
                <w:color w:val="000000"/>
                <w:sz w:val="20"/>
              </w:rPr>
            </w:pPr>
            <w:r>
              <w:rPr>
                <w:color w:val="000000"/>
                <w:sz w:val="20"/>
              </w:rPr>
              <w:t>15</w:t>
            </w:r>
          </w:p>
        </w:tc>
      </w:tr>
      <w:tr w:rsidR="00B40966">
        <w:trPr>
          <w:cantSplit/>
          <w:trHeight w:val="200"/>
        </w:trPr>
        <w:tc>
          <w:tcPr>
            <w:tcW w:w="984" w:type="dxa"/>
            <w:tcBorders>
              <w:right w:val="single" w:sz="6" w:space="0" w:color="auto"/>
            </w:tcBorders>
          </w:tcPr>
          <w:p w:rsidR="00B40966" w:rsidRDefault="00B40966">
            <w:pPr>
              <w:spacing w:before="2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4</w:t>
            </w:r>
          </w:p>
        </w:tc>
        <w:tc>
          <w:tcPr>
            <w:tcW w:w="924" w:type="dxa"/>
            <w:tcBorders>
              <w:right w:val="single" w:sz="6" w:space="0" w:color="auto"/>
            </w:tcBorders>
          </w:tcPr>
          <w:p w:rsidR="00B40966" w:rsidRDefault="00B40966">
            <w:pPr>
              <w:ind w:right="200"/>
              <w:jc w:val="center"/>
              <w:rPr>
                <w:color w:val="000000"/>
                <w:sz w:val="20"/>
              </w:rPr>
            </w:pPr>
            <w:r>
              <w:rPr>
                <w:color w:val="000000"/>
                <w:position w:val="4"/>
                <w:sz w:val="16"/>
              </w:rPr>
              <w:t>23</w:t>
            </w:r>
            <w:r>
              <w:rPr>
                <w:color w:val="000000"/>
                <w:sz w:val="20"/>
              </w:rPr>
              <w:t>/</w:t>
            </w:r>
            <w:r>
              <w:rPr>
                <w:color w:val="000000"/>
                <w:sz w:val="16"/>
              </w:rPr>
              <w:t>32</w:t>
            </w:r>
            <w:r>
              <w:rPr>
                <w:color w:val="000000"/>
                <w:sz w:val="20"/>
              </w:rPr>
              <w:t xml:space="preserve"> </w:t>
            </w:r>
          </w:p>
        </w:tc>
        <w:tc>
          <w:tcPr>
            <w:tcW w:w="672" w:type="dxa"/>
            <w:gridSpan w:val="2"/>
          </w:tcPr>
          <w:p w:rsidR="00B40966" w:rsidRDefault="00B40966">
            <w:pPr>
              <w:ind w:right="67"/>
              <w:jc w:val="center"/>
              <w:rPr>
                <w:color w:val="000000"/>
                <w:sz w:val="20"/>
              </w:rPr>
            </w:pPr>
            <w:r>
              <w:rPr>
                <w:color w:val="000000"/>
                <w:sz w:val="20"/>
              </w:rPr>
              <w:t>1</w:t>
            </w:r>
          </w:p>
        </w:tc>
        <w:tc>
          <w:tcPr>
            <w:tcW w:w="840" w:type="dxa"/>
          </w:tcPr>
          <w:p w:rsidR="00B40966" w:rsidRDefault="00B40966">
            <w:pPr>
              <w:ind w:right="160"/>
              <w:jc w:val="center"/>
              <w:rPr>
                <w:color w:val="000000"/>
                <w:sz w:val="20"/>
              </w:rPr>
            </w:pPr>
            <w:r>
              <w:rPr>
                <w:color w:val="000000"/>
                <w:sz w:val="20"/>
              </w:rPr>
              <w:t>12</w:t>
            </w:r>
          </w:p>
        </w:tc>
        <w:tc>
          <w:tcPr>
            <w:tcW w:w="600" w:type="dxa"/>
            <w:tcBorders>
              <w:left w:val="single" w:sz="6" w:space="0" w:color="auto"/>
            </w:tcBorders>
          </w:tcPr>
          <w:p w:rsidR="00B40966" w:rsidRDefault="00B40966">
            <w:pPr>
              <w:ind w:right="67"/>
              <w:jc w:val="center"/>
              <w:rPr>
                <w:color w:val="000000"/>
                <w:sz w:val="20"/>
              </w:rPr>
            </w:pPr>
            <w:r>
              <w:rPr>
                <w:color w:val="000000"/>
                <w:sz w:val="20"/>
              </w:rPr>
              <w:t>3</w:t>
            </w:r>
          </w:p>
        </w:tc>
        <w:tc>
          <w:tcPr>
            <w:tcW w:w="716" w:type="dxa"/>
          </w:tcPr>
          <w:p w:rsidR="00B40966" w:rsidRDefault="00B40966">
            <w:pPr>
              <w:ind w:right="67"/>
              <w:jc w:val="center"/>
              <w:rPr>
                <w:color w:val="000000"/>
                <w:sz w:val="20"/>
              </w:rPr>
            </w:pPr>
            <w:r>
              <w:rPr>
                <w:color w:val="000000"/>
                <w:sz w:val="20"/>
              </w:rPr>
              <w:t>2</w:t>
            </w:r>
          </w:p>
        </w:tc>
        <w:tc>
          <w:tcPr>
            <w:tcW w:w="764" w:type="dxa"/>
            <w:tcBorders>
              <w:left w:val="single" w:sz="6" w:space="0" w:color="auto"/>
            </w:tcBorders>
          </w:tcPr>
          <w:p w:rsidR="00B40966" w:rsidRDefault="00B40966">
            <w:pPr>
              <w:ind w:right="67"/>
              <w:jc w:val="center"/>
              <w:rPr>
                <w:color w:val="000000"/>
                <w:sz w:val="20"/>
              </w:rPr>
            </w:pPr>
            <w:r>
              <w:rPr>
                <w:color w:val="000000"/>
                <w:sz w:val="20"/>
              </w:rPr>
              <w:t>2</w:t>
            </w:r>
          </w:p>
        </w:tc>
        <w:tc>
          <w:tcPr>
            <w:tcW w:w="844" w:type="dxa"/>
          </w:tcPr>
          <w:p w:rsidR="00B40966" w:rsidRDefault="00B40966">
            <w:pPr>
              <w:ind w:right="67"/>
              <w:jc w:val="center"/>
              <w:rPr>
                <w:color w:val="000000"/>
                <w:sz w:val="20"/>
              </w:rPr>
            </w:pPr>
            <w:r>
              <w:rPr>
                <w:color w:val="000000"/>
                <w:sz w:val="20"/>
              </w:rPr>
              <w:t>15</w:t>
            </w:r>
          </w:p>
        </w:tc>
        <w:tc>
          <w:tcPr>
            <w:tcW w:w="756" w:type="dxa"/>
            <w:tcBorders>
              <w:left w:val="single" w:sz="6" w:space="0" w:color="auto"/>
            </w:tcBorders>
          </w:tcPr>
          <w:p w:rsidR="00B40966" w:rsidRDefault="00B40966">
            <w:pPr>
              <w:ind w:right="67"/>
              <w:jc w:val="center"/>
              <w:rPr>
                <w:color w:val="000000"/>
                <w:sz w:val="20"/>
              </w:rPr>
            </w:pPr>
            <w:r>
              <w:rPr>
                <w:color w:val="000000"/>
                <w:sz w:val="20"/>
              </w:rPr>
              <w:t>2</w:t>
            </w:r>
          </w:p>
        </w:tc>
        <w:tc>
          <w:tcPr>
            <w:tcW w:w="804" w:type="dxa"/>
          </w:tcPr>
          <w:p w:rsidR="00B40966" w:rsidRDefault="00B40966">
            <w:pPr>
              <w:ind w:right="146"/>
              <w:jc w:val="center"/>
              <w:rPr>
                <w:color w:val="000000"/>
                <w:sz w:val="20"/>
              </w:rPr>
            </w:pPr>
            <w:r>
              <w:rPr>
                <w:color w:val="000000"/>
                <w:sz w:val="20"/>
              </w:rPr>
              <w:t>5</w:t>
            </w:r>
          </w:p>
        </w:tc>
        <w:tc>
          <w:tcPr>
            <w:tcW w:w="742" w:type="dxa"/>
            <w:tcBorders>
              <w:left w:val="single" w:sz="6" w:space="0" w:color="auto"/>
            </w:tcBorders>
          </w:tcPr>
          <w:p w:rsidR="00B40966" w:rsidRDefault="00B40966">
            <w:pPr>
              <w:ind w:right="67"/>
              <w:jc w:val="center"/>
              <w:rPr>
                <w:color w:val="000000"/>
                <w:sz w:val="20"/>
              </w:rPr>
            </w:pPr>
            <w:r>
              <w:rPr>
                <w:color w:val="000000"/>
                <w:sz w:val="20"/>
              </w:rPr>
              <w:t>1</w:t>
            </w:r>
          </w:p>
        </w:tc>
        <w:tc>
          <w:tcPr>
            <w:tcW w:w="770" w:type="dxa"/>
            <w:tcBorders>
              <w:right w:val="single" w:sz="6" w:space="0" w:color="auto"/>
            </w:tcBorders>
          </w:tcPr>
          <w:p w:rsidR="00B40966" w:rsidRDefault="00B40966">
            <w:pPr>
              <w:ind w:right="180"/>
              <w:jc w:val="center"/>
              <w:rPr>
                <w:color w:val="000000"/>
                <w:sz w:val="20"/>
              </w:rPr>
            </w:pPr>
            <w:r>
              <w:rPr>
                <w:color w:val="000000"/>
                <w:sz w:val="20"/>
              </w:rPr>
              <w:t>12</w:t>
            </w:r>
          </w:p>
        </w:tc>
        <w:tc>
          <w:tcPr>
            <w:tcW w:w="790" w:type="dxa"/>
          </w:tcPr>
          <w:p w:rsidR="00B40966" w:rsidRDefault="00B40966">
            <w:pPr>
              <w:ind w:right="67"/>
              <w:jc w:val="center"/>
              <w:rPr>
                <w:color w:val="000000"/>
                <w:sz w:val="20"/>
              </w:rPr>
            </w:pPr>
            <w:r>
              <w:rPr>
                <w:color w:val="000000"/>
                <w:sz w:val="20"/>
              </w:rPr>
              <w:t>0</w:t>
            </w:r>
          </w:p>
        </w:tc>
        <w:tc>
          <w:tcPr>
            <w:tcW w:w="674" w:type="dxa"/>
            <w:gridSpan w:val="2"/>
          </w:tcPr>
          <w:p w:rsidR="00B40966" w:rsidRDefault="00B40966">
            <w:pPr>
              <w:ind w:right="160"/>
              <w:jc w:val="center"/>
              <w:rPr>
                <w:color w:val="000000"/>
                <w:sz w:val="20"/>
              </w:rPr>
            </w:pPr>
            <w:r>
              <w:rPr>
                <w:color w:val="000000"/>
                <w:sz w:val="20"/>
              </w:rPr>
              <w:t>17</w:t>
            </w:r>
          </w:p>
        </w:tc>
      </w:tr>
      <w:tr w:rsidR="00B40966">
        <w:trPr>
          <w:cantSplit/>
          <w:trHeight w:val="200"/>
        </w:trPr>
        <w:tc>
          <w:tcPr>
            <w:tcW w:w="984" w:type="dxa"/>
            <w:tcBorders>
              <w:right w:val="single" w:sz="6" w:space="0" w:color="auto"/>
            </w:tcBorders>
          </w:tcPr>
          <w:p w:rsidR="00B40966" w:rsidRDefault="00B40966">
            <w:pPr>
              <w:spacing w:before="20" w:after="20"/>
              <w:ind w:left="20"/>
              <w:jc w:val="center"/>
              <w:rPr>
                <w:color w:val="000000"/>
                <w:sz w:val="20"/>
              </w:rPr>
            </w:pPr>
            <w:r>
              <w:rPr>
                <w:color w:val="000000"/>
                <w:sz w:val="20"/>
              </w:rPr>
              <w:t>2</w:t>
            </w:r>
            <w:r>
              <w:rPr>
                <w:color w:val="000000"/>
                <w:position w:val="4"/>
                <w:sz w:val="16"/>
              </w:rPr>
              <w:t>3</w:t>
            </w:r>
            <w:r>
              <w:rPr>
                <w:color w:val="000000"/>
                <w:sz w:val="20"/>
              </w:rPr>
              <w:t>/</w:t>
            </w:r>
            <w:r>
              <w:rPr>
                <w:color w:val="000000"/>
                <w:sz w:val="16"/>
              </w:rPr>
              <w:t>8</w:t>
            </w:r>
          </w:p>
        </w:tc>
        <w:tc>
          <w:tcPr>
            <w:tcW w:w="924" w:type="dxa"/>
            <w:tcBorders>
              <w:right w:val="single" w:sz="6" w:space="0" w:color="auto"/>
            </w:tcBorders>
          </w:tcPr>
          <w:p w:rsidR="00B40966" w:rsidRDefault="00B40966">
            <w:pPr>
              <w:ind w:right="200"/>
              <w:jc w:val="center"/>
              <w:rPr>
                <w:color w:val="000000"/>
                <w:sz w:val="20"/>
              </w:rPr>
            </w:pPr>
            <w:r>
              <w:rPr>
                <w:color w:val="000000"/>
                <w:position w:val="4"/>
                <w:sz w:val="16"/>
              </w:rPr>
              <w:t>3</w:t>
            </w:r>
            <w:r>
              <w:rPr>
                <w:color w:val="000000"/>
                <w:sz w:val="20"/>
              </w:rPr>
              <w:t>/</w:t>
            </w:r>
            <w:r>
              <w:rPr>
                <w:color w:val="000000"/>
                <w:sz w:val="16"/>
              </w:rPr>
              <w:t>4</w:t>
            </w:r>
            <w:r>
              <w:rPr>
                <w:color w:val="000000"/>
                <w:sz w:val="20"/>
              </w:rPr>
              <w:t xml:space="preserve"> </w:t>
            </w:r>
          </w:p>
        </w:tc>
        <w:tc>
          <w:tcPr>
            <w:tcW w:w="672" w:type="dxa"/>
            <w:gridSpan w:val="2"/>
          </w:tcPr>
          <w:p w:rsidR="00B40966" w:rsidRDefault="00B40966">
            <w:pPr>
              <w:ind w:right="67"/>
              <w:jc w:val="center"/>
              <w:rPr>
                <w:color w:val="000000"/>
                <w:sz w:val="20"/>
              </w:rPr>
            </w:pPr>
            <w:r>
              <w:rPr>
                <w:color w:val="000000"/>
                <w:sz w:val="20"/>
              </w:rPr>
              <w:t>1</w:t>
            </w:r>
          </w:p>
        </w:tc>
        <w:tc>
          <w:tcPr>
            <w:tcW w:w="840" w:type="dxa"/>
          </w:tcPr>
          <w:p w:rsidR="00B40966" w:rsidRDefault="00B40966">
            <w:pPr>
              <w:ind w:right="160"/>
              <w:jc w:val="center"/>
              <w:rPr>
                <w:color w:val="000000"/>
                <w:sz w:val="20"/>
              </w:rPr>
            </w:pPr>
            <w:r>
              <w:rPr>
                <w:color w:val="000000"/>
                <w:sz w:val="20"/>
              </w:rPr>
              <w:t>16</w:t>
            </w:r>
          </w:p>
        </w:tc>
        <w:tc>
          <w:tcPr>
            <w:tcW w:w="600" w:type="dxa"/>
            <w:tcBorders>
              <w:left w:val="single" w:sz="6" w:space="0" w:color="auto"/>
            </w:tcBorders>
          </w:tcPr>
          <w:p w:rsidR="00B40966" w:rsidRDefault="00B40966">
            <w:pPr>
              <w:ind w:right="67"/>
              <w:jc w:val="center"/>
              <w:rPr>
                <w:color w:val="000000"/>
                <w:sz w:val="20"/>
              </w:rPr>
            </w:pPr>
            <w:r>
              <w:rPr>
                <w:color w:val="000000"/>
                <w:sz w:val="20"/>
              </w:rPr>
              <w:t>3</w:t>
            </w:r>
          </w:p>
        </w:tc>
        <w:tc>
          <w:tcPr>
            <w:tcW w:w="716" w:type="dxa"/>
          </w:tcPr>
          <w:p w:rsidR="00B40966" w:rsidRDefault="00B40966">
            <w:pPr>
              <w:ind w:right="67"/>
              <w:jc w:val="center"/>
              <w:rPr>
                <w:color w:val="000000"/>
                <w:sz w:val="20"/>
              </w:rPr>
            </w:pPr>
            <w:r>
              <w:rPr>
                <w:color w:val="000000"/>
                <w:sz w:val="20"/>
              </w:rPr>
              <w:t>10</w:t>
            </w:r>
          </w:p>
        </w:tc>
        <w:tc>
          <w:tcPr>
            <w:tcW w:w="764" w:type="dxa"/>
            <w:tcBorders>
              <w:left w:val="single" w:sz="6" w:space="0" w:color="auto"/>
            </w:tcBorders>
          </w:tcPr>
          <w:p w:rsidR="00B40966" w:rsidRDefault="00B40966">
            <w:pPr>
              <w:ind w:right="67"/>
              <w:jc w:val="center"/>
              <w:rPr>
                <w:color w:val="000000"/>
                <w:sz w:val="20"/>
              </w:rPr>
            </w:pPr>
            <w:r>
              <w:rPr>
                <w:color w:val="000000"/>
                <w:sz w:val="20"/>
              </w:rPr>
              <w:t>3</w:t>
            </w:r>
          </w:p>
        </w:tc>
        <w:tc>
          <w:tcPr>
            <w:tcW w:w="844" w:type="dxa"/>
          </w:tcPr>
          <w:p w:rsidR="00B40966" w:rsidRDefault="00B40966">
            <w:pPr>
              <w:ind w:right="67"/>
              <w:jc w:val="center"/>
              <w:rPr>
                <w:color w:val="000000"/>
                <w:sz w:val="20"/>
              </w:rPr>
            </w:pPr>
            <w:r>
              <w:rPr>
                <w:color w:val="000000"/>
                <w:sz w:val="20"/>
              </w:rPr>
              <w:t>2</w:t>
            </w:r>
          </w:p>
        </w:tc>
        <w:tc>
          <w:tcPr>
            <w:tcW w:w="756" w:type="dxa"/>
            <w:tcBorders>
              <w:left w:val="single" w:sz="6" w:space="0" w:color="auto"/>
            </w:tcBorders>
          </w:tcPr>
          <w:p w:rsidR="00B40966" w:rsidRDefault="00B40966">
            <w:pPr>
              <w:ind w:right="67"/>
              <w:jc w:val="center"/>
              <w:rPr>
                <w:color w:val="000000"/>
                <w:sz w:val="20"/>
              </w:rPr>
            </w:pPr>
            <w:r>
              <w:rPr>
                <w:color w:val="000000"/>
                <w:sz w:val="20"/>
              </w:rPr>
              <w:t>2</w:t>
            </w:r>
          </w:p>
        </w:tc>
        <w:tc>
          <w:tcPr>
            <w:tcW w:w="804" w:type="dxa"/>
          </w:tcPr>
          <w:p w:rsidR="00B40966" w:rsidRDefault="00B40966">
            <w:pPr>
              <w:ind w:right="146"/>
              <w:jc w:val="center"/>
              <w:rPr>
                <w:color w:val="000000"/>
                <w:sz w:val="20"/>
              </w:rPr>
            </w:pPr>
            <w:r>
              <w:rPr>
                <w:color w:val="000000"/>
                <w:sz w:val="20"/>
              </w:rPr>
              <w:t>11</w:t>
            </w:r>
          </w:p>
        </w:tc>
        <w:tc>
          <w:tcPr>
            <w:tcW w:w="742" w:type="dxa"/>
            <w:tcBorders>
              <w:left w:val="single" w:sz="6" w:space="0" w:color="auto"/>
            </w:tcBorders>
          </w:tcPr>
          <w:p w:rsidR="00B40966" w:rsidRDefault="00B40966">
            <w:pPr>
              <w:ind w:right="67"/>
              <w:jc w:val="center"/>
              <w:rPr>
                <w:color w:val="000000"/>
                <w:sz w:val="20"/>
              </w:rPr>
            </w:pPr>
            <w:r>
              <w:rPr>
                <w:color w:val="000000"/>
                <w:sz w:val="20"/>
              </w:rPr>
              <w:t>1</w:t>
            </w:r>
          </w:p>
        </w:tc>
        <w:tc>
          <w:tcPr>
            <w:tcW w:w="770" w:type="dxa"/>
            <w:tcBorders>
              <w:right w:val="single" w:sz="6" w:space="0" w:color="auto"/>
            </w:tcBorders>
          </w:tcPr>
          <w:p w:rsidR="00B40966" w:rsidRDefault="00B40966">
            <w:pPr>
              <w:ind w:right="180"/>
              <w:jc w:val="center"/>
              <w:rPr>
                <w:color w:val="000000"/>
                <w:sz w:val="20"/>
              </w:rPr>
            </w:pPr>
            <w:r>
              <w:rPr>
                <w:color w:val="000000"/>
                <w:sz w:val="20"/>
              </w:rPr>
              <w:t>16</w:t>
            </w:r>
          </w:p>
        </w:tc>
        <w:tc>
          <w:tcPr>
            <w:tcW w:w="790" w:type="dxa"/>
          </w:tcPr>
          <w:p w:rsidR="00B40966" w:rsidRDefault="00B40966">
            <w:pPr>
              <w:ind w:right="67"/>
              <w:jc w:val="center"/>
              <w:rPr>
                <w:color w:val="000000"/>
                <w:sz w:val="20"/>
              </w:rPr>
            </w:pPr>
            <w:r>
              <w:rPr>
                <w:color w:val="000000"/>
                <w:sz w:val="20"/>
              </w:rPr>
              <w:t>0</w:t>
            </w:r>
          </w:p>
        </w:tc>
        <w:tc>
          <w:tcPr>
            <w:tcW w:w="674" w:type="dxa"/>
            <w:gridSpan w:val="2"/>
          </w:tcPr>
          <w:p w:rsidR="00B40966" w:rsidRDefault="00B40966">
            <w:pPr>
              <w:ind w:right="160"/>
              <w:jc w:val="center"/>
              <w:rPr>
                <w:color w:val="000000"/>
                <w:sz w:val="20"/>
              </w:rPr>
            </w:pPr>
            <w:r>
              <w:rPr>
                <w:color w:val="000000"/>
                <w:sz w:val="20"/>
              </w:rPr>
              <w:t>19</w:t>
            </w:r>
          </w:p>
        </w:tc>
      </w:tr>
      <w:tr w:rsidR="00B40966">
        <w:trPr>
          <w:cantSplit/>
          <w:trHeight w:val="200"/>
        </w:trPr>
        <w:tc>
          <w:tcPr>
            <w:tcW w:w="984" w:type="dxa"/>
            <w:tcBorders>
              <w:bottom w:val="single" w:sz="6" w:space="0" w:color="auto"/>
              <w:right w:val="single" w:sz="6" w:space="0" w:color="auto"/>
            </w:tcBorders>
          </w:tcPr>
          <w:p w:rsidR="00B40966" w:rsidRDefault="00B40966">
            <w:pPr>
              <w:spacing w:before="40" w:after="20"/>
              <w:ind w:left="20"/>
              <w:jc w:val="center"/>
              <w:rPr>
                <w:color w:val="000000"/>
                <w:sz w:val="20"/>
              </w:rPr>
            </w:pPr>
            <w:r>
              <w:rPr>
                <w:color w:val="000000"/>
                <w:sz w:val="20"/>
              </w:rPr>
              <w:t>2</w:t>
            </w:r>
            <w:r>
              <w:rPr>
                <w:color w:val="000000"/>
                <w:position w:val="4"/>
                <w:sz w:val="16"/>
              </w:rPr>
              <w:t>1</w:t>
            </w:r>
            <w:r>
              <w:rPr>
                <w:color w:val="000000"/>
                <w:sz w:val="20"/>
              </w:rPr>
              <w:t>/</w:t>
            </w:r>
            <w:r>
              <w:rPr>
                <w:color w:val="000000"/>
                <w:sz w:val="16"/>
              </w:rPr>
              <w:t>2</w:t>
            </w:r>
          </w:p>
        </w:tc>
        <w:tc>
          <w:tcPr>
            <w:tcW w:w="924" w:type="dxa"/>
            <w:tcBorders>
              <w:bottom w:val="single" w:sz="6" w:space="0" w:color="auto"/>
              <w:right w:val="single" w:sz="6" w:space="0" w:color="auto"/>
            </w:tcBorders>
          </w:tcPr>
          <w:p w:rsidR="00B40966" w:rsidRDefault="00B40966">
            <w:pPr>
              <w:spacing w:before="40" w:after="20"/>
              <w:ind w:right="200"/>
              <w:jc w:val="center"/>
              <w:rPr>
                <w:color w:val="000000"/>
                <w:sz w:val="20"/>
              </w:rPr>
            </w:pPr>
            <w:r>
              <w:rPr>
                <w:color w:val="000000"/>
                <w:position w:val="4"/>
                <w:sz w:val="16"/>
              </w:rPr>
              <w:t>13</w:t>
            </w:r>
            <w:r>
              <w:rPr>
                <w:color w:val="000000"/>
                <w:sz w:val="20"/>
              </w:rPr>
              <w:t>/</w:t>
            </w:r>
            <w:r>
              <w:rPr>
                <w:color w:val="000000"/>
                <w:sz w:val="16"/>
              </w:rPr>
              <w:t>16</w:t>
            </w:r>
            <w:r>
              <w:rPr>
                <w:color w:val="000000"/>
                <w:sz w:val="20"/>
              </w:rPr>
              <w:t xml:space="preserve"> </w:t>
            </w:r>
          </w:p>
        </w:tc>
        <w:tc>
          <w:tcPr>
            <w:tcW w:w="672" w:type="dxa"/>
            <w:gridSpan w:val="2"/>
            <w:tcBorders>
              <w:bottom w:val="single" w:sz="6" w:space="0" w:color="auto"/>
            </w:tcBorders>
          </w:tcPr>
          <w:p w:rsidR="00B40966" w:rsidRDefault="00B40966">
            <w:pPr>
              <w:spacing w:before="40" w:after="20"/>
              <w:ind w:right="67"/>
              <w:jc w:val="center"/>
              <w:rPr>
                <w:color w:val="000000"/>
                <w:sz w:val="20"/>
              </w:rPr>
            </w:pPr>
            <w:r>
              <w:rPr>
                <w:color w:val="000000"/>
                <w:sz w:val="20"/>
              </w:rPr>
              <w:t>1</w:t>
            </w:r>
          </w:p>
        </w:tc>
        <w:tc>
          <w:tcPr>
            <w:tcW w:w="840" w:type="dxa"/>
            <w:tcBorders>
              <w:bottom w:val="single" w:sz="6" w:space="0" w:color="auto"/>
            </w:tcBorders>
          </w:tcPr>
          <w:p w:rsidR="00B40966" w:rsidRDefault="00B40966">
            <w:pPr>
              <w:spacing w:before="40" w:after="20"/>
              <w:ind w:right="160"/>
              <w:jc w:val="center"/>
              <w:rPr>
                <w:color w:val="000000"/>
                <w:sz w:val="20"/>
              </w:rPr>
            </w:pPr>
            <w:r>
              <w:rPr>
                <w:color w:val="000000"/>
                <w:sz w:val="20"/>
              </w:rPr>
              <w:t>19</w:t>
            </w:r>
          </w:p>
        </w:tc>
        <w:tc>
          <w:tcPr>
            <w:tcW w:w="600" w:type="dxa"/>
            <w:tcBorders>
              <w:left w:val="single" w:sz="6" w:space="0" w:color="auto"/>
              <w:bottom w:val="single" w:sz="6" w:space="0" w:color="auto"/>
            </w:tcBorders>
          </w:tcPr>
          <w:p w:rsidR="00B40966" w:rsidRDefault="00B40966">
            <w:pPr>
              <w:spacing w:before="40" w:after="20"/>
              <w:ind w:right="67"/>
              <w:jc w:val="center"/>
              <w:rPr>
                <w:color w:val="000000"/>
                <w:sz w:val="20"/>
              </w:rPr>
            </w:pPr>
            <w:r>
              <w:rPr>
                <w:color w:val="000000"/>
                <w:sz w:val="20"/>
              </w:rPr>
              <w:t>3</w:t>
            </w:r>
          </w:p>
        </w:tc>
        <w:tc>
          <w:tcPr>
            <w:tcW w:w="716" w:type="dxa"/>
            <w:tcBorders>
              <w:bottom w:val="single" w:sz="6" w:space="0" w:color="auto"/>
            </w:tcBorders>
          </w:tcPr>
          <w:p w:rsidR="00B40966" w:rsidRDefault="00B40966">
            <w:pPr>
              <w:spacing w:before="40" w:after="20"/>
              <w:ind w:right="67"/>
              <w:jc w:val="center"/>
              <w:rPr>
                <w:color w:val="000000"/>
                <w:sz w:val="20"/>
              </w:rPr>
            </w:pPr>
            <w:r>
              <w:rPr>
                <w:color w:val="000000"/>
                <w:sz w:val="20"/>
              </w:rPr>
              <w:t>15</w:t>
            </w:r>
          </w:p>
        </w:tc>
        <w:tc>
          <w:tcPr>
            <w:tcW w:w="764" w:type="dxa"/>
            <w:tcBorders>
              <w:left w:val="single" w:sz="6" w:space="0" w:color="auto"/>
              <w:bottom w:val="single" w:sz="6" w:space="0" w:color="auto"/>
            </w:tcBorders>
          </w:tcPr>
          <w:p w:rsidR="00B40966" w:rsidRDefault="00B40966">
            <w:pPr>
              <w:spacing w:before="40" w:after="20"/>
              <w:ind w:right="67"/>
              <w:jc w:val="center"/>
              <w:rPr>
                <w:color w:val="000000"/>
                <w:sz w:val="20"/>
              </w:rPr>
            </w:pPr>
            <w:r>
              <w:rPr>
                <w:color w:val="000000"/>
                <w:sz w:val="20"/>
              </w:rPr>
              <w:t>3</w:t>
            </w:r>
          </w:p>
        </w:tc>
        <w:tc>
          <w:tcPr>
            <w:tcW w:w="844" w:type="dxa"/>
            <w:tcBorders>
              <w:bottom w:val="single" w:sz="6" w:space="0" w:color="auto"/>
            </w:tcBorders>
          </w:tcPr>
          <w:p w:rsidR="00B40966" w:rsidRDefault="00B40966">
            <w:pPr>
              <w:spacing w:before="40" w:after="20"/>
              <w:ind w:right="67"/>
              <w:jc w:val="center"/>
              <w:rPr>
                <w:color w:val="000000"/>
                <w:sz w:val="20"/>
              </w:rPr>
            </w:pPr>
            <w:r>
              <w:rPr>
                <w:color w:val="000000"/>
                <w:sz w:val="20"/>
              </w:rPr>
              <w:t>8</w:t>
            </w:r>
          </w:p>
        </w:tc>
        <w:tc>
          <w:tcPr>
            <w:tcW w:w="756" w:type="dxa"/>
            <w:tcBorders>
              <w:left w:val="single" w:sz="6" w:space="0" w:color="auto"/>
              <w:bottom w:val="single" w:sz="6" w:space="0" w:color="auto"/>
            </w:tcBorders>
          </w:tcPr>
          <w:p w:rsidR="00B40966" w:rsidRDefault="00B40966">
            <w:pPr>
              <w:spacing w:before="40" w:after="20"/>
              <w:ind w:right="67"/>
              <w:jc w:val="center"/>
              <w:rPr>
                <w:color w:val="000000"/>
                <w:sz w:val="20"/>
              </w:rPr>
            </w:pPr>
            <w:r>
              <w:rPr>
                <w:color w:val="000000"/>
                <w:sz w:val="20"/>
              </w:rPr>
              <w:t>2</w:t>
            </w:r>
          </w:p>
        </w:tc>
        <w:tc>
          <w:tcPr>
            <w:tcW w:w="804" w:type="dxa"/>
            <w:tcBorders>
              <w:bottom w:val="single" w:sz="6" w:space="0" w:color="auto"/>
            </w:tcBorders>
          </w:tcPr>
          <w:p w:rsidR="00B40966" w:rsidRDefault="00B40966">
            <w:pPr>
              <w:spacing w:before="40" w:after="20"/>
              <w:ind w:right="146"/>
              <w:jc w:val="center"/>
              <w:rPr>
                <w:color w:val="000000"/>
                <w:sz w:val="20"/>
              </w:rPr>
            </w:pPr>
            <w:r>
              <w:rPr>
                <w:color w:val="000000"/>
                <w:sz w:val="20"/>
              </w:rPr>
              <w:t>15</w:t>
            </w:r>
          </w:p>
        </w:tc>
        <w:tc>
          <w:tcPr>
            <w:tcW w:w="742" w:type="dxa"/>
            <w:tcBorders>
              <w:left w:val="single" w:sz="6" w:space="0" w:color="auto"/>
              <w:bottom w:val="single" w:sz="6" w:space="0" w:color="auto"/>
            </w:tcBorders>
          </w:tcPr>
          <w:p w:rsidR="00B40966" w:rsidRDefault="00B40966">
            <w:pPr>
              <w:spacing w:before="40" w:after="20"/>
              <w:ind w:right="67"/>
              <w:jc w:val="center"/>
              <w:rPr>
                <w:color w:val="000000"/>
                <w:sz w:val="20"/>
              </w:rPr>
            </w:pPr>
            <w:r>
              <w:rPr>
                <w:color w:val="000000"/>
                <w:sz w:val="20"/>
              </w:rPr>
              <w:t>1</w:t>
            </w:r>
          </w:p>
        </w:tc>
        <w:tc>
          <w:tcPr>
            <w:tcW w:w="770" w:type="dxa"/>
            <w:tcBorders>
              <w:bottom w:val="single" w:sz="6" w:space="0" w:color="auto"/>
              <w:right w:val="single" w:sz="6" w:space="0" w:color="auto"/>
            </w:tcBorders>
          </w:tcPr>
          <w:p w:rsidR="00B40966" w:rsidRDefault="00B40966">
            <w:pPr>
              <w:spacing w:before="40" w:after="20"/>
              <w:ind w:right="180"/>
              <w:jc w:val="center"/>
              <w:rPr>
                <w:color w:val="000000"/>
                <w:sz w:val="20"/>
              </w:rPr>
            </w:pPr>
            <w:r>
              <w:rPr>
                <w:color w:val="000000"/>
                <w:sz w:val="20"/>
              </w:rPr>
              <w:t>19</w:t>
            </w:r>
          </w:p>
        </w:tc>
        <w:tc>
          <w:tcPr>
            <w:tcW w:w="790" w:type="dxa"/>
            <w:tcBorders>
              <w:bottom w:val="single" w:sz="6" w:space="0" w:color="auto"/>
            </w:tcBorders>
          </w:tcPr>
          <w:p w:rsidR="00B40966" w:rsidRDefault="00B40966">
            <w:pPr>
              <w:spacing w:before="40" w:after="20"/>
              <w:ind w:right="67"/>
              <w:jc w:val="center"/>
              <w:rPr>
                <w:color w:val="000000"/>
                <w:sz w:val="20"/>
              </w:rPr>
            </w:pPr>
            <w:r>
              <w:rPr>
                <w:color w:val="000000"/>
                <w:sz w:val="20"/>
              </w:rPr>
              <w:t>1</w:t>
            </w:r>
          </w:p>
        </w:tc>
        <w:tc>
          <w:tcPr>
            <w:tcW w:w="674" w:type="dxa"/>
            <w:gridSpan w:val="2"/>
            <w:tcBorders>
              <w:bottom w:val="single" w:sz="6" w:space="0" w:color="auto"/>
            </w:tcBorders>
          </w:tcPr>
          <w:p w:rsidR="00B40966" w:rsidRDefault="00B40966">
            <w:pPr>
              <w:spacing w:before="40" w:after="20"/>
              <w:ind w:right="160"/>
              <w:jc w:val="center"/>
              <w:rPr>
                <w:color w:val="000000"/>
                <w:sz w:val="20"/>
              </w:rPr>
            </w:pPr>
            <w:r>
              <w:rPr>
                <w:color w:val="000000"/>
                <w:sz w:val="20"/>
              </w:rPr>
              <w:t>0</w:t>
            </w:r>
          </w:p>
        </w:tc>
      </w:tr>
    </w:tbl>
    <w:p w:rsidR="00B40966" w:rsidRDefault="00B40966"/>
    <w:p w:rsidR="00B40966" w:rsidRDefault="00B40966">
      <w:pPr>
        <w:pStyle w:val="TableHd"/>
      </w:pPr>
      <w:r>
        <w:t>Maximum safe working load for steel wire rope—Classification 2</w:t>
      </w:r>
    </w:p>
    <w:p w:rsidR="00B40966" w:rsidRDefault="00B40966">
      <w:pPr>
        <w:pStyle w:val="TableHd"/>
        <w:ind w:left="0" w:firstLine="0"/>
      </w:pPr>
      <w:r>
        <w:t>Minimum ultimate tensile value of steel of which rope is constructed = 80 tons per square inch</w:t>
      </w:r>
      <w:r>
        <w:br/>
        <w:t>construction:  6 strands each containing 12 wires</w:t>
      </w:r>
    </w:p>
    <w:tbl>
      <w:tblPr>
        <w:tblW w:w="0" w:type="auto"/>
        <w:tblLayout w:type="fixed"/>
        <w:tblCellMar>
          <w:left w:w="80" w:type="dxa"/>
          <w:right w:w="80" w:type="dxa"/>
        </w:tblCellMar>
        <w:tblLook w:val="0000" w:firstRow="0" w:lastRow="0" w:firstColumn="0" w:lastColumn="0" w:noHBand="0" w:noVBand="0"/>
      </w:tblPr>
      <w:tblGrid>
        <w:gridCol w:w="984"/>
        <w:gridCol w:w="8"/>
        <w:gridCol w:w="916"/>
        <w:gridCol w:w="8"/>
        <w:gridCol w:w="571"/>
        <w:gridCol w:w="93"/>
        <w:gridCol w:w="840"/>
        <w:gridCol w:w="600"/>
        <w:gridCol w:w="720"/>
        <w:gridCol w:w="764"/>
        <w:gridCol w:w="844"/>
        <w:gridCol w:w="756"/>
        <w:gridCol w:w="804"/>
        <w:gridCol w:w="742"/>
        <w:gridCol w:w="778"/>
        <w:gridCol w:w="790"/>
        <w:gridCol w:w="654"/>
        <w:gridCol w:w="8"/>
        <w:gridCol w:w="16"/>
      </w:tblGrid>
      <w:tr w:rsidR="00B40966">
        <w:trPr>
          <w:gridAfter w:val="2"/>
          <w:wAfter w:w="24" w:type="dxa"/>
          <w:cantSplit/>
          <w:tblHeader/>
        </w:trPr>
        <w:tc>
          <w:tcPr>
            <w:tcW w:w="984" w:type="dxa"/>
            <w:tcBorders>
              <w:top w:val="single" w:sz="6" w:space="0" w:color="auto"/>
              <w:right w:val="single" w:sz="6" w:space="0" w:color="auto"/>
            </w:tcBorders>
          </w:tcPr>
          <w:p w:rsidR="00B40966" w:rsidRDefault="00B40966">
            <w:pPr>
              <w:pStyle w:val="TableColHd"/>
              <w:jc w:val="center"/>
            </w:pPr>
          </w:p>
        </w:tc>
        <w:tc>
          <w:tcPr>
            <w:tcW w:w="924" w:type="dxa"/>
            <w:gridSpan w:val="2"/>
            <w:tcBorders>
              <w:top w:val="single" w:sz="6" w:space="0" w:color="auto"/>
              <w:right w:val="single" w:sz="6" w:space="0" w:color="auto"/>
            </w:tcBorders>
          </w:tcPr>
          <w:p w:rsidR="00B40966" w:rsidRDefault="00B40966">
            <w:pPr>
              <w:pStyle w:val="TableColHd"/>
              <w:jc w:val="center"/>
            </w:pPr>
          </w:p>
        </w:tc>
        <w:tc>
          <w:tcPr>
            <w:tcW w:w="579" w:type="dxa"/>
            <w:gridSpan w:val="2"/>
            <w:tcBorders>
              <w:top w:val="single" w:sz="6" w:space="0" w:color="auto"/>
            </w:tcBorders>
          </w:tcPr>
          <w:p w:rsidR="00B40966" w:rsidRDefault="00B40966">
            <w:pPr>
              <w:pStyle w:val="TableColHd"/>
              <w:jc w:val="center"/>
            </w:pPr>
          </w:p>
        </w:tc>
        <w:tc>
          <w:tcPr>
            <w:tcW w:w="933" w:type="dxa"/>
            <w:gridSpan w:val="2"/>
            <w:tcBorders>
              <w:top w:val="single" w:sz="6" w:space="0" w:color="auto"/>
            </w:tcBorders>
          </w:tcPr>
          <w:p w:rsidR="00B40966" w:rsidRDefault="00B40966">
            <w:pPr>
              <w:pStyle w:val="TableColHd"/>
              <w:jc w:val="center"/>
            </w:pPr>
          </w:p>
        </w:tc>
        <w:tc>
          <w:tcPr>
            <w:tcW w:w="7436" w:type="dxa"/>
            <w:gridSpan w:val="10"/>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984" w:type="dxa"/>
            <w:tcBorders>
              <w:right w:val="single" w:sz="6" w:space="0" w:color="auto"/>
            </w:tcBorders>
            <w:vAlign w:val="bottom"/>
          </w:tcPr>
          <w:p w:rsidR="00B40966" w:rsidRDefault="00B40966">
            <w:pPr>
              <w:pStyle w:val="TableColHd"/>
            </w:pPr>
            <w:r>
              <w:t>circum-</w:t>
            </w:r>
            <w:r>
              <w:br/>
              <w:t>ference</w:t>
            </w:r>
            <w:r>
              <w:br/>
              <w:t>of rope</w:t>
            </w:r>
          </w:p>
        </w:tc>
        <w:tc>
          <w:tcPr>
            <w:tcW w:w="924" w:type="dxa"/>
            <w:gridSpan w:val="2"/>
            <w:tcBorders>
              <w:right w:val="single" w:sz="6" w:space="0" w:color="auto"/>
            </w:tcBorders>
            <w:vAlign w:val="bottom"/>
          </w:tcPr>
          <w:p w:rsidR="00B40966" w:rsidRDefault="00B40966">
            <w:pPr>
              <w:pStyle w:val="TableColHd"/>
            </w:pPr>
            <w:r>
              <w:t>approx.</w:t>
            </w:r>
            <w:r>
              <w:br/>
              <w:t>diameter</w:t>
            </w:r>
            <w:r>
              <w:br/>
              <w:t>of rope</w:t>
            </w:r>
          </w:p>
        </w:tc>
        <w:tc>
          <w:tcPr>
            <w:tcW w:w="1512" w:type="dxa"/>
            <w:gridSpan w:val="4"/>
            <w:vAlign w:val="bottom"/>
          </w:tcPr>
          <w:p w:rsidR="00B40966" w:rsidRDefault="00B40966">
            <w:pPr>
              <w:pStyle w:val="TableColHd"/>
            </w:pPr>
            <w:r>
              <w:t>safe load for 1 single fall (part) of rope</w:t>
            </w:r>
          </w:p>
        </w:tc>
        <w:tc>
          <w:tcPr>
            <w:tcW w:w="1320" w:type="dxa"/>
            <w:gridSpan w:val="2"/>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2"/>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4"/>
          </w:tcPr>
          <w:p w:rsidR="00B40966" w:rsidRDefault="00DA6E8C">
            <w:pPr>
              <w:rPr>
                <w:color w:val="000000"/>
                <w:sz w:val="18"/>
              </w:rPr>
            </w:pPr>
            <w:r>
              <w:rPr>
                <w:noProof/>
                <w:color w:val="000000"/>
                <w:sz w:val="20"/>
                <w:lang w:eastAsia="en-AU"/>
              </w:rPr>
              <w:drawing>
                <wp:inline distT="0" distB="0" distL="0" distR="0">
                  <wp:extent cx="790575" cy="5238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2"/>
          <w:wAfter w:w="20" w:type="dxa"/>
          <w:cantSplit/>
          <w:trHeight w:val="220"/>
          <w:tblHeader/>
        </w:trPr>
        <w:tc>
          <w:tcPr>
            <w:tcW w:w="98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3"/>
            <w:tcBorders>
              <w:top w:val="single" w:sz="6" w:space="0" w:color="auto"/>
              <w:bottom w:val="single" w:sz="6" w:space="0" w:color="auto"/>
            </w:tcBorders>
            <w:vAlign w:val="bottom"/>
          </w:tcPr>
          <w:p w:rsidR="00B40966" w:rsidRDefault="00B40966">
            <w:pPr>
              <w:pStyle w:val="TableColHd"/>
              <w:spacing w:after="0"/>
              <w:jc w:val="center"/>
            </w:pPr>
            <w:r>
              <w:t>tons</w:t>
            </w:r>
          </w:p>
        </w:tc>
        <w:tc>
          <w:tcPr>
            <w:tcW w:w="84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44"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56"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04"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42"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70"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790"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gridAfter w:val="1"/>
          <w:wAfter w:w="12" w:type="dxa"/>
          <w:cantSplit/>
          <w:trHeight w:val="200"/>
        </w:trPr>
        <w:tc>
          <w:tcPr>
            <w:tcW w:w="992" w:type="dxa"/>
            <w:gridSpan w:val="2"/>
            <w:tcBorders>
              <w:top w:val="single" w:sz="6" w:space="0" w:color="auto"/>
              <w:right w:val="single" w:sz="6" w:space="0" w:color="auto"/>
            </w:tcBorders>
          </w:tcPr>
          <w:p w:rsidR="00B40966" w:rsidRDefault="00B40966">
            <w:pPr>
              <w:pStyle w:val="TableText"/>
              <w:jc w:val="center"/>
              <w:rPr>
                <w:sz w:val="20"/>
              </w:rPr>
            </w:pPr>
            <w:r>
              <w:rPr>
                <w:position w:val="4"/>
                <w:sz w:val="16"/>
              </w:rPr>
              <w:t>5</w:t>
            </w:r>
            <w:r>
              <w:rPr>
                <w:sz w:val="20"/>
              </w:rPr>
              <w:t>/</w:t>
            </w:r>
            <w:r>
              <w:rPr>
                <w:sz w:val="16"/>
              </w:rPr>
              <w:t>8</w:t>
            </w:r>
            <w:r>
              <w:rPr>
                <w:sz w:val="20"/>
              </w:rPr>
              <w:t xml:space="preserve"> </w:t>
            </w:r>
          </w:p>
        </w:tc>
        <w:tc>
          <w:tcPr>
            <w:tcW w:w="924" w:type="dxa"/>
            <w:gridSpan w:val="2"/>
            <w:tcBorders>
              <w:top w:val="single" w:sz="6" w:space="0" w:color="auto"/>
              <w:right w:val="single" w:sz="6" w:space="0" w:color="auto"/>
            </w:tcBorders>
          </w:tcPr>
          <w:p w:rsidR="00B40966" w:rsidRDefault="00B40966">
            <w:pPr>
              <w:pStyle w:val="TableText"/>
              <w:jc w:val="center"/>
              <w:rPr>
                <w:sz w:val="20"/>
              </w:rPr>
            </w:pPr>
            <w:r>
              <w:rPr>
                <w:position w:val="4"/>
                <w:sz w:val="16"/>
              </w:rPr>
              <w:t>3</w:t>
            </w:r>
            <w:r>
              <w:rPr>
                <w:sz w:val="20"/>
              </w:rPr>
              <w:t>/</w:t>
            </w:r>
            <w:r>
              <w:rPr>
                <w:sz w:val="16"/>
              </w:rPr>
              <w:t>16</w:t>
            </w:r>
            <w:r>
              <w:rPr>
                <w:sz w:val="20"/>
              </w:rPr>
              <w:t xml:space="preserve"> </w:t>
            </w:r>
          </w:p>
        </w:tc>
        <w:tc>
          <w:tcPr>
            <w:tcW w:w="660" w:type="dxa"/>
            <w:gridSpan w:val="2"/>
            <w:tcBorders>
              <w:top w:val="single" w:sz="6" w:space="0" w:color="auto"/>
            </w:tcBorders>
          </w:tcPr>
          <w:p w:rsidR="00B40966" w:rsidRDefault="00B40966">
            <w:pPr>
              <w:pStyle w:val="TableText"/>
              <w:jc w:val="center"/>
              <w:rPr>
                <w:sz w:val="20"/>
              </w:rPr>
            </w:pPr>
            <w:r>
              <w:rPr>
                <w:sz w:val="20"/>
              </w:rPr>
              <w:t>0</w:t>
            </w:r>
          </w:p>
        </w:tc>
        <w:tc>
          <w:tcPr>
            <w:tcW w:w="840" w:type="dxa"/>
            <w:tcBorders>
              <w:top w:val="single" w:sz="6" w:space="0" w:color="auto"/>
            </w:tcBorders>
          </w:tcPr>
          <w:p w:rsidR="00B40966" w:rsidRDefault="00B40966">
            <w:pPr>
              <w:pStyle w:val="TableText"/>
              <w:jc w:val="center"/>
              <w:rPr>
                <w:sz w:val="20"/>
              </w:rPr>
            </w:pPr>
            <w:r>
              <w:rPr>
                <w:sz w:val="20"/>
              </w:rPr>
              <w:t>2</w:t>
            </w:r>
          </w:p>
        </w:tc>
        <w:tc>
          <w:tcPr>
            <w:tcW w:w="60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0" w:type="dxa"/>
            <w:tcBorders>
              <w:top w:val="single" w:sz="6" w:space="0" w:color="auto"/>
            </w:tcBorders>
          </w:tcPr>
          <w:p w:rsidR="00B40966" w:rsidRDefault="00B40966">
            <w:pPr>
              <w:pStyle w:val="TableText"/>
              <w:jc w:val="center"/>
              <w:rPr>
                <w:sz w:val="20"/>
              </w:rPr>
            </w:pPr>
            <w:r>
              <w:rPr>
                <w:sz w:val="20"/>
              </w:rPr>
              <w:t>4</w:t>
            </w:r>
          </w:p>
        </w:tc>
        <w:tc>
          <w:tcPr>
            <w:tcW w:w="764"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44" w:type="dxa"/>
            <w:tcBorders>
              <w:top w:val="single" w:sz="6" w:space="0" w:color="auto"/>
            </w:tcBorders>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756"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04" w:type="dxa"/>
            <w:tcBorders>
              <w:top w:val="single" w:sz="6" w:space="0" w:color="auto"/>
            </w:tcBorders>
          </w:tcPr>
          <w:p w:rsidR="00B40966" w:rsidRDefault="00B40966">
            <w:pPr>
              <w:pStyle w:val="TableText"/>
              <w:jc w:val="center"/>
              <w:rPr>
                <w:sz w:val="20"/>
              </w:rPr>
            </w:pPr>
            <w:r>
              <w:rPr>
                <w:sz w:val="20"/>
              </w:rPr>
              <w:t>3</w:t>
            </w:r>
          </w:p>
        </w:tc>
        <w:tc>
          <w:tcPr>
            <w:tcW w:w="74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70" w:type="dxa"/>
            <w:tcBorders>
              <w:top w:val="single" w:sz="6" w:space="0" w:color="auto"/>
              <w:right w:val="single" w:sz="6" w:space="0" w:color="auto"/>
            </w:tcBorders>
          </w:tcPr>
          <w:p w:rsidR="00B40966" w:rsidRDefault="00B40966">
            <w:pPr>
              <w:pStyle w:val="TableText"/>
              <w:jc w:val="center"/>
              <w:rPr>
                <w:sz w:val="20"/>
              </w:rPr>
            </w:pPr>
            <w:r>
              <w:rPr>
                <w:sz w:val="20"/>
              </w:rPr>
              <w:t>2</w:t>
            </w:r>
          </w:p>
        </w:tc>
        <w:tc>
          <w:tcPr>
            <w:tcW w:w="790" w:type="dxa"/>
            <w:tcBorders>
              <w:top w:val="single" w:sz="6" w:space="0" w:color="auto"/>
            </w:tcBorders>
          </w:tcPr>
          <w:p w:rsidR="00B40966" w:rsidRDefault="00B40966">
            <w:pPr>
              <w:pStyle w:val="TableText"/>
              <w:jc w:val="center"/>
              <w:rPr>
                <w:sz w:val="20"/>
              </w:rPr>
            </w:pPr>
            <w:r>
              <w:rPr>
                <w:sz w:val="20"/>
              </w:rPr>
              <w:t>0</w:t>
            </w:r>
          </w:p>
        </w:tc>
        <w:tc>
          <w:tcPr>
            <w:tcW w:w="662" w:type="dxa"/>
            <w:gridSpan w:val="2"/>
            <w:tcBorders>
              <w:top w:val="single" w:sz="6" w:space="0" w:color="auto"/>
            </w:tcBorders>
          </w:tcPr>
          <w:p w:rsidR="00B40966" w:rsidRDefault="00B40966">
            <w:pPr>
              <w:pStyle w:val="TableText"/>
              <w:jc w:val="center"/>
              <w:rPr>
                <w:sz w:val="20"/>
              </w:rPr>
            </w:pPr>
            <w:r>
              <w:rPr>
                <w:sz w:val="20"/>
              </w:rPr>
              <w:t>1</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position w:val="4"/>
                <w:sz w:val="16"/>
              </w:rPr>
              <w:t>3</w:t>
            </w:r>
            <w:r>
              <w:rPr>
                <w:sz w:val="20"/>
              </w:rPr>
              <w:t>/</w:t>
            </w:r>
            <w:r>
              <w:rPr>
                <w:sz w:val="16"/>
              </w:rPr>
              <w:t>4</w:t>
            </w:r>
            <w:r>
              <w:rPr>
                <w:sz w:val="20"/>
              </w:rPr>
              <w:t xml:space="preserve"> </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w:t>
            </w:r>
            <w:r>
              <w:rPr>
                <w:sz w:val="20"/>
              </w:rPr>
              <w:t>/</w:t>
            </w:r>
            <w:r>
              <w:rPr>
                <w:sz w:val="16"/>
              </w:rPr>
              <w:t>4</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3</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6</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5</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4</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3</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position w:val="4"/>
                <w:sz w:val="16"/>
              </w:rPr>
              <w:t>7</w:t>
            </w:r>
            <w:r>
              <w:rPr>
                <w:sz w:val="20"/>
              </w:rPr>
              <w:t>/</w:t>
            </w:r>
            <w:r>
              <w:rPr>
                <w:sz w:val="16"/>
              </w:rPr>
              <w:t>8</w:t>
            </w:r>
            <w:r>
              <w:rPr>
                <w:sz w:val="20"/>
              </w:rPr>
              <w:t xml:space="preserve"> </w:t>
            </w:r>
          </w:p>
        </w:tc>
        <w:tc>
          <w:tcPr>
            <w:tcW w:w="924" w:type="dxa"/>
            <w:gridSpan w:val="2"/>
            <w:tcBorders>
              <w:right w:val="single" w:sz="6" w:space="0" w:color="auto"/>
            </w:tcBorders>
          </w:tcPr>
          <w:p w:rsidR="00B40966" w:rsidRDefault="00B40966">
            <w:pPr>
              <w:pStyle w:val="TableText"/>
              <w:jc w:val="center"/>
              <w:rPr>
                <w:sz w:val="20"/>
              </w:rPr>
            </w:pPr>
            <w:r>
              <w:rPr>
                <w:position w:val="4"/>
                <w:sz w:val="16"/>
              </w:rPr>
              <w:t>9</w:t>
            </w:r>
            <w:r>
              <w:rPr>
                <w:sz w:val="20"/>
              </w:rPr>
              <w:t>/</w:t>
            </w:r>
            <w:r>
              <w:rPr>
                <w:sz w:val="16"/>
              </w:rPr>
              <w:t>32</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4</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7</w:t>
            </w:r>
            <w:r>
              <w:rPr>
                <w:position w:val="4"/>
                <w:sz w:val="16"/>
              </w:rPr>
              <w:t>1</w:t>
            </w:r>
            <w:r>
              <w:rPr>
                <w:sz w:val="20"/>
              </w:rPr>
              <w:t>/</w:t>
            </w:r>
            <w:r>
              <w:rPr>
                <w:sz w:val="16"/>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7</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4</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p>
        </w:tc>
        <w:tc>
          <w:tcPr>
            <w:tcW w:w="924" w:type="dxa"/>
            <w:gridSpan w:val="2"/>
            <w:tcBorders>
              <w:right w:val="single" w:sz="6" w:space="0" w:color="auto"/>
            </w:tcBorders>
          </w:tcPr>
          <w:p w:rsidR="00B40966" w:rsidRDefault="00B40966">
            <w:pPr>
              <w:pStyle w:val="TableText"/>
              <w:jc w:val="center"/>
              <w:rPr>
                <w:sz w:val="20"/>
              </w:rPr>
            </w:pPr>
            <w:r>
              <w:rPr>
                <w:position w:val="4"/>
                <w:sz w:val="16"/>
              </w:rPr>
              <w:t>5</w:t>
            </w:r>
            <w:r>
              <w:rPr>
                <w:sz w:val="20"/>
              </w:rPr>
              <w:t>/</w:t>
            </w:r>
            <w:r>
              <w:rPr>
                <w:sz w:val="16"/>
              </w:rPr>
              <w:t>16</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5</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10</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8</w:t>
            </w:r>
            <w:r>
              <w:rPr>
                <w:position w:val="4"/>
                <w:sz w:val="16"/>
              </w:rPr>
              <w:t>1</w:t>
            </w:r>
            <w:r>
              <w:rPr>
                <w:sz w:val="20"/>
              </w:rPr>
              <w:t>/</w:t>
            </w:r>
            <w:r>
              <w:rPr>
                <w:sz w:val="16"/>
              </w:rPr>
              <w:t>2</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7</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5</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2</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3</w:t>
            </w:r>
            <w:r>
              <w:rPr>
                <w:sz w:val="20"/>
              </w:rPr>
              <w:t>/</w:t>
            </w:r>
            <w:r>
              <w:rPr>
                <w:sz w:val="16"/>
              </w:rPr>
              <w:t>8</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6</w:t>
            </w:r>
            <w:r>
              <w:rPr>
                <w:position w:val="4"/>
                <w:sz w:val="16"/>
              </w:rPr>
              <w:t>1</w:t>
            </w:r>
            <w:r>
              <w:rPr>
                <w:sz w:val="20"/>
              </w:rPr>
              <w:t>/</w:t>
            </w:r>
            <w:r>
              <w:rPr>
                <w:sz w:val="16"/>
              </w:rPr>
              <w:t>2</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12</w:t>
            </w:r>
            <w:r>
              <w:rPr>
                <w:position w:val="4"/>
                <w:sz w:val="16"/>
              </w:rPr>
              <w:t>1</w:t>
            </w:r>
            <w:r>
              <w:rPr>
                <w:sz w:val="20"/>
              </w:rPr>
              <w:t>/</w:t>
            </w:r>
            <w:r>
              <w:rPr>
                <w:sz w:val="16"/>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11</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9</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6</w:t>
            </w:r>
            <w:r>
              <w:rPr>
                <w:position w:val="4"/>
                <w:sz w:val="16"/>
              </w:rPr>
              <w:t>1</w:t>
            </w:r>
            <w:r>
              <w:rPr>
                <w:sz w:val="20"/>
              </w:rPr>
              <w:t>/</w:t>
            </w:r>
            <w:r>
              <w:rPr>
                <w:sz w:val="16"/>
              </w:rPr>
              <w:t>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3</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13</w:t>
            </w:r>
            <w:r>
              <w:rPr>
                <w:sz w:val="20"/>
              </w:rPr>
              <w:t>/</w:t>
            </w:r>
            <w:r>
              <w:rPr>
                <w:sz w:val="16"/>
              </w:rPr>
              <w:t>32</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8</w:t>
            </w:r>
            <w:r>
              <w:rPr>
                <w:position w:val="4"/>
                <w:sz w:val="16"/>
              </w:rPr>
              <w:t>1</w:t>
            </w:r>
            <w:r>
              <w:rPr>
                <w:sz w:val="20"/>
              </w:rPr>
              <w:t>/</w:t>
            </w:r>
            <w:r>
              <w:rPr>
                <w:sz w:val="16"/>
              </w:rPr>
              <w:t>2</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16</w:t>
            </w:r>
            <w:r>
              <w:rPr>
                <w:position w:val="4"/>
                <w:sz w:val="16"/>
              </w:rPr>
              <w:t>1</w:t>
            </w:r>
            <w:r>
              <w:rPr>
                <w:sz w:val="20"/>
              </w:rPr>
              <w:t>/</w:t>
            </w:r>
            <w:r>
              <w:rPr>
                <w:sz w:val="16"/>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14</w:t>
            </w:r>
            <w:r>
              <w:rPr>
                <w:position w:val="4"/>
                <w:sz w:val="16"/>
              </w:rPr>
              <w:t>1</w:t>
            </w:r>
            <w:r>
              <w:rPr>
                <w:sz w:val="20"/>
              </w:rPr>
              <w:t>/</w:t>
            </w:r>
            <w:r>
              <w:rPr>
                <w:sz w:val="16"/>
              </w:rPr>
              <w:t>2</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12</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8</w:t>
            </w:r>
            <w:r>
              <w:rPr>
                <w:position w:val="4"/>
                <w:sz w:val="16"/>
              </w:rPr>
              <w:t>1</w:t>
            </w:r>
            <w:r>
              <w:rPr>
                <w:sz w:val="20"/>
              </w:rPr>
              <w:t>/</w:t>
            </w:r>
            <w:r>
              <w:rPr>
                <w:sz w:val="16"/>
              </w:rPr>
              <w:t>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4</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7</w:t>
            </w:r>
            <w:r>
              <w:rPr>
                <w:sz w:val="20"/>
              </w:rPr>
              <w:t>/</w:t>
            </w:r>
            <w:r>
              <w:rPr>
                <w:sz w:val="16"/>
              </w:rPr>
              <w:t>16</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9</w:t>
            </w:r>
            <w:r>
              <w:rPr>
                <w:position w:val="4"/>
                <w:sz w:val="16"/>
              </w:rPr>
              <w:t>1</w:t>
            </w:r>
            <w:r>
              <w:rPr>
                <w:sz w:val="20"/>
              </w:rPr>
              <w:t>/</w:t>
            </w:r>
            <w:r>
              <w:rPr>
                <w:sz w:val="16"/>
              </w:rPr>
              <w:t>2</w:t>
            </w:r>
          </w:p>
        </w:tc>
        <w:tc>
          <w:tcPr>
            <w:tcW w:w="600" w:type="dxa"/>
            <w:tcBorders>
              <w:left w:val="single" w:sz="6" w:space="0" w:color="auto"/>
            </w:tcBorders>
          </w:tcPr>
          <w:p w:rsidR="00B40966" w:rsidRDefault="00B40966">
            <w:pPr>
              <w:pStyle w:val="TableText"/>
              <w:jc w:val="center"/>
              <w:rPr>
                <w:sz w:val="20"/>
              </w:rPr>
            </w:pPr>
            <w:r>
              <w:rPr>
                <w:sz w:val="20"/>
              </w:rPr>
              <w:t>0</w:t>
            </w:r>
          </w:p>
        </w:tc>
        <w:tc>
          <w:tcPr>
            <w:tcW w:w="720" w:type="dxa"/>
          </w:tcPr>
          <w:p w:rsidR="00B40966" w:rsidRDefault="00B40966">
            <w:pPr>
              <w:pStyle w:val="TableText"/>
              <w:jc w:val="center"/>
              <w:rPr>
                <w:sz w:val="20"/>
              </w:rPr>
            </w:pPr>
            <w:r>
              <w:rPr>
                <w:sz w:val="20"/>
              </w:rPr>
              <w:t>18</w:t>
            </w:r>
            <w:r>
              <w:rPr>
                <w:position w:val="4"/>
                <w:sz w:val="16"/>
              </w:rPr>
              <w:t>1</w:t>
            </w:r>
            <w:r>
              <w:rPr>
                <w:sz w:val="20"/>
              </w:rPr>
              <w:t>/</w:t>
            </w:r>
            <w:r>
              <w:rPr>
                <w:sz w:val="16"/>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44" w:type="dxa"/>
          </w:tcPr>
          <w:p w:rsidR="00B40966" w:rsidRDefault="00B40966">
            <w:pPr>
              <w:pStyle w:val="TableText"/>
              <w:jc w:val="center"/>
              <w:rPr>
                <w:sz w:val="20"/>
              </w:rPr>
            </w:pPr>
            <w:r>
              <w:rPr>
                <w:sz w:val="20"/>
              </w:rPr>
              <w:t>16</w:t>
            </w:r>
            <w:r>
              <w:rPr>
                <w:position w:val="4"/>
                <w:sz w:val="16"/>
              </w:rPr>
              <w:t>1</w:t>
            </w:r>
            <w:r>
              <w:rPr>
                <w:sz w:val="20"/>
              </w:rPr>
              <w:t>/</w:t>
            </w:r>
            <w:r>
              <w:rPr>
                <w:sz w:val="16"/>
              </w:rPr>
              <w:t>2</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13</w:t>
            </w:r>
            <w:r>
              <w:rPr>
                <w:position w:val="4"/>
                <w:sz w:val="16"/>
              </w:rPr>
              <w:t>1</w:t>
            </w:r>
            <w:r>
              <w:rPr>
                <w:sz w:val="20"/>
              </w:rPr>
              <w:t>/</w:t>
            </w:r>
            <w:r>
              <w:rPr>
                <w:sz w:val="16"/>
              </w:rPr>
              <w:t>2</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9</w:t>
            </w:r>
            <w:r>
              <w:rPr>
                <w:position w:val="4"/>
                <w:sz w:val="16"/>
              </w:rPr>
              <w:t>1</w:t>
            </w:r>
            <w:r>
              <w:rPr>
                <w:sz w:val="20"/>
              </w:rPr>
              <w:t>/</w:t>
            </w:r>
            <w:r>
              <w:rPr>
                <w:sz w:val="16"/>
              </w:rPr>
              <w:t>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5</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15</w:t>
            </w:r>
            <w:r>
              <w:rPr>
                <w:sz w:val="20"/>
              </w:rPr>
              <w:t>/</w:t>
            </w:r>
            <w:r>
              <w:rPr>
                <w:sz w:val="16"/>
              </w:rPr>
              <w:t>32</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12</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tcPr>
          <w:p w:rsidR="00B40966" w:rsidRDefault="00B40966">
            <w:pPr>
              <w:pStyle w:val="TableText"/>
              <w:jc w:val="center"/>
              <w:rPr>
                <w:sz w:val="20"/>
              </w:rPr>
            </w:pPr>
            <w:r>
              <w:rPr>
                <w:sz w:val="20"/>
              </w:rPr>
              <w:t>3</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1</w:t>
            </w:r>
          </w:p>
        </w:tc>
        <w:tc>
          <w:tcPr>
            <w:tcW w:w="756" w:type="dxa"/>
            <w:tcBorders>
              <w:left w:val="single" w:sz="6" w:space="0" w:color="auto"/>
            </w:tcBorders>
          </w:tcPr>
          <w:p w:rsidR="00B40966" w:rsidRDefault="00B40966">
            <w:pPr>
              <w:pStyle w:val="TableText"/>
              <w:jc w:val="center"/>
              <w:rPr>
                <w:sz w:val="20"/>
              </w:rPr>
            </w:pPr>
            <w:r>
              <w:rPr>
                <w:sz w:val="20"/>
              </w:rPr>
              <w:t>0</w:t>
            </w:r>
          </w:p>
        </w:tc>
        <w:tc>
          <w:tcPr>
            <w:tcW w:w="804" w:type="dxa"/>
          </w:tcPr>
          <w:p w:rsidR="00B40966" w:rsidRDefault="00B40966">
            <w:pPr>
              <w:pStyle w:val="TableText"/>
              <w:jc w:val="center"/>
              <w:rPr>
                <w:sz w:val="20"/>
              </w:rPr>
            </w:pPr>
            <w:r>
              <w:rPr>
                <w:sz w:val="20"/>
              </w:rPr>
              <w:t>17</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6</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w:t>
            </w:r>
            <w:r>
              <w:rPr>
                <w:sz w:val="20"/>
              </w:rPr>
              <w:t>/</w:t>
            </w:r>
            <w:r>
              <w:rPr>
                <w:sz w:val="16"/>
              </w:rPr>
              <w:t>2</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14</w:t>
            </w:r>
            <w:r>
              <w:rPr>
                <w:position w:val="4"/>
                <w:sz w:val="16"/>
              </w:rPr>
              <w:t>1</w:t>
            </w:r>
            <w:r>
              <w:rPr>
                <w:sz w:val="20"/>
              </w:rPr>
              <w:t>/</w:t>
            </w:r>
            <w:r>
              <w:rPr>
                <w:sz w:val="16"/>
              </w:rPr>
              <w:t>2</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tcPr>
          <w:p w:rsidR="00B40966" w:rsidRDefault="00B40966">
            <w:pPr>
              <w:pStyle w:val="TableText"/>
              <w:jc w:val="center"/>
              <w:rPr>
                <w:sz w:val="20"/>
              </w:rPr>
            </w:pPr>
            <w:r>
              <w:rPr>
                <w:sz w:val="20"/>
              </w:rPr>
              <w:t>8</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5</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0</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14</w:t>
            </w:r>
            <w:r>
              <w:rPr>
                <w:position w:val="4"/>
                <w:sz w:val="16"/>
              </w:rPr>
              <w:t>1</w:t>
            </w:r>
            <w:r>
              <w:rPr>
                <w:sz w:val="20"/>
              </w:rPr>
              <w:t>/</w:t>
            </w:r>
            <w:r>
              <w:rPr>
                <w:sz w:val="16"/>
              </w:rPr>
              <w:t>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7</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924" w:type="dxa"/>
            <w:gridSpan w:val="2"/>
            <w:tcBorders>
              <w:right w:val="single" w:sz="6" w:space="0" w:color="auto"/>
            </w:tcBorders>
          </w:tcPr>
          <w:p w:rsidR="00B40966" w:rsidRDefault="00B40966">
            <w:pPr>
              <w:pStyle w:val="TableText"/>
              <w:jc w:val="center"/>
              <w:rPr>
                <w:sz w:val="20"/>
              </w:rPr>
            </w:pPr>
            <w:r>
              <w:rPr>
                <w:position w:val="4"/>
                <w:sz w:val="16"/>
              </w:rPr>
              <w:t>9</w:t>
            </w:r>
            <w:r>
              <w:rPr>
                <w:sz w:val="20"/>
              </w:rPr>
              <w:t>/</w:t>
            </w:r>
            <w:r>
              <w:rPr>
                <w:sz w:val="16"/>
              </w:rPr>
              <w:t>16</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16</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tcPr>
          <w:p w:rsidR="00B40966" w:rsidRDefault="00B40966">
            <w:pPr>
              <w:pStyle w:val="TableText"/>
              <w:jc w:val="center"/>
              <w:rPr>
                <w:sz w:val="20"/>
              </w:rPr>
            </w:pPr>
            <w:r>
              <w:rPr>
                <w:sz w:val="20"/>
              </w:rPr>
              <w:t>11</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8</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3</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16</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8</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19</w:t>
            </w:r>
            <w:r>
              <w:rPr>
                <w:sz w:val="20"/>
              </w:rPr>
              <w:t>/</w:t>
            </w:r>
            <w:r>
              <w:rPr>
                <w:sz w:val="16"/>
              </w:rPr>
              <w:t>32</w:t>
            </w:r>
            <w:r>
              <w:rPr>
                <w:sz w:val="20"/>
              </w:rPr>
              <w:t xml:space="preserve"> </w:t>
            </w:r>
          </w:p>
        </w:tc>
        <w:tc>
          <w:tcPr>
            <w:tcW w:w="660" w:type="dxa"/>
            <w:gridSpan w:val="2"/>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18</w:t>
            </w:r>
            <w:r>
              <w:rPr>
                <w:position w:val="4"/>
                <w:sz w:val="16"/>
              </w:rPr>
              <w:t>1</w:t>
            </w:r>
            <w:r>
              <w:rPr>
                <w:sz w:val="20"/>
              </w:rPr>
              <w:t>/</w:t>
            </w:r>
            <w:r>
              <w:rPr>
                <w:sz w:val="16"/>
              </w:rPr>
              <w:t>2</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tcPr>
          <w:p w:rsidR="00B40966" w:rsidRDefault="00B40966">
            <w:pPr>
              <w:pStyle w:val="TableText"/>
              <w:jc w:val="center"/>
              <w:rPr>
                <w:sz w:val="20"/>
              </w:rPr>
            </w:pPr>
            <w:r>
              <w:rPr>
                <w:sz w:val="20"/>
              </w:rPr>
              <w:t>16</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12</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6</w:t>
            </w:r>
          </w:p>
        </w:tc>
        <w:tc>
          <w:tcPr>
            <w:tcW w:w="742" w:type="dxa"/>
            <w:tcBorders>
              <w:left w:val="single" w:sz="6" w:space="0" w:color="auto"/>
            </w:tcBorders>
          </w:tcPr>
          <w:p w:rsidR="00B40966" w:rsidRDefault="00B40966">
            <w:pPr>
              <w:pStyle w:val="TableText"/>
              <w:jc w:val="center"/>
              <w:rPr>
                <w:sz w:val="20"/>
              </w:rPr>
            </w:pPr>
            <w:r>
              <w:rPr>
                <w:sz w:val="20"/>
              </w:rPr>
              <w:t>0</w:t>
            </w:r>
          </w:p>
        </w:tc>
        <w:tc>
          <w:tcPr>
            <w:tcW w:w="770" w:type="dxa"/>
            <w:tcBorders>
              <w:right w:val="single" w:sz="6" w:space="0" w:color="auto"/>
            </w:tcBorders>
          </w:tcPr>
          <w:p w:rsidR="00B40966" w:rsidRDefault="00B40966">
            <w:pPr>
              <w:pStyle w:val="TableText"/>
              <w:jc w:val="center"/>
              <w:rPr>
                <w:sz w:val="20"/>
              </w:rPr>
            </w:pPr>
            <w:r>
              <w:rPr>
                <w:sz w:val="20"/>
              </w:rPr>
              <w:t>18</w:t>
            </w:r>
            <w:r>
              <w:rPr>
                <w:position w:val="4"/>
                <w:sz w:val="16"/>
              </w:rPr>
              <w:t>1</w:t>
            </w:r>
            <w:r>
              <w:rPr>
                <w:sz w:val="20"/>
              </w:rPr>
              <w:t>/</w:t>
            </w:r>
            <w:r>
              <w:rPr>
                <w:sz w:val="16"/>
              </w:rPr>
              <w:t>2</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9</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16"/>
              </w:rPr>
              <w:t>5</w:t>
            </w:r>
            <w:r>
              <w:rPr>
                <w:sz w:val="20"/>
              </w:rPr>
              <w:t>/</w:t>
            </w:r>
            <w:r>
              <w:rPr>
                <w:sz w:val="16"/>
              </w:rPr>
              <w:t>8</w:t>
            </w:r>
            <w:r>
              <w:rPr>
                <w:sz w:val="20"/>
              </w:rPr>
              <w:t xml:space="preserve"> </w:t>
            </w:r>
          </w:p>
        </w:tc>
        <w:tc>
          <w:tcPr>
            <w:tcW w:w="660" w:type="dxa"/>
            <w:gridSpan w:val="2"/>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tcPr>
          <w:p w:rsidR="00B40966" w:rsidRDefault="00B40966">
            <w:pPr>
              <w:pStyle w:val="TableText"/>
              <w:jc w:val="center"/>
              <w:rPr>
                <w:sz w:val="20"/>
              </w:rPr>
            </w:pPr>
            <w:r>
              <w:rPr>
                <w:sz w:val="20"/>
              </w:rPr>
              <w:t>0</w:t>
            </w:r>
          </w:p>
        </w:tc>
        <w:tc>
          <w:tcPr>
            <w:tcW w:w="764" w:type="dxa"/>
            <w:tcBorders>
              <w:left w:val="single" w:sz="6" w:space="0" w:color="auto"/>
            </w:tcBorders>
          </w:tcPr>
          <w:p w:rsidR="00B40966" w:rsidRDefault="00B40966">
            <w:pPr>
              <w:pStyle w:val="TableText"/>
              <w:jc w:val="center"/>
              <w:rPr>
                <w:sz w:val="20"/>
              </w:rPr>
            </w:pPr>
            <w:r>
              <w:rPr>
                <w:sz w:val="20"/>
              </w:rPr>
              <w:t>1</w:t>
            </w:r>
          </w:p>
        </w:tc>
        <w:tc>
          <w:tcPr>
            <w:tcW w:w="844" w:type="dxa"/>
          </w:tcPr>
          <w:p w:rsidR="00B40966" w:rsidRDefault="00B40966">
            <w:pPr>
              <w:pStyle w:val="TableText"/>
              <w:jc w:val="center"/>
              <w:rPr>
                <w:sz w:val="20"/>
              </w:rPr>
            </w:pPr>
            <w:r>
              <w:rPr>
                <w:sz w:val="20"/>
              </w:rPr>
              <w:t>16</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10</w:t>
            </w:r>
          </w:p>
        </w:tc>
        <w:tc>
          <w:tcPr>
            <w:tcW w:w="742" w:type="dxa"/>
            <w:tcBorders>
              <w:left w:val="single" w:sz="6" w:space="0" w:color="auto"/>
            </w:tcBorders>
          </w:tcPr>
          <w:p w:rsidR="00B40966" w:rsidRDefault="00B40966">
            <w:pPr>
              <w:pStyle w:val="TableText"/>
              <w:jc w:val="center"/>
              <w:rPr>
                <w:sz w:val="20"/>
              </w:rPr>
            </w:pPr>
            <w:r>
              <w:rPr>
                <w:sz w:val="20"/>
              </w:rPr>
              <w:t>1</w:t>
            </w:r>
          </w:p>
        </w:tc>
        <w:tc>
          <w:tcPr>
            <w:tcW w:w="770" w:type="dxa"/>
            <w:tcBorders>
              <w:right w:val="single" w:sz="6" w:space="0" w:color="auto"/>
            </w:tcBorders>
          </w:tcPr>
          <w:p w:rsidR="00B40966" w:rsidRDefault="00B40966">
            <w:pPr>
              <w:pStyle w:val="TableText"/>
              <w:jc w:val="center"/>
              <w:rPr>
                <w:sz w:val="20"/>
              </w:rPr>
            </w:pPr>
            <w:r>
              <w:rPr>
                <w:sz w:val="20"/>
              </w:rPr>
              <w:t>1</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11</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2</w:t>
            </w:r>
            <w:r>
              <w:rPr>
                <w:position w:val="4"/>
                <w:sz w:val="16"/>
              </w:rPr>
              <w:t>1</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11</w:t>
            </w:r>
            <w:r>
              <w:rPr>
                <w:sz w:val="20"/>
              </w:rPr>
              <w:t>/</w:t>
            </w:r>
            <w:r>
              <w:rPr>
                <w:sz w:val="16"/>
              </w:rPr>
              <w:t>16</w:t>
            </w:r>
            <w:r>
              <w:rPr>
                <w:sz w:val="20"/>
              </w:rPr>
              <w:t xml:space="preserve"> </w:t>
            </w:r>
          </w:p>
        </w:tc>
        <w:tc>
          <w:tcPr>
            <w:tcW w:w="660" w:type="dxa"/>
            <w:gridSpan w:val="2"/>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4</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tcPr>
          <w:p w:rsidR="00B40966" w:rsidRDefault="00B40966">
            <w:pPr>
              <w:pStyle w:val="TableText"/>
              <w:jc w:val="center"/>
              <w:rPr>
                <w:sz w:val="20"/>
              </w:rPr>
            </w:pPr>
            <w:r>
              <w:rPr>
                <w:sz w:val="20"/>
              </w:rPr>
              <w:t>6</w:t>
            </w:r>
          </w:p>
        </w:tc>
        <w:tc>
          <w:tcPr>
            <w:tcW w:w="764" w:type="dxa"/>
            <w:tcBorders>
              <w:left w:val="single" w:sz="6" w:space="0" w:color="auto"/>
            </w:tcBorders>
          </w:tcPr>
          <w:p w:rsidR="00B40966" w:rsidRDefault="00B40966">
            <w:pPr>
              <w:pStyle w:val="TableText"/>
              <w:jc w:val="center"/>
              <w:rPr>
                <w:sz w:val="20"/>
              </w:rPr>
            </w:pPr>
            <w:r>
              <w:rPr>
                <w:sz w:val="20"/>
              </w:rPr>
              <w:t>2</w:t>
            </w:r>
          </w:p>
        </w:tc>
        <w:tc>
          <w:tcPr>
            <w:tcW w:w="844" w:type="dxa"/>
          </w:tcPr>
          <w:p w:rsidR="00B40966" w:rsidRDefault="00B40966">
            <w:pPr>
              <w:pStyle w:val="TableText"/>
              <w:jc w:val="center"/>
              <w:rPr>
                <w:sz w:val="20"/>
              </w:rPr>
            </w:pPr>
            <w:r>
              <w:rPr>
                <w:sz w:val="20"/>
              </w:rPr>
              <w:t>1</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14</w:t>
            </w:r>
          </w:p>
        </w:tc>
        <w:tc>
          <w:tcPr>
            <w:tcW w:w="742" w:type="dxa"/>
            <w:tcBorders>
              <w:left w:val="single" w:sz="6" w:space="0" w:color="auto"/>
            </w:tcBorders>
          </w:tcPr>
          <w:p w:rsidR="00B40966" w:rsidRDefault="00B40966">
            <w:pPr>
              <w:pStyle w:val="TableText"/>
              <w:jc w:val="center"/>
              <w:rPr>
                <w:sz w:val="20"/>
              </w:rPr>
            </w:pPr>
            <w:r>
              <w:rPr>
                <w:sz w:val="20"/>
              </w:rPr>
              <w:t>1</w:t>
            </w:r>
          </w:p>
        </w:tc>
        <w:tc>
          <w:tcPr>
            <w:tcW w:w="770" w:type="dxa"/>
            <w:tcBorders>
              <w:right w:val="single" w:sz="6" w:space="0" w:color="auto"/>
            </w:tcBorders>
          </w:tcPr>
          <w:p w:rsidR="00B40966" w:rsidRDefault="00B40966">
            <w:pPr>
              <w:pStyle w:val="TableText"/>
              <w:jc w:val="center"/>
              <w:rPr>
                <w:sz w:val="20"/>
              </w:rPr>
            </w:pPr>
            <w:r>
              <w:rPr>
                <w:sz w:val="20"/>
              </w:rPr>
              <w:t>4</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12</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2</w:t>
            </w:r>
            <w:r>
              <w:rPr>
                <w:position w:val="4"/>
                <w:sz w:val="16"/>
              </w:rPr>
              <w:t>1</w:t>
            </w:r>
            <w:r>
              <w:rPr>
                <w:sz w:val="20"/>
              </w:rPr>
              <w:t>/</w:t>
            </w:r>
            <w:r>
              <w:rPr>
                <w:sz w:val="16"/>
              </w:rPr>
              <w:t>4</w:t>
            </w:r>
          </w:p>
        </w:tc>
        <w:tc>
          <w:tcPr>
            <w:tcW w:w="924" w:type="dxa"/>
            <w:gridSpan w:val="2"/>
            <w:tcBorders>
              <w:right w:val="single" w:sz="6" w:space="0" w:color="auto"/>
            </w:tcBorders>
          </w:tcPr>
          <w:p w:rsidR="00B40966" w:rsidRDefault="00B40966">
            <w:pPr>
              <w:pStyle w:val="TableText"/>
              <w:jc w:val="center"/>
              <w:rPr>
                <w:sz w:val="20"/>
              </w:rPr>
            </w:pPr>
            <w:r>
              <w:rPr>
                <w:position w:val="4"/>
                <w:sz w:val="16"/>
              </w:rPr>
              <w:t>23</w:t>
            </w:r>
            <w:r>
              <w:rPr>
                <w:sz w:val="20"/>
              </w:rPr>
              <w:t>/</w:t>
            </w:r>
            <w:r>
              <w:rPr>
                <w:sz w:val="16"/>
              </w:rPr>
              <w:t>32</w:t>
            </w:r>
            <w:r>
              <w:rPr>
                <w:sz w:val="20"/>
              </w:rPr>
              <w:t xml:space="preserve"> </w:t>
            </w:r>
          </w:p>
        </w:tc>
        <w:tc>
          <w:tcPr>
            <w:tcW w:w="660" w:type="dxa"/>
            <w:gridSpan w:val="2"/>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7</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tcPr>
          <w:p w:rsidR="00B40966" w:rsidRDefault="00B40966">
            <w:pPr>
              <w:pStyle w:val="TableText"/>
              <w:jc w:val="center"/>
              <w:rPr>
                <w:sz w:val="20"/>
              </w:rPr>
            </w:pPr>
            <w:r>
              <w:rPr>
                <w:sz w:val="20"/>
              </w:rPr>
              <w:t>12</w:t>
            </w:r>
          </w:p>
        </w:tc>
        <w:tc>
          <w:tcPr>
            <w:tcW w:w="764" w:type="dxa"/>
            <w:tcBorders>
              <w:left w:val="single" w:sz="6" w:space="0" w:color="auto"/>
            </w:tcBorders>
          </w:tcPr>
          <w:p w:rsidR="00B40966" w:rsidRDefault="00B40966">
            <w:pPr>
              <w:pStyle w:val="TableText"/>
              <w:jc w:val="center"/>
              <w:rPr>
                <w:sz w:val="20"/>
              </w:rPr>
            </w:pPr>
            <w:r>
              <w:rPr>
                <w:sz w:val="20"/>
              </w:rPr>
              <w:t>2</w:t>
            </w:r>
          </w:p>
        </w:tc>
        <w:tc>
          <w:tcPr>
            <w:tcW w:w="844" w:type="dxa"/>
          </w:tcPr>
          <w:p w:rsidR="00B40966" w:rsidRDefault="00B40966">
            <w:pPr>
              <w:pStyle w:val="TableText"/>
              <w:jc w:val="center"/>
              <w:rPr>
                <w:sz w:val="20"/>
              </w:rPr>
            </w:pPr>
            <w:r>
              <w:rPr>
                <w:sz w:val="20"/>
              </w:rPr>
              <w:t>7</w:t>
            </w:r>
          </w:p>
        </w:tc>
        <w:tc>
          <w:tcPr>
            <w:tcW w:w="756" w:type="dxa"/>
            <w:tcBorders>
              <w:left w:val="single" w:sz="6" w:space="0" w:color="auto"/>
            </w:tcBorders>
          </w:tcPr>
          <w:p w:rsidR="00B40966" w:rsidRDefault="00B40966">
            <w:pPr>
              <w:pStyle w:val="TableText"/>
              <w:jc w:val="center"/>
              <w:rPr>
                <w:sz w:val="20"/>
              </w:rPr>
            </w:pPr>
            <w:r>
              <w:rPr>
                <w:sz w:val="20"/>
              </w:rPr>
              <w:t>1</w:t>
            </w:r>
          </w:p>
        </w:tc>
        <w:tc>
          <w:tcPr>
            <w:tcW w:w="804" w:type="dxa"/>
          </w:tcPr>
          <w:p w:rsidR="00B40966" w:rsidRDefault="00B40966">
            <w:pPr>
              <w:pStyle w:val="TableText"/>
              <w:jc w:val="center"/>
              <w:rPr>
                <w:sz w:val="20"/>
              </w:rPr>
            </w:pPr>
            <w:r>
              <w:rPr>
                <w:sz w:val="20"/>
              </w:rPr>
              <w:t>18</w:t>
            </w:r>
          </w:p>
        </w:tc>
        <w:tc>
          <w:tcPr>
            <w:tcW w:w="742" w:type="dxa"/>
            <w:tcBorders>
              <w:left w:val="single" w:sz="6" w:space="0" w:color="auto"/>
            </w:tcBorders>
          </w:tcPr>
          <w:p w:rsidR="00B40966" w:rsidRDefault="00B40966">
            <w:pPr>
              <w:pStyle w:val="TableText"/>
              <w:jc w:val="center"/>
              <w:rPr>
                <w:sz w:val="20"/>
              </w:rPr>
            </w:pPr>
            <w:r>
              <w:rPr>
                <w:sz w:val="20"/>
              </w:rPr>
              <w:t>1</w:t>
            </w:r>
          </w:p>
        </w:tc>
        <w:tc>
          <w:tcPr>
            <w:tcW w:w="770" w:type="dxa"/>
            <w:tcBorders>
              <w:right w:val="single" w:sz="6" w:space="0" w:color="auto"/>
            </w:tcBorders>
          </w:tcPr>
          <w:p w:rsidR="00B40966" w:rsidRDefault="00B40966">
            <w:pPr>
              <w:pStyle w:val="TableText"/>
              <w:jc w:val="center"/>
              <w:rPr>
                <w:sz w:val="20"/>
              </w:rPr>
            </w:pPr>
            <w:r>
              <w:rPr>
                <w:sz w:val="20"/>
              </w:rPr>
              <w:t>7</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14</w:t>
            </w:r>
          </w:p>
        </w:tc>
      </w:tr>
      <w:tr w:rsidR="00B40966">
        <w:trPr>
          <w:gridAfter w:val="1"/>
          <w:wAfter w:w="12" w:type="dxa"/>
          <w:cantSplit/>
          <w:trHeight w:val="200"/>
        </w:trPr>
        <w:tc>
          <w:tcPr>
            <w:tcW w:w="992" w:type="dxa"/>
            <w:gridSpan w:val="2"/>
            <w:tcBorders>
              <w:right w:val="single" w:sz="6" w:space="0" w:color="auto"/>
            </w:tcBorders>
          </w:tcPr>
          <w:p w:rsidR="00B40966" w:rsidRDefault="00B40966">
            <w:pPr>
              <w:pStyle w:val="TableText"/>
              <w:jc w:val="center"/>
              <w:rPr>
                <w:sz w:val="20"/>
              </w:rPr>
            </w:pPr>
            <w:r>
              <w:rPr>
                <w:sz w:val="20"/>
              </w:rPr>
              <w:t>2</w:t>
            </w:r>
            <w:r>
              <w:rPr>
                <w:position w:val="4"/>
                <w:sz w:val="16"/>
              </w:rPr>
              <w:t>3</w:t>
            </w:r>
            <w:r>
              <w:rPr>
                <w:sz w:val="20"/>
              </w:rPr>
              <w:t>/</w:t>
            </w:r>
            <w:r>
              <w:rPr>
                <w:sz w:val="16"/>
              </w:rPr>
              <w:t>8</w:t>
            </w:r>
          </w:p>
        </w:tc>
        <w:tc>
          <w:tcPr>
            <w:tcW w:w="924" w:type="dxa"/>
            <w:gridSpan w:val="2"/>
            <w:tcBorders>
              <w:right w:val="single" w:sz="6" w:space="0" w:color="auto"/>
            </w:tcBorders>
          </w:tcPr>
          <w:p w:rsidR="00B40966" w:rsidRDefault="00B40966">
            <w:pPr>
              <w:pStyle w:val="TableText"/>
              <w:jc w:val="center"/>
              <w:rPr>
                <w:sz w:val="20"/>
              </w:rPr>
            </w:pPr>
            <w:r>
              <w:rPr>
                <w:position w:val="4"/>
                <w:sz w:val="16"/>
              </w:rPr>
              <w:t>3</w:t>
            </w:r>
            <w:r>
              <w:rPr>
                <w:sz w:val="20"/>
              </w:rPr>
              <w:t>/</w:t>
            </w:r>
            <w:r>
              <w:rPr>
                <w:sz w:val="16"/>
              </w:rPr>
              <w:t>4</w:t>
            </w:r>
            <w:r>
              <w:rPr>
                <w:sz w:val="20"/>
              </w:rPr>
              <w:t xml:space="preserve"> </w:t>
            </w:r>
          </w:p>
        </w:tc>
        <w:tc>
          <w:tcPr>
            <w:tcW w:w="660" w:type="dxa"/>
            <w:gridSpan w:val="2"/>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10</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tcPr>
          <w:p w:rsidR="00B40966" w:rsidRDefault="00B40966">
            <w:pPr>
              <w:pStyle w:val="TableText"/>
              <w:jc w:val="center"/>
              <w:rPr>
                <w:sz w:val="20"/>
              </w:rPr>
            </w:pPr>
            <w:r>
              <w:rPr>
                <w:sz w:val="20"/>
              </w:rPr>
              <w:t>18</w:t>
            </w:r>
          </w:p>
        </w:tc>
        <w:tc>
          <w:tcPr>
            <w:tcW w:w="764" w:type="dxa"/>
            <w:tcBorders>
              <w:left w:val="single" w:sz="6" w:space="0" w:color="auto"/>
            </w:tcBorders>
          </w:tcPr>
          <w:p w:rsidR="00B40966" w:rsidRDefault="00B40966">
            <w:pPr>
              <w:pStyle w:val="TableText"/>
              <w:jc w:val="center"/>
              <w:rPr>
                <w:sz w:val="20"/>
              </w:rPr>
            </w:pPr>
            <w:r>
              <w:rPr>
                <w:sz w:val="20"/>
              </w:rPr>
              <w:t>2</w:t>
            </w:r>
          </w:p>
        </w:tc>
        <w:tc>
          <w:tcPr>
            <w:tcW w:w="844" w:type="dxa"/>
          </w:tcPr>
          <w:p w:rsidR="00B40966" w:rsidRDefault="00B40966">
            <w:pPr>
              <w:pStyle w:val="TableText"/>
              <w:jc w:val="center"/>
              <w:rPr>
                <w:sz w:val="20"/>
              </w:rPr>
            </w:pPr>
            <w:r>
              <w:rPr>
                <w:sz w:val="20"/>
              </w:rPr>
              <w:t>12</w:t>
            </w:r>
          </w:p>
        </w:tc>
        <w:tc>
          <w:tcPr>
            <w:tcW w:w="756" w:type="dxa"/>
            <w:tcBorders>
              <w:left w:val="single" w:sz="6" w:space="0" w:color="auto"/>
            </w:tcBorders>
          </w:tcPr>
          <w:p w:rsidR="00B40966" w:rsidRDefault="00B40966">
            <w:pPr>
              <w:pStyle w:val="TableText"/>
              <w:jc w:val="center"/>
              <w:rPr>
                <w:sz w:val="20"/>
              </w:rPr>
            </w:pPr>
            <w:r>
              <w:rPr>
                <w:sz w:val="20"/>
              </w:rPr>
              <w:t>2</w:t>
            </w:r>
          </w:p>
        </w:tc>
        <w:tc>
          <w:tcPr>
            <w:tcW w:w="804" w:type="dxa"/>
          </w:tcPr>
          <w:p w:rsidR="00B40966" w:rsidRDefault="00B40966">
            <w:pPr>
              <w:pStyle w:val="TableText"/>
              <w:jc w:val="center"/>
              <w:rPr>
                <w:sz w:val="20"/>
              </w:rPr>
            </w:pPr>
            <w:r>
              <w:rPr>
                <w:sz w:val="20"/>
              </w:rPr>
              <w:t>2</w:t>
            </w:r>
          </w:p>
        </w:tc>
        <w:tc>
          <w:tcPr>
            <w:tcW w:w="742" w:type="dxa"/>
            <w:tcBorders>
              <w:left w:val="single" w:sz="6" w:space="0" w:color="auto"/>
            </w:tcBorders>
          </w:tcPr>
          <w:p w:rsidR="00B40966" w:rsidRDefault="00B40966">
            <w:pPr>
              <w:pStyle w:val="TableText"/>
              <w:jc w:val="center"/>
              <w:rPr>
                <w:sz w:val="20"/>
              </w:rPr>
            </w:pPr>
            <w:r>
              <w:rPr>
                <w:sz w:val="20"/>
              </w:rPr>
              <w:t>1</w:t>
            </w:r>
          </w:p>
        </w:tc>
        <w:tc>
          <w:tcPr>
            <w:tcW w:w="770" w:type="dxa"/>
            <w:tcBorders>
              <w:right w:val="single" w:sz="6" w:space="0" w:color="auto"/>
            </w:tcBorders>
          </w:tcPr>
          <w:p w:rsidR="00B40966" w:rsidRDefault="00B40966">
            <w:pPr>
              <w:pStyle w:val="TableText"/>
              <w:jc w:val="center"/>
              <w:rPr>
                <w:sz w:val="20"/>
              </w:rPr>
            </w:pPr>
            <w:r>
              <w:rPr>
                <w:sz w:val="20"/>
              </w:rPr>
              <w:t>10</w:t>
            </w:r>
          </w:p>
        </w:tc>
        <w:tc>
          <w:tcPr>
            <w:tcW w:w="790" w:type="dxa"/>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15</w:t>
            </w:r>
            <w:r>
              <w:rPr>
                <w:position w:val="4"/>
                <w:sz w:val="16"/>
              </w:rPr>
              <w:t>1</w:t>
            </w:r>
            <w:r>
              <w:rPr>
                <w:sz w:val="20"/>
              </w:rPr>
              <w:t>/</w:t>
            </w:r>
            <w:r>
              <w:rPr>
                <w:sz w:val="16"/>
              </w:rPr>
              <w:t>2</w:t>
            </w:r>
          </w:p>
        </w:tc>
      </w:tr>
      <w:tr w:rsidR="00B40966">
        <w:trPr>
          <w:gridAfter w:val="1"/>
          <w:wAfter w:w="12" w:type="dxa"/>
          <w:cantSplit/>
          <w:trHeight w:val="200"/>
        </w:trPr>
        <w:tc>
          <w:tcPr>
            <w:tcW w:w="992" w:type="dxa"/>
            <w:gridSpan w:val="2"/>
            <w:tcBorders>
              <w:bottom w:val="single" w:sz="6" w:space="0" w:color="auto"/>
              <w:right w:val="single" w:sz="6" w:space="0" w:color="auto"/>
            </w:tcBorders>
          </w:tcPr>
          <w:p w:rsidR="00B40966" w:rsidRDefault="00B40966">
            <w:pPr>
              <w:pStyle w:val="TableText"/>
              <w:jc w:val="center"/>
              <w:rPr>
                <w:sz w:val="20"/>
              </w:rPr>
            </w:pPr>
            <w:r>
              <w:rPr>
                <w:sz w:val="20"/>
              </w:rPr>
              <w:t>2</w:t>
            </w:r>
            <w:r>
              <w:rPr>
                <w:position w:val="4"/>
                <w:sz w:val="16"/>
              </w:rPr>
              <w:t>1</w:t>
            </w:r>
            <w:r>
              <w:rPr>
                <w:sz w:val="20"/>
              </w:rPr>
              <w:t>/</w:t>
            </w:r>
            <w:r>
              <w:rPr>
                <w:sz w:val="16"/>
              </w:rPr>
              <w:t>2</w:t>
            </w:r>
          </w:p>
        </w:tc>
        <w:tc>
          <w:tcPr>
            <w:tcW w:w="924" w:type="dxa"/>
            <w:gridSpan w:val="2"/>
            <w:tcBorders>
              <w:bottom w:val="single" w:sz="6" w:space="0" w:color="auto"/>
              <w:right w:val="single" w:sz="6" w:space="0" w:color="auto"/>
            </w:tcBorders>
          </w:tcPr>
          <w:p w:rsidR="00B40966" w:rsidRDefault="00B40966">
            <w:pPr>
              <w:pStyle w:val="TableText"/>
              <w:jc w:val="center"/>
              <w:rPr>
                <w:sz w:val="20"/>
              </w:rPr>
            </w:pPr>
            <w:r>
              <w:rPr>
                <w:position w:val="4"/>
                <w:sz w:val="16"/>
              </w:rPr>
              <w:t>13</w:t>
            </w:r>
            <w:r>
              <w:rPr>
                <w:sz w:val="20"/>
              </w:rPr>
              <w:t>/</w:t>
            </w:r>
            <w:r>
              <w:rPr>
                <w:sz w:val="16"/>
              </w:rPr>
              <w:t>16</w:t>
            </w:r>
            <w:r>
              <w:rPr>
                <w:sz w:val="20"/>
              </w:rPr>
              <w:t xml:space="preserve"> </w:t>
            </w:r>
          </w:p>
        </w:tc>
        <w:tc>
          <w:tcPr>
            <w:tcW w:w="660" w:type="dxa"/>
            <w:gridSpan w:val="2"/>
            <w:tcBorders>
              <w:bottom w:val="single" w:sz="6" w:space="0" w:color="auto"/>
            </w:tcBorders>
          </w:tcPr>
          <w:p w:rsidR="00B40966" w:rsidRDefault="00B40966">
            <w:pPr>
              <w:pStyle w:val="TableText"/>
              <w:jc w:val="center"/>
              <w:rPr>
                <w:sz w:val="20"/>
              </w:rPr>
            </w:pPr>
            <w:r>
              <w:rPr>
                <w:sz w:val="20"/>
              </w:rPr>
              <w:t>1</w:t>
            </w:r>
          </w:p>
        </w:tc>
        <w:tc>
          <w:tcPr>
            <w:tcW w:w="840" w:type="dxa"/>
            <w:tcBorders>
              <w:bottom w:val="single" w:sz="6" w:space="0" w:color="auto"/>
            </w:tcBorders>
          </w:tcPr>
          <w:p w:rsidR="00B40966" w:rsidRDefault="00B40966">
            <w:pPr>
              <w:pStyle w:val="TableText"/>
              <w:jc w:val="center"/>
              <w:rPr>
                <w:sz w:val="20"/>
              </w:rPr>
            </w:pPr>
            <w:r>
              <w:rPr>
                <w:sz w:val="20"/>
              </w:rPr>
              <w:t>13</w:t>
            </w:r>
          </w:p>
        </w:tc>
        <w:tc>
          <w:tcPr>
            <w:tcW w:w="600" w:type="dxa"/>
            <w:tcBorders>
              <w:left w:val="single" w:sz="6" w:space="0" w:color="auto"/>
              <w:bottom w:val="single" w:sz="6" w:space="0" w:color="auto"/>
            </w:tcBorders>
          </w:tcPr>
          <w:p w:rsidR="00B40966" w:rsidRDefault="00B40966">
            <w:pPr>
              <w:pStyle w:val="TableText"/>
              <w:jc w:val="center"/>
              <w:rPr>
                <w:sz w:val="20"/>
              </w:rPr>
            </w:pPr>
            <w:r>
              <w:rPr>
                <w:sz w:val="20"/>
              </w:rPr>
              <w:t>3</w:t>
            </w:r>
          </w:p>
        </w:tc>
        <w:tc>
          <w:tcPr>
            <w:tcW w:w="720" w:type="dxa"/>
            <w:tcBorders>
              <w:bottom w:val="single" w:sz="6" w:space="0" w:color="auto"/>
            </w:tcBorders>
          </w:tcPr>
          <w:p w:rsidR="00B40966" w:rsidRDefault="00B40966">
            <w:pPr>
              <w:pStyle w:val="TableText"/>
              <w:jc w:val="center"/>
              <w:rPr>
                <w:sz w:val="20"/>
              </w:rPr>
            </w:pPr>
            <w:r>
              <w:rPr>
                <w:sz w:val="20"/>
              </w:rPr>
              <w:t>4</w:t>
            </w:r>
          </w:p>
        </w:tc>
        <w:tc>
          <w:tcPr>
            <w:tcW w:w="764" w:type="dxa"/>
            <w:tcBorders>
              <w:left w:val="single" w:sz="6" w:space="0" w:color="auto"/>
              <w:bottom w:val="single" w:sz="6" w:space="0" w:color="auto"/>
            </w:tcBorders>
          </w:tcPr>
          <w:p w:rsidR="00B40966" w:rsidRDefault="00B40966">
            <w:pPr>
              <w:pStyle w:val="TableText"/>
              <w:jc w:val="center"/>
              <w:rPr>
                <w:sz w:val="20"/>
              </w:rPr>
            </w:pPr>
            <w:r>
              <w:rPr>
                <w:sz w:val="20"/>
              </w:rPr>
              <w:t>2</w:t>
            </w:r>
          </w:p>
        </w:tc>
        <w:tc>
          <w:tcPr>
            <w:tcW w:w="844" w:type="dxa"/>
            <w:tcBorders>
              <w:bottom w:val="single" w:sz="6" w:space="0" w:color="auto"/>
            </w:tcBorders>
          </w:tcPr>
          <w:p w:rsidR="00B40966" w:rsidRDefault="00B40966">
            <w:pPr>
              <w:pStyle w:val="TableText"/>
              <w:jc w:val="center"/>
              <w:rPr>
                <w:sz w:val="20"/>
              </w:rPr>
            </w:pPr>
            <w:r>
              <w:rPr>
                <w:sz w:val="20"/>
              </w:rPr>
              <w:t>17</w:t>
            </w:r>
          </w:p>
        </w:tc>
        <w:tc>
          <w:tcPr>
            <w:tcW w:w="756" w:type="dxa"/>
            <w:tcBorders>
              <w:left w:val="single" w:sz="6" w:space="0" w:color="auto"/>
              <w:bottom w:val="single" w:sz="6" w:space="0" w:color="auto"/>
            </w:tcBorders>
          </w:tcPr>
          <w:p w:rsidR="00B40966" w:rsidRDefault="00B40966">
            <w:pPr>
              <w:pStyle w:val="TableText"/>
              <w:jc w:val="center"/>
              <w:rPr>
                <w:sz w:val="20"/>
              </w:rPr>
            </w:pPr>
            <w:r>
              <w:rPr>
                <w:sz w:val="20"/>
              </w:rPr>
              <w:t>2</w:t>
            </w:r>
          </w:p>
        </w:tc>
        <w:tc>
          <w:tcPr>
            <w:tcW w:w="804" w:type="dxa"/>
            <w:tcBorders>
              <w:bottom w:val="single" w:sz="6" w:space="0" w:color="auto"/>
            </w:tcBorders>
          </w:tcPr>
          <w:p w:rsidR="00B40966" w:rsidRDefault="00B40966">
            <w:pPr>
              <w:pStyle w:val="TableText"/>
              <w:jc w:val="center"/>
              <w:rPr>
                <w:sz w:val="20"/>
              </w:rPr>
            </w:pPr>
            <w:r>
              <w:rPr>
                <w:sz w:val="20"/>
              </w:rPr>
              <w:t>7</w:t>
            </w:r>
          </w:p>
        </w:tc>
        <w:tc>
          <w:tcPr>
            <w:tcW w:w="742" w:type="dxa"/>
            <w:tcBorders>
              <w:left w:val="single" w:sz="6" w:space="0" w:color="auto"/>
              <w:bottom w:val="single" w:sz="6" w:space="0" w:color="auto"/>
            </w:tcBorders>
          </w:tcPr>
          <w:p w:rsidR="00B40966" w:rsidRDefault="00B40966">
            <w:pPr>
              <w:pStyle w:val="TableText"/>
              <w:jc w:val="center"/>
              <w:rPr>
                <w:sz w:val="20"/>
              </w:rPr>
            </w:pPr>
            <w:r>
              <w:rPr>
                <w:sz w:val="20"/>
              </w:rPr>
              <w:t>1</w:t>
            </w:r>
          </w:p>
        </w:tc>
        <w:tc>
          <w:tcPr>
            <w:tcW w:w="770" w:type="dxa"/>
            <w:tcBorders>
              <w:bottom w:val="single" w:sz="6" w:space="0" w:color="auto"/>
              <w:right w:val="single" w:sz="6" w:space="0" w:color="auto"/>
            </w:tcBorders>
          </w:tcPr>
          <w:p w:rsidR="00B40966" w:rsidRDefault="00B40966">
            <w:pPr>
              <w:pStyle w:val="TableText"/>
              <w:jc w:val="center"/>
              <w:rPr>
                <w:sz w:val="20"/>
              </w:rPr>
            </w:pPr>
            <w:r>
              <w:rPr>
                <w:sz w:val="20"/>
              </w:rPr>
              <w:t>13</w:t>
            </w:r>
          </w:p>
        </w:tc>
        <w:tc>
          <w:tcPr>
            <w:tcW w:w="790" w:type="dxa"/>
            <w:tcBorders>
              <w:bottom w:val="single" w:sz="6" w:space="0" w:color="auto"/>
            </w:tcBorders>
          </w:tcPr>
          <w:p w:rsidR="00B40966" w:rsidRDefault="00B40966">
            <w:pPr>
              <w:pStyle w:val="TableText"/>
              <w:jc w:val="center"/>
              <w:rPr>
                <w:sz w:val="20"/>
              </w:rPr>
            </w:pPr>
            <w:r>
              <w:rPr>
                <w:sz w:val="20"/>
              </w:rPr>
              <w:t>0</w:t>
            </w:r>
          </w:p>
        </w:tc>
        <w:tc>
          <w:tcPr>
            <w:tcW w:w="662" w:type="dxa"/>
            <w:gridSpan w:val="2"/>
            <w:tcBorders>
              <w:bottom w:val="single" w:sz="6" w:space="0" w:color="auto"/>
            </w:tcBorders>
          </w:tcPr>
          <w:p w:rsidR="00B40966" w:rsidRDefault="00B40966">
            <w:pPr>
              <w:pStyle w:val="TableText"/>
              <w:jc w:val="center"/>
              <w:rPr>
                <w:sz w:val="20"/>
              </w:rPr>
            </w:pPr>
            <w:r>
              <w:rPr>
                <w:sz w:val="20"/>
              </w:rPr>
              <w:t>17</w:t>
            </w:r>
          </w:p>
        </w:tc>
      </w:tr>
    </w:tbl>
    <w:p w:rsidR="00B40966" w:rsidRDefault="00B40966"/>
    <w:p w:rsidR="00B40966" w:rsidRDefault="00B40966">
      <w:pPr>
        <w:pStyle w:val="TableHd"/>
      </w:pPr>
      <w:r>
        <w:t>Maximum safe working load for steel wire rope—Classification 1</w:t>
      </w:r>
    </w:p>
    <w:p w:rsidR="00B40966" w:rsidRDefault="00B40966">
      <w:pPr>
        <w:pStyle w:val="TableHd"/>
        <w:ind w:left="0" w:firstLine="0"/>
      </w:pPr>
      <w:r>
        <w:t>Minimum ultimate tensile value of steel of which rope is constructed = 80 tons per square inch</w:t>
      </w:r>
      <w:r>
        <w:br/>
        <w:t>construction:  Six strands each containing nineteen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40"/>
        <w:gridCol w:w="12"/>
        <w:gridCol w:w="12"/>
        <w:gridCol w:w="576"/>
        <w:gridCol w:w="12"/>
        <w:gridCol w:w="708"/>
        <w:gridCol w:w="764"/>
        <w:gridCol w:w="844"/>
        <w:gridCol w:w="24"/>
        <w:gridCol w:w="732"/>
        <w:gridCol w:w="768"/>
        <w:gridCol w:w="18"/>
        <w:gridCol w:w="18"/>
        <w:gridCol w:w="742"/>
        <w:gridCol w:w="760"/>
        <w:gridCol w:w="18"/>
        <w:gridCol w:w="790"/>
        <w:gridCol w:w="654"/>
        <w:gridCol w:w="24"/>
      </w:tblGrid>
      <w:tr w:rsidR="00B40966">
        <w:trPr>
          <w:gridAfter w:val="1"/>
          <w:wAfter w:w="24" w:type="dxa"/>
          <w:cantSplit/>
          <w:tblHeader/>
        </w:trPr>
        <w:tc>
          <w:tcPr>
            <w:tcW w:w="984" w:type="dxa"/>
            <w:gridSpan w:val="2"/>
            <w:tcBorders>
              <w:top w:val="single" w:sz="6" w:space="0" w:color="auto"/>
              <w:right w:val="single" w:sz="6" w:space="0" w:color="auto"/>
            </w:tcBorders>
          </w:tcPr>
          <w:p w:rsidR="00B40966" w:rsidRDefault="00B40966">
            <w:pPr>
              <w:pStyle w:val="TableColHd"/>
              <w:jc w:val="center"/>
            </w:pPr>
          </w:p>
        </w:tc>
        <w:tc>
          <w:tcPr>
            <w:tcW w:w="924" w:type="dxa"/>
            <w:tcBorders>
              <w:top w:val="single" w:sz="6" w:space="0" w:color="auto"/>
              <w:right w:val="single" w:sz="6" w:space="0" w:color="auto"/>
            </w:tcBorders>
          </w:tcPr>
          <w:p w:rsidR="00B40966" w:rsidRDefault="00B40966">
            <w:pPr>
              <w:pStyle w:val="TableColHd"/>
              <w:jc w:val="center"/>
            </w:pPr>
          </w:p>
        </w:tc>
        <w:tc>
          <w:tcPr>
            <w:tcW w:w="579" w:type="dxa"/>
            <w:gridSpan w:val="2"/>
            <w:tcBorders>
              <w:top w:val="single" w:sz="6" w:space="0" w:color="auto"/>
            </w:tcBorders>
          </w:tcPr>
          <w:p w:rsidR="00B40966" w:rsidRDefault="00B40966">
            <w:pPr>
              <w:pStyle w:val="TableColHd"/>
              <w:jc w:val="center"/>
            </w:pPr>
          </w:p>
        </w:tc>
        <w:tc>
          <w:tcPr>
            <w:tcW w:w="933" w:type="dxa"/>
            <w:gridSpan w:val="2"/>
            <w:tcBorders>
              <w:top w:val="single" w:sz="6" w:space="0" w:color="auto"/>
            </w:tcBorders>
          </w:tcPr>
          <w:p w:rsidR="00B40966" w:rsidRDefault="00B40966">
            <w:pPr>
              <w:pStyle w:val="TableColHd"/>
              <w:jc w:val="center"/>
            </w:pPr>
          </w:p>
        </w:tc>
        <w:tc>
          <w:tcPr>
            <w:tcW w:w="7436" w:type="dxa"/>
            <w:gridSpan w:val="17"/>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984" w:type="dxa"/>
            <w:gridSpan w:val="2"/>
            <w:tcBorders>
              <w:right w:val="single" w:sz="6" w:space="0" w:color="auto"/>
            </w:tcBorders>
            <w:vAlign w:val="bottom"/>
          </w:tcPr>
          <w:p w:rsidR="00B40966" w:rsidRDefault="00B40966">
            <w:pPr>
              <w:pStyle w:val="TableColHd"/>
            </w:pPr>
            <w:r>
              <w:t>circum-</w:t>
            </w:r>
            <w:r>
              <w:br/>
              <w:t>ference</w:t>
            </w:r>
            <w:r>
              <w:br/>
              <w:t>of rope</w:t>
            </w:r>
          </w:p>
        </w:tc>
        <w:tc>
          <w:tcPr>
            <w:tcW w:w="924" w:type="dxa"/>
            <w:tcBorders>
              <w:right w:val="single" w:sz="6" w:space="0" w:color="auto"/>
            </w:tcBorders>
            <w:vAlign w:val="bottom"/>
          </w:tcPr>
          <w:p w:rsidR="00B40966" w:rsidRDefault="00B40966">
            <w:pPr>
              <w:pStyle w:val="TableColHd"/>
            </w:pPr>
            <w:r>
              <w:t>approx.</w:t>
            </w:r>
            <w:r>
              <w:br/>
              <w:t>diameter</w:t>
            </w:r>
            <w:r>
              <w:br/>
              <w:t>of rope</w:t>
            </w:r>
          </w:p>
        </w:tc>
        <w:tc>
          <w:tcPr>
            <w:tcW w:w="1512" w:type="dxa"/>
            <w:gridSpan w:val="4"/>
            <w:vAlign w:val="bottom"/>
          </w:tcPr>
          <w:p w:rsidR="00B40966" w:rsidRDefault="00B40966">
            <w:pPr>
              <w:pStyle w:val="TableColHd"/>
            </w:pPr>
            <w:r>
              <w:t>safe load for 1 single fall (part) of rope</w:t>
            </w:r>
          </w:p>
        </w:tc>
        <w:tc>
          <w:tcPr>
            <w:tcW w:w="1320" w:type="dxa"/>
            <w:gridSpan w:val="5"/>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600"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60" w:type="dxa"/>
            <w:gridSpan w:val="5"/>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20" w:type="dxa"/>
            <w:gridSpan w:val="3"/>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60" w:type="dxa"/>
            <w:gridSpan w:val="3"/>
          </w:tcPr>
          <w:p w:rsidR="00B40966" w:rsidRDefault="00DA6E8C">
            <w:pPr>
              <w:rPr>
                <w:color w:val="000000"/>
                <w:sz w:val="18"/>
              </w:rPr>
            </w:pPr>
            <w:r>
              <w:rPr>
                <w:noProof/>
                <w:color w:val="000000"/>
                <w:sz w:val="20"/>
                <w:lang w:eastAsia="en-AU"/>
              </w:rPr>
              <w:drawing>
                <wp:inline distT="0" distB="0" distL="0" distR="0">
                  <wp:extent cx="790575" cy="5238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1"/>
          <w:wAfter w:w="20"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3"/>
            <w:tcBorders>
              <w:top w:val="single" w:sz="6" w:space="0" w:color="auto"/>
              <w:bottom w:val="single" w:sz="6" w:space="0" w:color="auto"/>
            </w:tcBorders>
            <w:vAlign w:val="bottom"/>
          </w:tcPr>
          <w:p w:rsidR="00B40966" w:rsidRDefault="00B40966">
            <w:pPr>
              <w:pStyle w:val="TableColHd"/>
              <w:spacing w:after="0"/>
              <w:jc w:val="center"/>
            </w:pPr>
            <w:r>
              <w:t>tons</w:t>
            </w:r>
          </w:p>
        </w:tc>
        <w:tc>
          <w:tcPr>
            <w:tcW w:w="84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600" w:type="dxa"/>
            <w:gridSpan w:val="3"/>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44"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56"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68"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78" w:type="dxa"/>
            <w:gridSpan w:val="3"/>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70"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790"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68"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B40966" w:rsidRDefault="00B40966">
            <w:pPr>
              <w:pStyle w:val="TableText"/>
              <w:jc w:val="center"/>
              <w:rPr>
                <w:sz w:val="20"/>
              </w:rPr>
            </w:pPr>
            <w:r>
              <w:rPr>
                <w:position w:val="4"/>
                <w:sz w:val="20"/>
              </w:rPr>
              <w:t>3</w:t>
            </w:r>
            <w:r>
              <w:rPr>
                <w:sz w:val="20"/>
              </w:rPr>
              <w:t xml:space="preserve">/16 </w:t>
            </w:r>
          </w:p>
        </w:tc>
        <w:tc>
          <w:tcPr>
            <w:tcW w:w="660" w:type="dxa"/>
            <w:gridSpan w:val="2"/>
            <w:tcBorders>
              <w:top w:val="single" w:sz="6" w:space="0" w:color="auto"/>
            </w:tcBorders>
          </w:tcPr>
          <w:p w:rsidR="00B40966" w:rsidRDefault="00B40966">
            <w:pPr>
              <w:pStyle w:val="TableText"/>
              <w:jc w:val="center"/>
              <w:rPr>
                <w:sz w:val="20"/>
              </w:rPr>
            </w:pPr>
            <w:r>
              <w:rPr>
                <w:sz w:val="20"/>
              </w:rPr>
              <w:t>0</w:t>
            </w:r>
          </w:p>
        </w:tc>
        <w:tc>
          <w:tcPr>
            <w:tcW w:w="852" w:type="dxa"/>
            <w:gridSpan w:val="2"/>
            <w:tcBorders>
              <w:top w:val="single" w:sz="6" w:space="0" w:color="auto"/>
            </w:tcBorders>
          </w:tcPr>
          <w:p w:rsidR="00B40966" w:rsidRDefault="00B40966">
            <w:pPr>
              <w:pStyle w:val="TableText"/>
              <w:jc w:val="center"/>
              <w:rPr>
                <w:sz w:val="20"/>
              </w:rPr>
            </w:pPr>
            <w:r>
              <w:rPr>
                <w:sz w:val="20"/>
              </w:rPr>
              <w:t>3</w:t>
            </w:r>
            <w:r>
              <w:rPr>
                <w:position w:val="4"/>
                <w:sz w:val="20"/>
              </w:rPr>
              <w:t>1</w:t>
            </w:r>
            <w:r>
              <w:rPr>
                <w:sz w:val="20"/>
              </w:rPr>
              <w:t>/2</w:t>
            </w:r>
          </w:p>
        </w:tc>
        <w:tc>
          <w:tcPr>
            <w:tcW w:w="600" w:type="dxa"/>
            <w:gridSpan w:val="3"/>
            <w:tcBorders>
              <w:top w:val="single" w:sz="6" w:space="0" w:color="auto"/>
              <w:left w:val="single" w:sz="6" w:space="0" w:color="auto"/>
            </w:tcBorders>
          </w:tcPr>
          <w:p w:rsidR="00B40966" w:rsidRDefault="00B40966">
            <w:pPr>
              <w:pStyle w:val="TableText"/>
              <w:jc w:val="center"/>
              <w:rPr>
                <w:sz w:val="20"/>
              </w:rPr>
            </w:pPr>
            <w:r>
              <w:rPr>
                <w:sz w:val="20"/>
              </w:rPr>
              <w:t>0</w:t>
            </w:r>
          </w:p>
        </w:tc>
        <w:tc>
          <w:tcPr>
            <w:tcW w:w="708" w:type="dxa"/>
            <w:tcBorders>
              <w:top w:val="single" w:sz="6" w:space="0" w:color="auto"/>
            </w:tcBorders>
          </w:tcPr>
          <w:p w:rsidR="00B40966" w:rsidRDefault="00B40966">
            <w:pPr>
              <w:pStyle w:val="TableText"/>
              <w:jc w:val="center"/>
              <w:rPr>
                <w:sz w:val="20"/>
              </w:rPr>
            </w:pPr>
            <w:r>
              <w:rPr>
                <w:sz w:val="20"/>
              </w:rPr>
              <w:t>7</w:t>
            </w:r>
          </w:p>
        </w:tc>
        <w:tc>
          <w:tcPr>
            <w:tcW w:w="764"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68" w:type="dxa"/>
            <w:gridSpan w:val="2"/>
            <w:tcBorders>
              <w:top w:val="single" w:sz="6" w:space="0" w:color="auto"/>
            </w:tcBorders>
          </w:tcPr>
          <w:p w:rsidR="00B40966" w:rsidRDefault="00B40966">
            <w:pPr>
              <w:pStyle w:val="TableText"/>
              <w:jc w:val="center"/>
              <w:rPr>
                <w:sz w:val="20"/>
              </w:rPr>
            </w:pPr>
            <w:r>
              <w:rPr>
                <w:sz w:val="20"/>
              </w:rPr>
              <w:t>6</w:t>
            </w:r>
          </w:p>
        </w:tc>
        <w:tc>
          <w:tcPr>
            <w:tcW w:w="73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86" w:type="dxa"/>
            <w:gridSpan w:val="2"/>
            <w:tcBorders>
              <w:top w:val="single" w:sz="6" w:space="0" w:color="auto"/>
            </w:tcBorders>
          </w:tcPr>
          <w:p w:rsidR="00B40966" w:rsidRDefault="00B40966">
            <w:pPr>
              <w:pStyle w:val="TableText"/>
              <w:jc w:val="center"/>
              <w:rPr>
                <w:sz w:val="20"/>
              </w:rPr>
            </w:pPr>
            <w:r>
              <w:rPr>
                <w:sz w:val="20"/>
              </w:rPr>
              <w:t>5</w:t>
            </w:r>
          </w:p>
        </w:tc>
        <w:tc>
          <w:tcPr>
            <w:tcW w:w="760"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760" w:type="dxa"/>
            <w:tcBorders>
              <w:top w:val="single" w:sz="6" w:space="0" w:color="auto"/>
              <w:right w:val="single" w:sz="6" w:space="0" w:color="auto"/>
            </w:tcBorders>
          </w:tcPr>
          <w:p w:rsidR="00B40966" w:rsidRDefault="00B40966">
            <w:pPr>
              <w:pStyle w:val="TableText"/>
              <w:jc w:val="center"/>
              <w:rPr>
                <w:sz w:val="20"/>
              </w:rPr>
            </w:pPr>
            <w:r>
              <w:rPr>
                <w:sz w:val="20"/>
              </w:rPr>
              <w:t>3</w:t>
            </w:r>
            <w:r>
              <w:rPr>
                <w:position w:val="4"/>
                <w:sz w:val="20"/>
              </w:rPr>
              <w:t>1</w:t>
            </w:r>
            <w:r>
              <w:rPr>
                <w:sz w:val="20"/>
              </w:rPr>
              <w:t>/2</w:t>
            </w:r>
          </w:p>
        </w:tc>
        <w:tc>
          <w:tcPr>
            <w:tcW w:w="800" w:type="dxa"/>
            <w:gridSpan w:val="2"/>
            <w:tcBorders>
              <w:top w:val="single" w:sz="6" w:space="0" w:color="auto"/>
            </w:tcBorders>
          </w:tcPr>
          <w:p w:rsidR="00B40966" w:rsidRDefault="00B40966">
            <w:pPr>
              <w:pStyle w:val="TableText"/>
              <w:jc w:val="center"/>
              <w:rPr>
                <w:sz w:val="20"/>
              </w:rPr>
            </w:pPr>
            <w:r>
              <w:rPr>
                <w:sz w:val="20"/>
              </w:rPr>
              <w:t>0</w:t>
            </w:r>
          </w:p>
        </w:tc>
        <w:tc>
          <w:tcPr>
            <w:tcW w:w="674" w:type="dxa"/>
            <w:gridSpan w:val="2"/>
            <w:tcBorders>
              <w:top w:val="single" w:sz="6" w:space="0" w:color="auto"/>
            </w:tcBorders>
          </w:tcPr>
          <w:p w:rsidR="00B40966" w:rsidRDefault="00B40966">
            <w:pPr>
              <w:pStyle w:val="TableText"/>
              <w:jc w:val="center"/>
              <w:rPr>
                <w:sz w:val="20"/>
              </w:rPr>
            </w:pP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w:t>
            </w:r>
            <w:r>
              <w:rPr>
                <w:sz w:val="20"/>
              </w:rPr>
              <w:t xml:space="preserve">/4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5</w:t>
            </w:r>
            <w:r>
              <w:rPr>
                <w:position w:val="4"/>
                <w:sz w:val="20"/>
              </w:rPr>
              <w:t>1</w:t>
            </w:r>
            <w:r>
              <w:rPr>
                <w:sz w:val="20"/>
              </w:rPr>
              <w:t>/2</w:t>
            </w:r>
          </w:p>
        </w:tc>
        <w:tc>
          <w:tcPr>
            <w:tcW w:w="600" w:type="dxa"/>
            <w:gridSpan w:val="3"/>
            <w:tcBorders>
              <w:left w:val="single" w:sz="6" w:space="0" w:color="auto"/>
            </w:tcBorders>
          </w:tcPr>
          <w:p w:rsidR="00B40966" w:rsidRDefault="00B40966">
            <w:pPr>
              <w:pStyle w:val="TableText"/>
              <w:jc w:val="center"/>
              <w:rPr>
                <w:sz w:val="20"/>
              </w:rPr>
            </w:pPr>
            <w:r>
              <w:rPr>
                <w:sz w:val="20"/>
              </w:rPr>
              <w:t>0</w:t>
            </w:r>
          </w:p>
        </w:tc>
        <w:tc>
          <w:tcPr>
            <w:tcW w:w="708" w:type="dxa"/>
          </w:tcPr>
          <w:p w:rsidR="00B40966" w:rsidRDefault="00B40966">
            <w:pPr>
              <w:pStyle w:val="TableText"/>
              <w:jc w:val="center"/>
              <w:rPr>
                <w:sz w:val="20"/>
              </w:rPr>
            </w:pPr>
            <w:r>
              <w:rPr>
                <w:sz w:val="20"/>
              </w:rPr>
              <w:t>10</w:t>
            </w:r>
            <w:r>
              <w:rPr>
                <w:position w:val="4"/>
                <w:sz w:val="20"/>
              </w:rPr>
              <w:t>1</w:t>
            </w:r>
            <w:r>
              <w:rPr>
                <w:sz w:val="20"/>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68" w:type="dxa"/>
            <w:gridSpan w:val="2"/>
          </w:tcPr>
          <w:p w:rsidR="00B40966" w:rsidRDefault="00B40966">
            <w:pPr>
              <w:pStyle w:val="TableText"/>
              <w:jc w:val="center"/>
              <w:rPr>
                <w:sz w:val="20"/>
              </w:rPr>
            </w:pPr>
            <w:r>
              <w:rPr>
                <w:sz w:val="20"/>
              </w:rPr>
              <w:t>9</w:t>
            </w:r>
            <w:r>
              <w:rPr>
                <w:position w:val="4"/>
                <w:sz w:val="20"/>
              </w:rPr>
              <w:t>1</w:t>
            </w:r>
            <w:r>
              <w:rPr>
                <w:sz w:val="20"/>
              </w:rPr>
              <w:t>/2</w:t>
            </w:r>
          </w:p>
        </w:tc>
        <w:tc>
          <w:tcPr>
            <w:tcW w:w="732"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8</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5</w:t>
            </w:r>
            <w:r>
              <w:rPr>
                <w:position w:val="4"/>
                <w:sz w:val="20"/>
              </w:rPr>
              <w:t>1</w:t>
            </w:r>
            <w:r>
              <w:rPr>
                <w:sz w:val="20"/>
              </w:rPr>
              <w:t>/2</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3</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B40966" w:rsidRDefault="00B40966">
            <w:pPr>
              <w:pStyle w:val="TableText"/>
              <w:jc w:val="center"/>
              <w:rPr>
                <w:sz w:val="20"/>
              </w:rPr>
            </w:pPr>
            <w:r>
              <w:rPr>
                <w:position w:val="4"/>
                <w:sz w:val="20"/>
              </w:rPr>
              <w:t>9</w:t>
            </w:r>
            <w:r>
              <w:rPr>
                <w:sz w:val="20"/>
              </w:rPr>
              <w:t xml:space="preserve">/32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7</w:t>
            </w:r>
          </w:p>
        </w:tc>
        <w:tc>
          <w:tcPr>
            <w:tcW w:w="600" w:type="dxa"/>
            <w:gridSpan w:val="3"/>
            <w:tcBorders>
              <w:left w:val="single" w:sz="6" w:space="0" w:color="auto"/>
            </w:tcBorders>
          </w:tcPr>
          <w:p w:rsidR="00B40966" w:rsidRDefault="00B40966">
            <w:pPr>
              <w:pStyle w:val="TableText"/>
              <w:jc w:val="center"/>
              <w:rPr>
                <w:sz w:val="20"/>
              </w:rPr>
            </w:pPr>
            <w:r>
              <w:rPr>
                <w:sz w:val="20"/>
              </w:rPr>
              <w:t>0</w:t>
            </w:r>
          </w:p>
        </w:tc>
        <w:tc>
          <w:tcPr>
            <w:tcW w:w="708" w:type="dxa"/>
          </w:tcPr>
          <w:p w:rsidR="00B40966" w:rsidRDefault="00B40966">
            <w:pPr>
              <w:pStyle w:val="TableText"/>
              <w:jc w:val="center"/>
              <w:rPr>
                <w:sz w:val="20"/>
              </w:rPr>
            </w:pPr>
            <w:r>
              <w:rPr>
                <w:sz w:val="20"/>
              </w:rPr>
              <w:t>13</w:t>
            </w:r>
            <w:r>
              <w:rPr>
                <w:position w:val="4"/>
                <w:sz w:val="20"/>
              </w:rPr>
              <w:t>1</w:t>
            </w:r>
            <w:r>
              <w:rPr>
                <w:sz w:val="20"/>
              </w:rPr>
              <w:t>/2</w:t>
            </w:r>
          </w:p>
        </w:tc>
        <w:tc>
          <w:tcPr>
            <w:tcW w:w="764" w:type="dxa"/>
            <w:tcBorders>
              <w:left w:val="single" w:sz="6" w:space="0" w:color="auto"/>
            </w:tcBorders>
          </w:tcPr>
          <w:p w:rsidR="00B40966" w:rsidRDefault="00B40966">
            <w:pPr>
              <w:pStyle w:val="TableText"/>
              <w:jc w:val="center"/>
              <w:rPr>
                <w:sz w:val="20"/>
              </w:rPr>
            </w:pPr>
            <w:r>
              <w:rPr>
                <w:sz w:val="20"/>
              </w:rPr>
              <w:t>0</w:t>
            </w:r>
          </w:p>
        </w:tc>
        <w:tc>
          <w:tcPr>
            <w:tcW w:w="868" w:type="dxa"/>
            <w:gridSpan w:val="2"/>
          </w:tcPr>
          <w:p w:rsidR="00B40966" w:rsidRDefault="00B40966">
            <w:pPr>
              <w:pStyle w:val="TableText"/>
              <w:jc w:val="center"/>
              <w:rPr>
                <w:sz w:val="20"/>
              </w:rPr>
            </w:pPr>
            <w:r>
              <w:rPr>
                <w:sz w:val="20"/>
              </w:rPr>
              <w:t>12</w:t>
            </w:r>
          </w:p>
        </w:tc>
        <w:tc>
          <w:tcPr>
            <w:tcW w:w="732"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10</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7</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3</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9</w:t>
            </w:r>
            <w:r>
              <w:rPr>
                <w:position w:val="4"/>
                <w:sz w:val="20"/>
              </w:rPr>
              <w:t>1</w:t>
            </w:r>
            <w:r>
              <w:rPr>
                <w:sz w:val="20"/>
              </w:rPr>
              <w:t>/2</w:t>
            </w:r>
          </w:p>
        </w:tc>
        <w:tc>
          <w:tcPr>
            <w:tcW w:w="600" w:type="dxa"/>
            <w:gridSpan w:val="3"/>
            <w:tcBorders>
              <w:left w:val="single" w:sz="6" w:space="0" w:color="auto"/>
            </w:tcBorders>
          </w:tcPr>
          <w:p w:rsidR="00B40966" w:rsidRDefault="00B40966">
            <w:pPr>
              <w:pStyle w:val="TableText"/>
              <w:jc w:val="center"/>
              <w:rPr>
                <w:sz w:val="20"/>
              </w:rPr>
            </w:pPr>
            <w:r>
              <w:rPr>
                <w:sz w:val="20"/>
              </w:rPr>
              <w:t>0</w:t>
            </w:r>
          </w:p>
        </w:tc>
        <w:tc>
          <w:tcPr>
            <w:tcW w:w="708" w:type="dxa"/>
          </w:tcPr>
          <w:p w:rsidR="00B40966" w:rsidRDefault="00B40966">
            <w:pPr>
              <w:pStyle w:val="TableText"/>
              <w:jc w:val="center"/>
              <w:rPr>
                <w:sz w:val="20"/>
              </w:rPr>
            </w:pPr>
            <w:r>
              <w:rPr>
                <w:sz w:val="20"/>
              </w:rPr>
              <w:t>18</w:t>
            </w:r>
          </w:p>
        </w:tc>
        <w:tc>
          <w:tcPr>
            <w:tcW w:w="764" w:type="dxa"/>
            <w:tcBorders>
              <w:left w:val="single" w:sz="6" w:space="0" w:color="auto"/>
            </w:tcBorders>
          </w:tcPr>
          <w:p w:rsidR="00B40966" w:rsidRDefault="00B40966">
            <w:pPr>
              <w:pStyle w:val="TableText"/>
              <w:jc w:val="center"/>
              <w:rPr>
                <w:sz w:val="20"/>
              </w:rPr>
            </w:pPr>
            <w:r>
              <w:rPr>
                <w:sz w:val="20"/>
              </w:rPr>
              <w:t>0</w:t>
            </w:r>
          </w:p>
        </w:tc>
        <w:tc>
          <w:tcPr>
            <w:tcW w:w="868" w:type="dxa"/>
            <w:gridSpan w:val="2"/>
          </w:tcPr>
          <w:p w:rsidR="00B40966" w:rsidRDefault="00B40966">
            <w:pPr>
              <w:pStyle w:val="TableText"/>
              <w:jc w:val="center"/>
              <w:rPr>
                <w:sz w:val="20"/>
              </w:rPr>
            </w:pPr>
            <w:r>
              <w:rPr>
                <w:sz w:val="20"/>
              </w:rPr>
              <w:t>16</w:t>
            </w:r>
          </w:p>
        </w:tc>
        <w:tc>
          <w:tcPr>
            <w:tcW w:w="732"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13</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9</w:t>
            </w:r>
            <w:r>
              <w:rPr>
                <w:position w:val="4"/>
                <w:sz w:val="20"/>
              </w:rPr>
              <w:t>1</w:t>
            </w:r>
            <w:r>
              <w:rPr>
                <w:sz w:val="20"/>
              </w:rPr>
              <w:t>/2</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5</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11</w:t>
            </w:r>
          </w:p>
        </w:tc>
        <w:tc>
          <w:tcPr>
            <w:tcW w:w="600" w:type="dxa"/>
            <w:gridSpan w:val="3"/>
            <w:tcBorders>
              <w:left w:val="single" w:sz="6" w:space="0" w:color="auto"/>
            </w:tcBorders>
          </w:tcPr>
          <w:p w:rsidR="00B40966" w:rsidRDefault="00B40966">
            <w:pPr>
              <w:pStyle w:val="TableText"/>
              <w:jc w:val="center"/>
              <w:rPr>
                <w:sz w:val="20"/>
              </w:rPr>
            </w:pPr>
            <w:r>
              <w:rPr>
                <w:sz w:val="20"/>
              </w:rPr>
              <w:t>1</w:t>
            </w:r>
          </w:p>
        </w:tc>
        <w:tc>
          <w:tcPr>
            <w:tcW w:w="708" w:type="dxa"/>
          </w:tcPr>
          <w:p w:rsidR="00B40966" w:rsidRDefault="00B40966">
            <w:pPr>
              <w:pStyle w:val="TableText"/>
              <w:jc w:val="center"/>
              <w:rPr>
                <w:sz w:val="20"/>
              </w:rPr>
            </w:pPr>
            <w:r>
              <w:rPr>
                <w:sz w:val="20"/>
              </w:rPr>
              <w:t>1</w:t>
            </w:r>
          </w:p>
        </w:tc>
        <w:tc>
          <w:tcPr>
            <w:tcW w:w="764" w:type="dxa"/>
            <w:tcBorders>
              <w:left w:val="single" w:sz="6" w:space="0" w:color="auto"/>
            </w:tcBorders>
          </w:tcPr>
          <w:p w:rsidR="00B40966" w:rsidRDefault="00B40966">
            <w:pPr>
              <w:pStyle w:val="TableText"/>
              <w:jc w:val="center"/>
              <w:rPr>
                <w:sz w:val="20"/>
              </w:rPr>
            </w:pPr>
            <w:r>
              <w:rPr>
                <w:sz w:val="20"/>
              </w:rPr>
              <w:t>0</w:t>
            </w:r>
          </w:p>
        </w:tc>
        <w:tc>
          <w:tcPr>
            <w:tcW w:w="868" w:type="dxa"/>
            <w:gridSpan w:val="2"/>
          </w:tcPr>
          <w:p w:rsidR="00B40966" w:rsidRDefault="00B40966">
            <w:pPr>
              <w:pStyle w:val="TableText"/>
              <w:jc w:val="center"/>
              <w:rPr>
                <w:sz w:val="20"/>
              </w:rPr>
            </w:pPr>
            <w:r>
              <w:rPr>
                <w:sz w:val="20"/>
              </w:rPr>
              <w:t>19</w:t>
            </w:r>
          </w:p>
        </w:tc>
        <w:tc>
          <w:tcPr>
            <w:tcW w:w="732"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15</w:t>
            </w:r>
            <w:r>
              <w:rPr>
                <w:position w:val="4"/>
                <w:sz w:val="20"/>
              </w:rPr>
              <w:t>1</w:t>
            </w:r>
            <w:r>
              <w:rPr>
                <w:sz w:val="20"/>
              </w:rPr>
              <w:t>/2</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11</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6</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14</w:t>
            </w:r>
            <w:r>
              <w:rPr>
                <w:position w:val="4"/>
                <w:sz w:val="20"/>
              </w:rPr>
              <w:t>1</w:t>
            </w:r>
            <w:r>
              <w:rPr>
                <w:sz w:val="20"/>
              </w:rPr>
              <w:t>/2</w:t>
            </w:r>
          </w:p>
        </w:tc>
        <w:tc>
          <w:tcPr>
            <w:tcW w:w="600" w:type="dxa"/>
            <w:gridSpan w:val="3"/>
            <w:tcBorders>
              <w:left w:val="single" w:sz="6" w:space="0" w:color="auto"/>
            </w:tcBorders>
          </w:tcPr>
          <w:p w:rsidR="00B40966" w:rsidRDefault="00B40966">
            <w:pPr>
              <w:pStyle w:val="TableText"/>
              <w:jc w:val="center"/>
              <w:rPr>
                <w:sz w:val="20"/>
              </w:rPr>
            </w:pPr>
            <w:r>
              <w:rPr>
                <w:sz w:val="20"/>
              </w:rPr>
              <w:t>1</w:t>
            </w:r>
          </w:p>
        </w:tc>
        <w:tc>
          <w:tcPr>
            <w:tcW w:w="708" w:type="dxa"/>
          </w:tcPr>
          <w:p w:rsidR="00B40966" w:rsidRDefault="00B40966">
            <w:pPr>
              <w:pStyle w:val="TableText"/>
              <w:jc w:val="center"/>
              <w:rPr>
                <w:sz w:val="20"/>
              </w:rPr>
            </w:pPr>
            <w:r>
              <w:rPr>
                <w:sz w:val="20"/>
              </w:rPr>
              <w:t>7</w:t>
            </w:r>
          </w:p>
        </w:tc>
        <w:tc>
          <w:tcPr>
            <w:tcW w:w="764" w:type="dxa"/>
            <w:tcBorders>
              <w:left w:val="single" w:sz="6" w:space="0" w:color="auto"/>
            </w:tcBorders>
          </w:tcPr>
          <w:p w:rsidR="00B40966" w:rsidRDefault="00B40966">
            <w:pPr>
              <w:pStyle w:val="TableText"/>
              <w:jc w:val="center"/>
              <w:rPr>
                <w:sz w:val="20"/>
              </w:rPr>
            </w:pPr>
            <w:r>
              <w:rPr>
                <w:sz w:val="20"/>
              </w:rPr>
              <w:t>1</w:t>
            </w:r>
          </w:p>
        </w:tc>
        <w:tc>
          <w:tcPr>
            <w:tcW w:w="868" w:type="dxa"/>
            <w:gridSpan w:val="2"/>
          </w:tcPr>
          <w:p w:rsidR="00B40966" w:rsidRDefault="00B40966">
            <w:pPr>
              <w:pStyle w:val="TableText"/>
              <w:jc w:val="center"/>
              <w:rPr>
                <w:sz w:val="20"/>
              </w:rPr>
            </w:pPr>
            <w:r>
              <w:rPr>
                <w:sz w:val="20"/>
              </w:rPr>
              <w:t>5</w:t>
            </w:r>
          </w:p>
        </w:tc>
        <w:tc>
          <w:tcPr>
            <w:tcW w:w="732"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0</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14</w:t>
            </w:r>
            <w:r>
              <w:rPr>
                <w:position w:val="4"/>
                <w:sz w:val="20"/>
              </w:rPr>
              <w:t>1</w:t>
            </w:r>
            <w:r>
              <w:rPr>
                <w:sz w:val="20"/>
              </w:rPr>
              <w:t>/2</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7</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660" w:type="dxa"/>
            <w:gridSpan w:val="2"/>
          </w:tcPr>
          <w:p w:rsidR="00B40966" w:rsidRDefault="00B40966">
            <w:pPr>
              <w:pStyle w:val="TableText"/>
              <w:jc w:val="center"/>
              <w:rPr>
                <w:sz w:val="20"/>
              </w:rPr>
            </w:pPr>
            <w:r>
              <w:rPr>
                <w:sz w:val="20"/>
              </w:rPr>
              <w:t>0</w:t>
            </w:r>
          </w:p>
        </w:tc>
        <w:tc>
          <w:tcPr>
            <w:tcW w:w="852" w:type="dxa"/>
            <w:gridSpan w:val="2"/>
          </w:tcPr>
          <w:p w:rsidR="00B40966" w:rsidRDefault="00B40966">
            <w:pPr>
              <w:pStyle w:val="TableText"/>
              <w:jc w:val="center"/>
              <w:rPr>
                <w:sz w:val="20"/>
              </w:rPr>
            </w:pPr>
            <w:r>
              <w:rPr>
                <w:sz w:val="20"/>
              </w:rPr>
              <w:t>16</w:t>
            </w:r>
            <w:r>
              <w:rPr>
                <w:position w:val="4"/>
                <w:sz w:val="20"/>
              </w:rPr>
              <w:t>1</w:t>
            </w:r>
            <w:r>
              <w:rPr>
                <w:sz w:val="20"/>
              </w:rPr>
              <w:t>/2</w:t>
            </w:r>
          </w:p>
        </w:tc>
        <w:tc>
          <w:tcPr>
            <w:tcW w:w="600" w:type="dxa"/>
            <w:gridSpan w:val="3"/>
            <w:tcBorders>
              <w:left w:val="single" w:sz="6" w:space="0" w:color="auto"/>
            </w:tcBorders>
          </w:tcPr>
          <w:p w:rsidR="00B40966" w:rsidRDefault="00B40966">
            <w:pPr>
              <w:pStyle w:val="TableText"/>
              <w:jc w:val="center"/>
              <w:rPr>
                <w:sz w:val="20"/>
              </w:rPr>
            </w:pPr>
            <w:r>
              <w:rPr>
                <w:sz w:val="20"/>
              </w:rPr>
              <w:t>1</w:t>
            </w:r>
          </w:p>
        </w:tc>
        <w:tc>
          <w:tcPr>
            <w:tcW w:w="708" w:type="dxa"/>
          </w:tcPr>
          <w:p w:rsidR="00B40966" w:rsidRDefault="00B40966">
            <w:pPr>
              <w:pStyle w:val="TableText"/>
              <w:jc w:val="center"/>
              <w:rPr>
                <w:sz w:val="20"/>
              </w:rPr>
            </w:pPr>
            <w:r>
              <w:rPr>
                <w:sz w:val="20"/>
              </w:rPr>
              <w:t>12</w:t>
            </w:r>
          </w:p>
        </w:tc>
        <w:tc>
          <w:tcPr>
            <w:tcW w:w="764" w:type="dxa"/>
            <w:tcBorders>
              <w:left w:val="single" w:sz="6" w:space="0" w:color="auto"/>
            </w:tcBorders>
          </w:tcPr>
          <w:p w:rsidR="00B40966" w:rsidRDefault="00B40966">
            <w:pPr>
              <w:pStyle w:val="TableText"/>
              <w:jc w:val="center"/>
              <w:rPr>
                <w:sz w:val="20"/>
              </w:rPr>
            </w:pPr>
            <w:r>
              <w:rPr>
                <w:sz w:val="20"/>
              </w:rPr>
              <w:t>1</w:t>
            </w:r>
          </w:p>
        </w:tc>
        <w:tc>
          <w:tcPr>
            <w:tcW w:w="868" w:type="dxa"/>
            <w:gridSpan w:val="2"/>
          </w:tcPr>
          <w:p w:rsidR="00B40966" w:rsidRDefault="00B40966">
            <w:pPr>
              <w:pStyle w:val="TableText"/>
              <w:jc w:val="center"/>
              <w:rPr>
                <w:sz w:val="20"/>
              </w:rPr>
            </w:pPr>
            <w:r>
              <w:rPr>
                <w:sz w:val="20"/>
              </w:rPr>
              <w:t>9</w:t>
            </w:r>
          </w:p>
        </w:tc>
        <w:tc>
          <w:tcPr>
            <w:tcW w:w="732"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3</w:t>
            </w:r>
          </w:p>
        </w:tc>
        <w:tc>
          <w:tcPr>
            <w:tcW w:w="760" w:type="dxa"/>
            <w:gridSpan w:val="2"/>
            <w:tcBorders>
              <w:left w:val="single" w:sz="6" w:space="0" w:color="auto"/>
            </w:tcBorders>
          </w:tcPr>
          <w:p w:rsidR="00B40966" w:rsidRDefault="00B40966">
            <w:pPr>
              <w:pStyle w:val="TableText"/>
              <w:jc w:val="center"/>
              <w:rPr>
                <w:sz w:val="20"/>
              </w:rPr>
            </w:pPr>
            <w:r>
              <w:rPr>
                <w:sz w:val="20"/>
              </w:rPr>
              <w:t>0</w:t>
            </w:r>
          </w:p>
        </w:tc>
        <w:tc>
          <w:tcPr>
            <w:tcW w:w="760" w:type="dxa"/>
            <w:tcBorders>
              <w:right w:val="single" w:sz="6" w:space="0" w:color="auto"/>
            </w:tcBorders>
          </w:tcPr>
          <w:p w:rsidR="00B40966" w:rsidRDefault="00B40966">
            <w:pPr>
              <w:pStyle w:val="TableText"/>
              <w:jc w:val="center"/>
              <w:rPr>
                <w:sz w:val="20"/>
              </w:rPr>
            </w:pPr>
            <w:r>
              <w:rPr>
                <w:sz w:val="20"/>
              </w:rPr>
              <w:t>16</w:t>
            </w:r>
            <w:r>
              <w:rPr>
                <w:position w:val="4"/>
                <w:sz w:val="20"/>
              </w:rPr>
              <w:t>1</w:t>
            </w:r>
            <w:r>
              <w:rPr>
                <w:sz w:val="20"/>
              </w:rPr>
              <w:t>/2</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8</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660" w:type="dxa"/>
            <w:gridSpan w:val="2"/>
          </w:tcPr>
          <w:p w:rsidR="00B40966" w:rsidRDefault="00B40966">
            <w:pPr>
              <w:pStyle w:val="TableText"/>
              <w:jc w:val="center"/>
              <w:rPr>
                <w:sz w:val="20"/>
              </w:rPr>
            </w:pPr>
            <w:r>
              <w:rPr>
                <w:sz w:val="20"/>
              </w:rPr>
              <w:t>1</w:t>
            </w:r>
          </w:p>
        </w:tc>
        <w:tc>
          <w:tcPr>
            <w:tcW w:w="852" w:type="dxa"/>
            <w:gridSpan w:val="2"/>
          </w:tcPr>
          <w:p w:rsidR="00B40966" w:rsidRDefault="00B40966">
            <w:pPr>
              <w:pStyle w:val="TableText"/>
              <w:jc w:val="center"/>
              <w:rPr>
                <w:sz w:val="20"/>
              </w:rPr>
            </w:pPr>
            <w:r>
              <w:rPr>
                <w:sz w:val="20"/>
              </w:rPr>
              <w:t>0</w:t>
            </w:r>
          </w:p>
        </w:tc>
        <w:tc>
          <w:tcPr>
            <w:tcW w:w="600" w:type="dxa"/>
            <w:gridSpan w:val="3"/>
            <w:tcBorders>
              <w:left w:val="single" w:sz="6" w:space="0" w:color="auto"/>
            </w:tcBorders>
          </w:tcPr>
          <w:p w:rsidR="00B40966" w:rsidRDefault="00B40966">
            <w:pPr>
              <w:pStyle w:val="TableText"/>
              <w:jc w:val="center"/>
              <w:rPr>
                <w:sz w:val="20"/>
              </w:rPr>
            </w:pPr>
            <w:r>
              <w:rPr>
                <w:sz w:val="20"/>
              </w:rPr>
              <w:t>1</w:t>
            </w:r>
          </w:p>
        </w:tc>
        <w:tc>
          <w:tcPr>
            <w:tcW w:w="708" w:type="dxa"/>
          </w:tcPr>
          <w:p w:rsidR="00B40966" w:rsidRDefault="00B40966">
            <w:pPr>
              <w:pStyle w:val="TableText"/>
              <w:jc w:val="center"/>
              <w:rPr>
                <w:sz w:val="20"/>
              </w:rPr>
            </w:pPr>
            <w:r>
              <w:rPr>
                <w:sz w:val="20"/>
              </w:rPr>
              <w:t>18</w:t>
            </w:r>
          </w:p>
        </w:tc>
        <w:tc>
          <w:tcPr>
            <w:tcW w:w="764" w:type="dxa"/>
            <w:tcBorders>
              <w:left w:val="single" w:sz="6" w:space="0" w:color="auto"/>
            </w:tcBorders>
          </w:tcPr>
          <w:p w:rsidR="00B40966" w:rsidRDefault="00B40966">
            <w:pPr>
              <w:pStyle w:val="TableText"/>
              <w:jc w:val="center"/>
              <w:rPr>
                <w:sz w:val="20"/>
              </w:rPr>
            </w:pPr>
            <w:r>
              <w:rPr>
                <w:sz w:val="20"/>
              </w:rPr>
              <w:t>1</w:t>
            </w:r>
          </w:p>
        </w:tc>
        <w:tc>
          <w:tcPr>
            <w:tcW w:w="868" w:type="dxa"/>
            <w:gridSpan w:val="2"/>
          </w:tcPr>
          <w:p w:rsidR="00B40966" w:rsidRDefault="00B40966">
            <w:pPr>
              <w:pStyle w:val="TableText"/>
              <w:jc w:val="center"/>
              <w:rPr>
                <w:sz w:val="20"/>
              </w:rPr>
            </w:pPr>
            <w:r>
              <w:rPr>
                <w:sz w:val="20"/>
              </w:rPr>
              <w:t>14</w:t>
            </w:r>
          </w:p>
        </w:tc>
        <w:tc>
          <w:tcPr>
            <w:tcW w:w="732"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8</w:t>
            </w:r>
          </w:p>
        </w:tc>
        <w:tc>
          <w:tcPr>
            <w:tcW w:w="760" w:type="dxa"/>
            <w:gridSpan w:val="2"/>
            <w:tcBorders>
              <w:left w:val="single" w:sz="6" w:space="0" w:color="auto"/>
            </w:tcBorders>
          </w:tcPr>
          <w:p w:rsidR="00B40966" w:rsidRDefault="00B40966">
            <w:pPr>
              <w:pStyle w:val="TableText"/>
              <w:jc w:val="center"/>
              <w:rPr>
                <w:sz w:val="20"/>
              </w:rPr>
            </w:pPr>
            <w:r>
              <w:rPr>
                <w:sz w:val="20"/>
              </w:rPr>
              <w:t>1</w:t>
            </w:r>
          </w:p>
        </w:tc>
        <w:tc>
          <w:tcPr>
            <w:tcW w:w="760" w:type="dxa"/>
            <w:tcBorders>
              <w:right w:val="single" w:sz="6" w:space="0" w:color="auto"/>
            </w:tcBorders>
          </w:tcPr>
          <w:p w:rsidR="00B40966" w:rsidRDefault="00B40966">
            <w:pPr>
              <w:pStyle w:val="TableText"/>
              <w:jc w:val="center"/>
              <w:rPr>
                <w:sz w:val="20"/>
              </w:rPr>
            </w:pPr>
            <w:r>
              <w:rPr>
                <w:sz w:val="20"/>
              </w:rPr>
              <w:t>0</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660" w:type="dxa"/>
            <w:gridSpan w:val="2"/>
          </w:tcPr>
          <w:p w:rsidR="00B40966" w:rsidRDefault="00B40966">
            <w:pPr>
              <w:pStyle w:val="TableText"/>
              <w:jc w:val="center"/>
              <w:rPr>
                <w:sz w:val="20"/>
              </w:rPr>
            </w:pPr>
            <w:r>
              <w:rPr>
                <w:sz w:val="20"/>
              </w:rPr>
              <w:t>1</w:t>
            </w:r>
          </w:p>
        </w:tc>
        <w:tc>
          <w:tcPr>
            <w:tcW w:w="852" w:type="dxa"/>
            <w:gridSpan w:val="2"/>
          </w:tcPr>
          <w:p w:rsidR="00B40966" w:rsidRDefault="00B40966">
            <w:pPr>
              <w:pStyle w:val="TableText"/>
              <w:jc w:val="center"/>
              <w:rPr>
                <w:sz w:val="20"/>
              </w:rPr>
            </w:pPr>
            <w:r>
              <w:rPr>
                <w:sz w:val="20"/>
              </w:rPr>
              <w:t>4</w:t>
            </w:r>
          </w:p>
        </w:tc>
        <w:tc>
          <w:tcPr>
            <w:tcW w:w="600" w:type="dxa"/>
            <w:gridSpan w:val="3"/>
            <w:tcBorders>
              <w:left w:val="single" w:sz="6" w:space="0" w:color="auto"/>
            </w:tcBorders>
          </w:tcPr>
          <w:p w:rsidR="00B40966" w:rsidRDefault="00B40966">
            <w:pPr>
              <w:pStyle w:val="TableText"/>
              <w:jc w:val="center"/>
              <w:rPr>
                <w:sz w:val="20"/>
              </w:rPr>
            </w:pPr>
            <w:r>
              <w:rPr>
                <w:sz w:val="20"/>
              </w:rPr>
              <w:t>2</w:t>
            </w:r>
          </w:p>
        </w:tc>
        <w:tc>
          <w:tcPr>
            <w:tcW w:w="708" w:type="dxa"/>
          </w:tcPr>
          <w:p w:rsidR="00B40966" w:rsidRDefault="00B40966">
            <w:pPr>
              <w:pStyle w:val="TableText"/>
              <w:jc w:val="center"/>
              <w:rPr>
                <w:sz w:val="20"/>
              </w:rPr>
            </w:pPr>
            <w:r>
              <w:rPr>
                <w:sz w:val="20"/>
              </w:rPr>
              <w:t>6</w:t>
            </w:r>
          </w:p>
        </w:tc>
        <w:tc>
          <w:tcPr>
            <w:tcW w:w="764" w:type="dxa"/>
            <w:tcBorders>
              <w:left w:val="single" w:sz="6" w:space="0" w:color="auto"/>
            </w:tcBorders>
          </w:tcPr>
          <w:p w:rsidR="00B40966" w:rsidRDefault="00B40966">
            <w:pPr>
              <w:pStyle w:val="TableText"/>
              <w:jc w:val="center"/>
              <w:rPr>
                <w:sz w:val="20"/>
              </w:rPr>
            </w:pPr>
            <w:r>
              <w:rPr>
                <w:sz w:val="20"/>
              </w:rPr>
              <w:t>2</w:t>
            </w:r>
          </w:p>
        </w:tc>
        <w:tc>
          <w:tcPr>
            <w:tcW w:w="868" w:type="dxa"/>
            <w:gridSpan w:val="2"/>
          </w:tcPr>
          <w:p w:rsidR="00B40966" w:rsidRDefault="00B40966">
            <w:pPr>
              <w:pStyle w:val="TableText"/>
              <w:jc w:val="center"/>
              <w:rPr>
                <w:sz w:val="20"/>
              </w:rPr>
            </w:pPr>
            <w:r>
              <w:rPr>
                <w:sz w:val="20"/>
              </w:rPr>
              <w:t>1</w:t>
            </w:r>
          </w:p>
        </w:tc>
        <w:tc>
          <w:tcPr>
            <w:tcW w:w="732"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14</w:t>
            </w:r>
          </w:p>
        </w:tc>
        <w:tc>
          <w:tcPr>
            <w:tcW w:w="760" w:type="dxa"/>
            <w:gridSpan w:val="2"/>
            <w:tcBorders>
              <w:left w:val="single" w:sz="6" w:space="0" w:color="auto"/>
            </w:tcBorders>
          </w:tcPr>
          <w:p w:rsidR="00B40966" w:rsidRDefault="00B40966">
            <w:pPr>
              <w:pStyle w:val="TableText"/>
              <w:jc w:val="center"/>
              <w:rPr>
                <w:sz w:val="20"/>
              </w:rPr>
            </w:pPr>
            <w:r>
              <w:rPr>
                <w:sz w:val="20"/>
              </w:rPr>
              <w:t>1</w:t>
            </w:r>
          </w:p>
        </w:tc>
        <w:tc>
          <w:tcPr>
            <w:tcW w:w="760" w:type="dxa"/>
            <w:tcBorders>
              <w:right w:val="single" w:sz="6" w:space="0" w:color="auto"/>
            </w:tcBorders>
          </w:tcPr>
          <w:p w:rsidR="00B40966" w:rsidRDefault="00B40966">
            <w:pPr>
              <w:pStyle w:val="TableText"/>
              <w:jc w:val="center"/>
              <w:rPr>
                <w:sz w:val="20"/>
              </w:rPr>
            </w:pPr>
            <w:r>
              <w:rPr>
                <w:sz w:val="20"/>
              </w:rPr>
              <w:t>4</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660" w:type="dxa"/>
            <w:gridSpan w:val="2"/>
          </w:tcPr>
          <w:p w:rsidR="00B40966" w:rsidRDefault="00B40966">
            <w:pPr>
              <w:pStyle w:val="TableText"/>
              <w:jc w:val="center"/>
              <w:rPr>
                <w:sz w:val="20"/>
              </w:rPr>
            </w:pPr>
            <w:r>
              <w:rPr>
                <w:sz w:val="20"/>
              </w:rPr>
              <w:t>1</w:t>
            </w:r>
          </w:p>
        </w:tc>
        <w:tc>
          <w:tcPr>
            <w:tcW w:w="852" w:type="dxa"/>
            <w:gridSpan w:val="2"/>
          </w:tcPr>
          <w:p w:rsidR="00B40966" w:rsidRDefault="00B40966">
            <w:pPr>
              <w:pStyle w:val="TableText"/>
              <w:jc w:val="center"/>
              <w:rPr>
                <w:sz w:val="20"/>
              </w:rPr>
            </w:pPr>
            <w:r>
              <w:rPr>
                <w:sz w:val="20"/>
              </w:rPr>
              <w:t>7</w:t>
            </w:r>
          </w:p>
        </w:tc>
        <w:tc>
          <w:tcPr>
            <w:tcW w:w="600" w:type="dxa"/>
            <w:gridSpan w:val="3"/>
            <w:tcBorders>
              <w:left w:val="single" w:sz="6" w:space="0" w:color="auto"/>
            </w:tcBorders>
          </w:tcPr>
          <w:p w:rsidR="00B40966" w:rsidRDefault="00B40966">
            <w:pPr>
              <w:pStyle w:val="TableText"/>
              <w:jc w:val="center"/>
              <w:rPr>
                <w:sz w:val="20"/>
              </w:rPr>
            </w:pPr>
            <w:r>
              <w:rPr>
                <w:sz w:val="20"/>
              </w:rPr>
              <w:t>2</w:t>
            </w:r>
          </w:p>
        </w:tc>
        <w:tc>
          <w:tcPr>
            <w:tcW w:w="708" w:type="dxa"/>
          </w:tcPr>
          <w:p w:rsidR="00B40966" w:rsidRDefault="00B40966">
            <w:pPr>
              <w:pStyle w:val="TableText"/>
              <w:jc w:val="center"/>
              <w:rPr>
                <w:sz w:val="20"/>
              </w:rPr>
            </w:pPr>
            <w:r>
              <w:rPr>
                <w:sz w:val="20"/>
              </w:rPr>
              <w:t>12</w:t>
            </w:r>
          </w:p>
        </w:tc>
        <w:tc>
          <w:tcPr>
            <w:tcW w:w="764" w:type="dxa"/>
            <w:tcBorders>
              <w:left w:val="single" w:sz="6" w:space="0" w:color="auto"/>
            </w:tcBorders>
          </w:tcPr>
          <w:p w:rsidR="00B40966" w:rsidRDefault="00B40966">
            <w:pPr>
              <w:pStyle w:val="TableText"/>
              <w:jc w:val="center"/>
              <w:rPr>
                <w:sz w:val="20"/>
              </w:rPr>
            </w:pPr>
            <w:r>
              <w:rPr>
                <w:sz w:val="20"/>
              </w:rPr>
              <w:t>2</w:t>
            </w:r>
          </w:p>
        </w:tc>
        <w:tc>
          <w:tcPr>
            <w:tcW w:w="868" w:type="dxa"/>
            <w:gridSpan w:val="2"/>
          </w:tcPr>
          <w:p w:rsidR="00B40966" w:rsidRDefault="00B40966">
            <w:pPr>
              <w:pStyle w:val="TableText"/>
              <w:jc w:val="center"/>
              <w:rPr>
                <w:sz w:val="20"/>
              </w:rPr>
            </w:pPr>
            <w:r>
              <w:rPr>
                <w:sz w:val="20"/>
              </w:rPr>
              <w:t>7</w:t>
            </w:r>
          </w:p>
        </w:tc>
        <w:tc>
          <w:tcPr>
            <w:tcW w:w="732"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18</w:t>
            </w:r>
          </w:p>
        </w:tc>
        <w:tc>
          <w:tcPr>
            <w:tcW w:w="760" w:type="dxa"/>
            <w:gridSpan w:val="2"/>
            <w:tcBorders>
              <w:left w:val="single" w:sz="6" w:space="0" w:color="auto"/>
            </w:tcBorders>
          </w:tcPr>
          <w:p w:rsidR="00B40966" w:rsidRDefault="00B40966">
            <w:pPr>
              <w:pStyle w:val="TableText"/>
              <w:jc w:val="center"/>
              <w:rPr>
                <w:sz w:val="20"/>
              </w:rPr>
            </w:pPr>
            <w:r>
              <w:rPr>
                <w:sz w:val="20"/>
              </w:rPr>
              <w:t>1</w:t>
            </w:r>
          </w:p>
        </w:tc>
        <w:tc>
          <w:tcPr>
            <w:tcW w:w="760" w:type="dxa"/>
            <w:tcBorders>
              <w:right w:val="single" w:sz="6" w:space="0" w:color="auto"/>
            </w:tcBorders>
          </w:tcPr>
          <w:p w:rsidR="00B40966" w:rsidRDefault="00B40966">
            <w:pPr>
              <w:pStyle w:val="TableText"/>
              <w:jc w:val="center"/>
              <w:rPr>
                <w:sz w:val="20"/>
              </w:rPr>
            </w:pPr>
            <w:r>
              <w:rPr>
                <w:sz w:val="20"/>
              </w:rPr>
              <w:t>7</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660" w:type="dxa"/>
            <w:gridSpan w:val="2"/>
          </w:tcPr>
          <w:p w:rsidR="00B40966" w:rsidRDefault="00B40966">
            <w:pPr>
              <w:pStyle w:val="TableText"/>
              <w:jc w:val="center"/>
              <w:rPr>
                <w:sz w:val="20"/>
              </w:rPr>
            </w:pPr>
            <w:r>
              <w:rPr>
                <w:sz w:val="20"/>
              </w:rPr>
              <w:t>1</w:t>
            </w:r>
          </w:p>
        </w:tc>
        <w:tc>
          <w:tcPr>
            <w:tcW w:w="852" w:type="dxa"/>
            <w:gridSpan w:val="2"/>
          </w:tcPr>
          <w:p w:rsidR="00B40966" w:rsidRDefault="00B40966">
            <w:pPr>
              <w:pStyle w:val="TableText"/>
              <w:jc w:val="center"/>
              <w:rPr>
                <w:sz w:val="20"/>
              </w:rPr>
            </w:pPr>
            <w:r>
              <w:rPr>
                <w:sz w:val="20"/>
              </w:rPr>
              <w:t>12</w:t>
            </w:r>
          </w:p>
        </w:tc>
        <w:tc>
          <w:tcPr>
            <w:tcW w:w="600" w:type="dxa"/>
            <w:gridSpan w:val="3"/>
            <w:tcBorders>
              <w:left w:val="single" w:sz="6" w:space="0" w:color="auto"/>
            </w:tcBorders>
          </w:tcPr>
          <w:p w:rsidR="00B40966" w:rsidRDefault="00B40966">
            <w:pPr>
              <w:pStyle w:val="TableText"/>
              <w:jc w:val="center"/>
              <w:rPr>
                <w:sz w:val="20"/>
              </w:rPr>
            </w:pPr>
            <w:r>
              <w:rPr>
                <w:sz w:val="20"/>
              </w:rPr>
              <w:t>3</w:t>
            </w:r>
          </w:p>
        </w:tc>
        <w:tc>
          <w:tcPr>
            <w:tcW w:w="708" w:type="dxa"/>
          </w:tcPr>
          <w:p w:rsidR="00B40966" w:rsidRDefault="00B40966">
            <w:pPr>
              <w:pStyle w:val="TableText"/>
              <w:jc w:val="center"/>
              <w:rPr>
                <w:sz w:val="20"/>
              </w:rPr>
            </w:pPr>
            <w:r>
              <w:rPr>
                <w:sz w:val="20"/>
              </w:rPr>
              <w:t>2</w:t>
            </w:r>
          </w:p>
        </w:tc>
        <w:tc>
          <w:tcPr>
            <w:tcW w:w="764" w:type="dxa"/>
            <w:tcBorders>
              <w:left w:val="single" w:sz="6" w:space="0" w:color="auto"/>
            </w:tcBorders>
          </w:tcPr>
          <w:p w:rsidR="00B40966" w:rsidRDefault="00B40966">
            <w:pPr>
              <w:pStyle w:val="TableText"/>
              <w:jc w:val="center"/>
              <w:rPr>
                <w:sz w:val="20"/>
              </w:rPr>
            </w:pPr>
            <w:r>
              <w:rPr>
                <w:sz w:val="20"/>
              </w:rPr>
              <w:t>2</w:t>
            </w:r>
          </w:p>
        </w:tc>
        <w:tc>
          <w:tcPr>
            <w:tcW w:w="868" w:type="dxa"/>
            <w:gridSpan w:val="2"/>
          </w:tcPr>
          <w:p w:rsidR="00B40966" w:rsidRDefault="00B40966">
            <w:pPr>
              <w:pStyle w:val="TableText"/>
              <w:jc w:val="center"/>
              <w:rPr>
                <w:sz w:val="20"/>
              </w:rPr>
            </w:pPr>
            <w:r>
              <w:rPr>
                <w:sz w:val="20"/>
              </w:rPr>
              <w:t>15</w:t>
            </w:r>
          </w:p>
        </w:tc>
        <w:tc>
          <w:tcPr>
            <w:tcW w:w="732"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5</w:t>
            </w:r>
          </w:p>
        </w:tc>
        <w:tc>
          <w:tcPr>
            <w:tcW w:w="760" w:type="dxa"/>
            <w:gridSpan w:val="2"/>
            <w:tcBorders>
              <w:left w:val="single" w:sz="6" w:space="0" w:color="auto"/>
            </w:tcBorders>
          </w:tcPr>
          <w:p w:rsidR="00B40966" w:rsidRDefault="00B40966">
            <w:pPr>
              <w:pStyle w:val="TableText"/>
              <w:jc w:val="center"/>
              <w:rPr>
                <w:sz w:val="20"/>
              </w:rPr>
            </w:pPr>
            <w:r>
              <w:rPr>
                <w:sz w:val="20"/>
              </w:rPr>
              <w:t>1</w:t>
            </w:r>
          </w:p>
        </w:tc>
        <w:tc>
          <w:tcPr>
            <w:tcW w:w="760" w:type="dxa"/>
            <w:tcBorders>
              <w:right w:val="single" w:sz="6" w:space="0" w:color="auto"/>
            </w:tcBorders>
          </w:tcPr>
          <w:p w:rsidR="00B40966" w:rsidRDefault="00B40966">
            <w:pPr>
              <w:pStyle w:val="TableText"/>
              <w:jc w:val="center"/>
              <w:rPr>
                <w:sz w:val="20"/>
              </w:rPr>
            </w:pPr>
            <w:r>
              <w:rPr>
                <w:sz w:val="20"/>
              </w:rPr>
              <w:t>12</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16</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p>
        </w:tc>
        <w:tc>
          <w:tcPr>
            <w:tcW w:w="948" w:type="dxa"/>
            <w:gridSpan w:val="3"/>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660" w:type="dxa"/>
            <w:gridSpan w:val="2"/>
          </w:tcPr>
          <w:p w:rsidR="00B40966" w:rsidRDefault="00B40966">
            <w:pPr>
              <w:pStyle w:val="TableText"/>
              <w:jc w:val="center"/>
              <w:rPr>
                <w:sz w:val="20"/>
              </w:rPr>
            </w:pPr>
            <w:r>
              <w:rPr>
                <w:sz w:val="20"/>
              </w:rPr>
              <w:t>1</w:t>
            </w:r>
          </w:p>
        </w:tc>
        <w:tc>
          <w:tcPr>
            <w:tcW w:w="852" w:type="dxa"/>
            <w:gridSpan w:val="2"/>
          </w:tcPr>
          <w:p w:rsidR="00B40966" w:rsidRDefault="00B40966">
            <w:pPr>
              <w:pStyle w:val="TableText"/>
              <w:jc w:val="center"/>
              <w:rPr>
                <w:sz w:val="20"/>
              </w:rPr>
            </w:pPr>
            <w:r>
              <w:rPr>
                <w:sz w:val="20"/>
              </w:rPr>
              <w:t>17</w:t>
            </w:r>
          </w:p>
        </w:tc>
        <w:tc>
          <w:tcPr>
            <w:tcW w:w="600" w:type="dxa"/>
            <w:gridSpan w:val="3"/>
            <w:tcBorders>
              <w:left w:val="single" w:sz="6" w:space="0" w:color="auto"/>
            </w:tcBorders>
          </w:tcPr>
          <w:p w:rsidR="00B40966" w:rsidRDefault="00B40966">
            <w:pPr>
              <w:pStyle w:val="TableText"/>
              <w:jc w:val="center"/>
              <w:rPr>
                <w:sz w:val="20"/>
              </w:rPr>
            </w:pPr>
            <w:r>
              <w:rPr>
                <w:sz w:val="20"/>
              </w:rPr>
              <w:t>3</w:t>
            </w:r>
          </w:p>
        </w:tc>
        <w:tc>
          <w:tcPr>
            <w:tcW w:w="708" w:type="dxa"/>
          </w:tcPr>
          <w:p w:rsidR="00B40966" w:rsidRDefault="00B40966">
            <w:pPr>
              <w:pStyle w:val="TableText"/>
              <w:jc w:val="center"/>
              <w:rPr>
                <w:sz w:val="20"/>
              </w:rPr>
            </w:pPr>
            <w:r>
              <w:rPr>
                <w:sz w:val="20"/>
              </w:rPr>
              <w:t>11</w:t>
            </w:r>
          </w:p>
        </w:tc>
        <w:tc>
          <w:tcPr>
            <w:tcW w:w="764" w:type="dxa"/>
            <w:tcBorders>
              <w:left w:val="single" w:sz="6" w:space="0" w:color="auto"/>
            </w:tcBorders>
          </w:tcPr>
          <w:p w:rsidR="00B40966" w:rsidRDefault="00B40966">
            <w:pPr>
              <w:pStyle w:val="TableText"/>
              <w:jc w:val="center"/>
              <w:rPr>
                <w:sz w:val="20"/>
              </w:rPr>
            </w:pPr>
            <w:r>
              <w:rPr>
                <w:sz w:val="20"/>
              </w:rPr>
              <w:t>3</w:t>
            </w:r>
          </w:p>
        </w:tc>
        <w:tc>
          <w:tcPr>
            <w:tcW w:w="868" w:type="dxa"/>
            <w:gridSpan w:val="2"/>
          </w:tcPr>
          <w:p w:rsidR="00B40966" w:rsidRDefault="00B40966">
            <w:pPr>
              <w:pStyle w:val="TableText"/>
              <w:jc w:val="center"/>
              <w:rPr>
                <w:sz w:val="20"/>
              </w:rPr>
            </w:pPr>
            <w:r>
              <w:rPr>
                <w:sz w:val="20"/>
              </w:rPr>
              <w:t>4</w:t>
            </w:r>
          </w:p>
        </w:tc>
        <w:tc>
          <w:tcPr>
            <w:tcW w:w="732"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12</w:t>
            </w:r>
          </w:p>
        </w:tc>
        <w:tc>
          <w:tcPr>
            <w:tcW w:w="760" w:type="dxa"/>
            <w:gridSpan w:val="2"/>
            <w:tcBorders>
              <w:left w:val="single" w:sz="6" w:space="0" w:color="auto"/>
            </w:tcBorders>
          </w:tcPr>
          <w:p w:rsidR="00B40966" w:rsidRDefault="00B40966">
            <w:pPr>
              <w:pStyle w:val="TableText"/>
              <w:jc w:val="center"/>
              <w:rPr>
                <w:sz w:val="20"/>
              </w:rPr>
            </w:pPr>
            <w:r>
              <w:rPr>
                <w:sz w:val="20"/>
              </w:rPr>
              <w:t>1</w:t>
            </w:r>
          </w:p>
        </w:tc>
        <w:tc>
          <w:tcPr>
            <w:tcW w:w="760" w:type="dxa"/>
            <w:tcBorders>
              <w:right w:val="single" w:sz="6" w:space="0" w:color="auto"/>
            </w:tcBorders>
          </w:tcPr>
          <w:p w:rsidR="00B40966" w:rsidRDefault="00B40966">
            <w:pPr>
              <w:pStyle w:val="TableText"/>
              <w:jc w:val="center"/>
              <w:rPr>
                <w:sz w:val="20"/>
              </w:rPr>
            </w:pPr>
            <w:r>
              <w:rPr>
                <w:sz w:val="20"/>
              </w:rPr>
              <w:t>17</w:t>
            </w:r>
          </w:p>
        </w:tc>
        <w:tc>
          <w:tcPr>
            <w:tcW w:w="800" w:type="dxa"/>
            <w:gridSpan w:val="2"/>
          </w:tcPr>
          <w:p w:rsidR="00B40966" w:rsidRDefault="00B40966">
            <w:pPr>
              <w:pStyle w:val="TableText"/>
              <w:jc w:val="center"/>
              <w:rPr>
                <w:sz w:val="20"/>
              </w:rPr>
            </w:pPr>
            <w:r>
              <w:rPr>
                <w:sz w:val="20"/>
              </w:rPr>
              <w:t>0</w:t>
            </w:r>
          </w:p>
        </w:tc>
        <w:tc>
          <w:tcPr>
            <w:tcW w:w="674" w:type="dxa"/>
            <w:gridSpan w:val="2"/>
          </w:tcPr>
          <w:p w:rsidR="00B40966" w:rsidRDefault="00B40966">
            <w:pPr>
              <w:pStyle w:val="TableText"/>
              <w:jc w:val="center"/>
              <w:rPr>
                <w:sz w:val="20"/>
              </w:rPr>
            </w:pPr>
            <w:r>
              <w:rPr>
                <w:sz w:val="20"/>
              </w:rPr>
              <w:t>19</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660" w:type="dxa"/>
            <w:gridSpan w:val="2"/>
          </w:tcPr>
          <w:p w:rsidR="00B40966" w:rsidRDefault="00B40966">
            <w:pPr>
              <w:pStyle w:val="TableText"/>
              <w:jc w:val="center"/>
              <w:rPr>
                <w:sz w:val="20"/>
              </w:rPr>
            </w:pPr>
            <w:r>
              <w:rPr>
                <w:sz w:val="20"/>
              </w:rPr>
              <w:t>2</w:t>
            </w:r>
          </w:p>
        </w:tc>
        <w:tc>
          <w:tcPr>
            <w:tcW w:w="852" w:type="dxa"/>
            <w:gridSpan w:val="2"/>
          </w:tcPr>
          <w:p w:rsidR="00B40966" w:rsidRDefault="00B40966">
            <w:pPr>
              <w:pStyle w:val="TableText"/>
              <w:jc w:val="center"/>
              <w:rPr>
                <w:sz w:val="20"/>
              </w:rPr>
            </w:pPr>
            <w:r>
              <w:rPr>
                <w:sz w:val="20"/>
              </w:rPr>
              <w:t>1</w:t>
            </w:r>
          </w:p>
        </w:tc>
        <w:tc>
          <w:tcPr>
            <w:tcW w:w="600" w:type="dxa"/>
            <w:gridSpan w:val="3"/>
            <w:tcBorders>
              <w:left w:val="single" w:sz="6" w:space="0" w:color="auto"/>
            </w:tcBorders>
          </w:tcPr>
          <w:p w:rsidR="00B40966" w:rsidRDefault="00B40966">
            <w:pPr>
              <w:pStyle w:val="TableText"/>
              <w:jc w:val="center"/>
              <w:rPr>
                <w:sz w:val="20"/>
              </w:rPr>
            </w:pPr>
            <w:r>
              <w:rPr>
                <w:sz w:val="20"/>
              </w:rPr>
              <w:t>3</w:t>
            </w:r>
          </w:p>
        </w:tc>
        <w:tc>
          <w:tcPr>
            <w:tcW w:w="708" w:type="dxa"/>
          </w:tcPr>
          <w:p w:rsidR="00B40966" w:rsidRDefault="00B40966">
            <w:pPr>
              <w:pStyle w:val="TableText"/>
              <w:jc w:val="center"/>
              <w:rPr>
                <w:sz w:val="20"/>
              </w:rPr>
            </w:pPr>
            <w:r>
              <w:rPr>
                <w:sz w:val="20"/>
              </w:rPr>
              <w:t>19</w:t>
            </w:r>
          </w:p>
        </w:tc>
        <w:tc>
          <w:tcPr>
            <w:tcW w:w="764" w:type="dxa"/>
            <w:tcBorders>
              <w:left w:val="single" w:sz="6" w:space="0" w:color="auto"/>
            </w:tcBorders>
          </w:tcPr>
          <w:p w:rsidR="00B40966" w:rsidRDefault="00B40966">
            <w:pPr>
              <w:pStyle w:val="TableText"/>
              <w:jc w:val="center"/>
              <w:rPr>
                <w:sz w:val="20"/>
              </w:rPr>
            </w:pPr>
            <w:r>
              <w:rPr>
                <w:sz w:val="20"/>
              </w:rPr>
              <w:t>3</w:t>
            </w:r>
          </w:p>
        </w:tc>
        <w:tc>
          <w:tcPr>
            <w:tcW w:w="868" w:type="dxa"/>
            <w:gridSpan w:val="2"/>
          </w:tcPr>
          <w:p w:rsidR="00B40966" w:rsidRDefault="00B40966">
            <w:pPr>
              <w:pStyle w:val="TableText"/>
              <w:jc w:val="center"/>
              <w:rPr>
                <w:sz w:val="20"/>
              </w:rPr>
            </w:pPr>
            <w:r>
              <w:rPr>
                <w:sz w:val="20"/>
              </w:rPr>
              <w:t>11</w:t>
            </w:r>
          </w:p>
        </w:tc>
        <w:tc>
          <w:tcPr>
            <w:tcW w:w="732"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18</w:t>
            </w:r>
          </w:p>
        </w:tc>
        <w:tc>
          <w:tcPr>
            <w:tcW w:w="760" w:type="dxa"/>
            <w:gridSpan w:val="2"/>
            <w:tcBorders>
              <w:left w:val="single" w:sz="6" w:space="0" w:color="auto"/>
            </w:tcBorders>
          </w:tcPr>
          <w:p w:rsidR="00B40966" w:rsidRDefault="00B40966">
            <w:pPr>
              <w:pStyle w:val="TableText"/>
              <w:jc w:val="center"/>
              <w:rPr>
                <w:sz w:val="20"/>
              </w:rPr>
            </w:pPr>
            <w:r>
              <w:rPr>
                <w:sz w:val="20"/>
              </w:rPr>
              <w:t>2</w:t>
            </w:r>
          </w:p>
        </w:tc>
        <w:tc>
          <w:tcPr>
            <w:tcW w:w="760" w:type="dxa"/>
            <w:tcBorders>
              <w:right w:val="single" w:sz="6" w:space="0" w:color="auto"/>
            </w:tcBorders>
          </w:tcPr>
          <w:p w:rsidR="00B40966" w:rsidRDefault="00B40966">
            <w:pPr>
              <w:pStyle w:val="TableText"/>
              <w:jc w:val="center"/>
              <w:rPr>
                <w:sz w:val="20"/>
              </w:rPr>
            </w:pPr>
            <w:r>
              <w:rPr>
                <w:sz w:val="20"/>
              </w:rPr>
              <w:t>1</w:t>
            </w:r>
          </w:p>
        </w:tc>
        <w:tc>
          <w:tcPr>
            <w:tcW w:w="800" w:type="dxa"/>
            <w:gridSpan w:val="2"/>
          </w:tcPr>
          <w:p w:rsidR="00B40966" w:rsidRDefault="00B40966">
            <w:pPr>
              <w:pStyle w:val="TableText"/>
              <w:jc w:val="center"/>
              <w:rPr>
                <w:sz w:val="20"/>
              </w:rPr>
            </w:pPr>
            <w:r>
              <w:rPr>
                <w:sz w:val="20"/>
              </w:rPr>
              <w:t>1</w:t>
            </w:r>
          </w:p>
        </w:tc>
        <w:tc>
          <w:tcPr>
            <w:tcW w:w="674" w:type="dxa"/>
            <w:gridSpan w:val="2"/>
          </w:tcPr>
          <w:p w:rsidR="00B40966" w:rsidRDefault="00B40966">
            <w:pPr>
              <w:pStyle w:val="TableText"/>
              <w:jc w:val="center"/>
              <w:rPr>
                <w:sz w:val="20"/>
              </w:rPr>
            </w:pPr>
            <w:r>
              <w:rPr>
                <w:sz w:val="20"/>
              </w:rPr>
              <w:t>1</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660" w:type="dxa"/>
            <w:gridSpan w:val="2"/>
          </w:tcPr>
          <w:p w:rsidR="00B40966" w:rsidRDefault="00B40966">
            <w:pPr>
              <w:pStyle w:val="TableText"/>
              <w:jc w:val="center"/>
              <w:rPr>
                <w:sz w:val="20"/>
              </w:rPr>
            </w:pPr>
            <w:r>
              <w:rPr>
                <w:sz w:val="20"/>
              </w:rPr>
              <w:t>2</w:t>
            </w:r>
          </w:p>
        </w:tc>
        <w:tc>
          <w:tcPr>
            <w:tcW w:w="852" w:type="dxa"/>
            <w:gridSpan w:val="2"/>
          </w:tcPr>
          <w:p w:rsidR="00B40966" w:rsidRDefault="00B40966">
            <w:pPr>
              <w:pStyle w:val="TableText"/>
              <w:jc w:val="center"/>
              <w:rPr>
                <w:sz w:val="20"/>
              </w:rPr>
            </w:pPr>
            <w:r>
              <w:rPr>
                <w:sz w:val="20"/>
              </w:rPr>
              <w:t>6</w:t>
            </w:r>
          </w:p>
        </w:tc>
        <w:tc>
          <w:tcPr>
            <w:tcW w:w="600" w:type="dxa"/>
            <w:gridSpan w:val="3"/>
            <w:tcBorders>
              <w:left w:val="single" w:sz="6" w:space="0" w:color="auto"/>
            </w:tcBorders>
          </w:tcPr>
          <w:p w:rsidR="00B40966" w:rsidRDefault="00B40966">
            <w:pPr>
              <w:pStyle w:val="TableText"/>
              <w:jc w:val="center"/>
              <w:rPr>
                <w:sz w:val="20"/>
              </w:rPr>
            </w:pPr>
            <w:r>
              <w:rPr>
                <w:sz w:val="20"/>
              </w:rPr>
              <w:t>4</w:t>
            </w:r>
          </w:p>
        </w:tc>
        <w:tc>
          <w:tcPr>
            <w:tcW w:w="708" w:type="dxa"/>
          </w:tcPr>
          <w:p w:rsidR="00B40966" w:rsidRDefault="00B40966">
            <w:pPr>
              <w:pStyle w:val="TableText"/>
              <w:jc w:val="center"/>
              <w:rPr>
                <w:sz w:val="20"/>
              </w:rPr>
            </w:pPr>
            <w:r>
              <w:rPr>
                <w:sz w:val="20"/>
              </w:rPr>
              <w:t>9</w:t>
            </w:r>
          </w:p>
        </w:tc>
        <w:tc>
          <w:tcPr>
            <w:tcW w:w="764" w:type="dxa"/>
            <w:tcBorders>
              <w:left w:val="single" w:sz="6" w:space="0" w:color="auto"/>
            </w:tcBorders>
          </w:tcPr>
          <w:p w:rsidR="00B40966" w:rsidRDefault="00B40966">
            <w:pPr>
              <w:pStyle w:val="TableText"/>
              <w:jc w:val="center"/>
              <w:rPr>
                <w:sz w:val="20"/>
              </w:rPr>
            </w:pPr>
            <w:r>
              <w:rPr>
                <w:sz w:val="20"/>
              </w:rPr>
              <w:t>4</w:t>
            </w:r>
          </w:p>
        </w:tc>
        <w:tc>
          <w:tcPr>
            <w:tcW w:w="868" w:type="dxa"/>
            <w:gridSpan w:val="2"/>
          </w:tcPr>
          <w:p w:rsidR="00B40966" w:rsidRDefault="00B40966">
            <w:pPr>
              <w:pStyle w:val="TableText"/>
              <w:jc w:val="center"/>
              <w:rPr>
                <w:sz w:val="20"/>
              </w:rPr>
            </w:pPr>
            <w:r>
              <w:rPr>
                <w:sz w:val="20"/>
              </w:rPr>
              <w:t>0</w:t>
            </w:r>
          </w:p>
        </w:tc>
        <w:tc>
          <w:tcPr>
            <w:tcW w:w="732"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5</w:t>
            </w:r>
          </w:p>
        </w:tc>
        <w:tc>
          <w:tcPr>
            <w:tcW w:w="760" w:type="dxa"/>
            <w:gridSpan w:val="2"/>
            <w:tcBorders>
              <w:left w:val="single" w:sz="6" w:space="0" w:color="auto"/>
            </w:tcBorders>
          </w:tcPr>
          <w:p w:rsidR="00B40966" w:rsidRDefault="00B40966">
            <w:pPr>
              <w:pStyle w:val="TableText"/>
              <w:jc w:val="center"/>
              <w:rPr>
                <w:sz w:val="20"/>
              </w:rPr>
            </w:pPr>
            <w:r>
              <w:rPr>
                <w:sz w:val="20"/>
              </w:rPr>
              <w:t>2</w:t>
            </w:r>
          </w:p>
        </w:tc>
        <w:tc>
          <w:tcPr>
            <w:tcW w:w="760" w:type="dxa"/>
            <w:tcBorders>
              <w:right w:val="single" w:sz="6" w:space="0" w:color="auto"/>
            </w:tcBorders>
          </w:tcPr>
          <w:p w:rsidR="00B40966" w:rsidRDefault="00B40966">
            <w:pPr>
              <w:pStyle w:val="TableText"/>
              <w:jc w:val="center"/>
              <w:rPr>
                <w:sz w:val="20"/>
              </w:rPr>
            </w:pPr>
            <w:r>
              <w:rPr>
                <w:sz w:val="20"/>
              </w:rPr>
              <w:t>6</w:t>
            </w:r>
          </w:p>
        </w:tc>
        <w:tc>
          <w:tcPr>
            <w:tcW w:w="800" w:type="dxa"/>
            <w:gridSpan w:val="2"/>
          </w:tcPr>
          <w:p w:rsidR="00B40966" w:rsidRDefault="00B40966">
            <w:pPr>
              <w:pStyle w:val="TableText"/>
              <w:jc w:val="center"/>
              <w:rPr>
                <w:sz w:val="20"/>
              </w:rPr>
            </w:pPr>
            <w:r>
              <w:rPr>
                <w:sz w:val="20"/>
              </w:rPr>
              <w:t>1</w:t>
            </w:r>
          </w:p>
        </w:tc>
        <w:tc>
          <w:tcPr>
            <w:tcW w:w="674" w:type="dxa"/>
            <w:gridSpan w:val="2"/>
          </w:tcPr>
          <w:p w:rsidR="00B40966" w:rsidRDefault="00B40966">
            <w:pPr>
              <w:pStyle w:val="TableText"/>
              <w:jc w:val="center"/>
              <w:rPr>
                <w:sz w:val="20"/>
              </w:rPr>
            </w:pPr>
            <w:r>
              <w:rPr>
                <w:sz w:val="20"/>
              </w:rPr>
              <w:t>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660" w:type="dxa"/>
            <w:gridSpan w:val="2"/>
          </w:tcPr>
          <w:p w:rsidR="00B40966" w:rsidRDefault="00B40966">
            <w:pPr>
              <w:pStyle w:val="TableText"/>
              <w:jc w:val="center"/>
              <w:rPr>
                <w:sz w:val="20"/>
              </w:rPr>
            </w:pPr>
            <w:r>
              <w:rPr>
                <w:sz w:val="20"/>
              </w:rPr>
              <w:t>2</w:t>
            </w:r>
          </w:p>
        </w:tc>
        <w:tc>
          <w:tcPr>
            <w:tcW w:w="852" w:type="dxa"/>
            <w:gridSpan w:val="2"/>
          </w:tcPr>
          <w:p w:rsidR="00B40966" w:rsidRDefault="00B40966">
            <w:pPr>
              <w:pStyle w:val="TableText"/>
              <w:jc w:val="center"/>
              <w:rPr>
                <w:sz w:val="20"/>
              </w:rPr>
            </w:pPr>
            <w:r>
              <w:rPr>
                <w:sz w:val="20"/>
              </w:rPr>
              <w:t>12</w:t>
            </w:r>
          </w:p>
        </w:tc>
        <w:tc>
          <w:tcPr>
            <w:tcW w:w="600" w:type="dxa"/>
            <w:gridSpan w:val="3"/>
            <w:tcBorders>
              <w:left w:val="single" w:sz="6" w:space="0" w:color="auto"/>
            </w:tcBorders>
          </w:tcPr>
          <w:p w:rsidR="00B40966" w:rsidRDefault="00B40966">
            <w:pPr>
              <w:pStyle w:val="TableText"/>
              <w:jc w:val="center"/>
              <w:rPr>
                <w:sz w:val="20"/>
              </w:rPr>
            </w:pPr>
            <w:r>
              <w:rPr>
                <w:sz w:val="20"/>
              </w:rPr>
              <w:t>5</w:t>
            </w:r>
          </w:p>
        </w:tc>
        <w:tc>
          <w:tcPr>
            <w:tcW w:w="708" w:type="dxa"/>
          </w:tcPr>
          <w:p w:rsidR="00B40966" w:rsidRDefault="00B40966">
            <w:pPr>
              <w:pStyle w:val="TableText"/>
              <w:jc w:val="center"/>
              <w:rPr>
                <w:sz w:val="20"/>
              </w:rPr>
            </w:pPr>
            <w:r>
              <w:rPr>
                <w:sz w:val="20"/>
              </w:rPr>
              <w:t>0</w:t>
            </w:r>
          </w:p>
        </w:tc>
        <w:tc>
          <w:tcPr>
            <w:tcW w:w="764" w:type="dxa"/>
            <w:tcBorders>
              <w:left w:val="single" w:sz="6" w:space="0" w:color="auto"/>
            </w:tcBorders>
          </w:tcPr>
          <w:p w:rsidR="00B40966" w:rsidRDefault="00B40966">
            <w:pPr>
              <w:pStyle w:val="TableText"/>
              <w:jc w:val="center"/>
              <w:rPr>
                <w:sz w:val="20"/>
              </w:rPr>
            </w:pPr>
            <w:r>
              <w:rPr>
                <w:sz w:val="20"/>
              </w:rPr>
              <w:t>4</w:t>
            </w:r>
          </w:p>
        </w:tc>
        <w:tc>
          <w:tcPr>
            <w:tcW w:w="868" w:type="dxa"/>
            <w:gridSpan w:val="2"/>
          </w:tcPr>
          <w:p w:rsidR="00B40966" w:rsidRDefault="00B40966">
            <w:pPr>
              <w:pStyle w:val="TableText"/>
              <w:jc w:val="center"/>
              <w:rPr>
                <w:sz w:val="20"/>
              </w:rPr>
            </w:pPr>
            <w:r>
              <w:rPr>
                <w:sz w:val="20"/>
              </w:rPr>
              <w:t>10</w:t>
            </w:r>
          </w:p>
        </w:tc>
        <w:tc>
          <w:tcPr>
            <w:tcW w:w="732"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14</w:t>
            </w:r>
          </w:p>
        </w:tc>
        <w:tc>
          <w:tcPr>
            <w:tcW w:w="760" w:type="dxa"/>
            <w:gridSpan w:val="2"/>
            <w:tcBorders>
              <w:left w:val="single" w:sz="6" w:space="0" w:color="auto"/>
            </w:tcBorders>
          </w:tcPr>
          <w:p w:rsidR="00B40966" w:rsidRDefault="00B40966">
            <w:pPr>
              <w:pStyle w:val="TableText"/>
              <w:jc w:val="center"/>
              <w:rPr>
                <w:sz w:val="20"/>
              </w:rPr>
            </w:pPr>
            <w:r>
              <w:rPr>
                <w:sz w:val="20"/>
              </w:rPr>
              <w:t>2</w:t>
            </w:r>
          </w:p>
        </w:tc>
        <w:tc>
          <w:tcPr>
            <w:tcW w:w="760" w:type="dxa"/>
            <w:tcBorders>
              <w:right w:val="single" w:sz="6" w:space="0" w:color="auto"/>
            </w:tcBorders>
          </w:tcPr>
          <w:p w:rsidR="00B40966" w:rsidRDefault="00B40966">
            <w:pPr>
              <w:pStyle w:val="TableText"/>
              <w:jc w:val="center"/>
              <w:rPr>
                <w:sz w:val="20"/>
              </w:rPr>
            </w:pPr>
            <w:r>
              <w:rPr>
                <w:sz w:val="20"/>
              </w:rPr>
              <w:t>12</w:t>
            </w:r>
          </w:p>
        </w:tc>
        <w:tc>
          <w:tcPr>
            <w:tcW w:w="800" w:type="dxa"/>
            <w:gridSpan w:val="2"/>
          </w:tcPr>
          <w:p w:rsidR="00B40966" w:rsidRDefault="00B40966">
            <w:pPr>
              <w:pStyle w:val="TableText"/>
              <w:jc w:val="center"/>
              <w:rPr>
                <w:sz w:val="20"/>
              </w:rPr>
            </w:pPr>
            <w:r>
              <w:rPr>
                <w:sz w:val="20"/>
              </w:rPr>
              <w:t>1</w:t>
            </w:r>
          </w:p>
        </w:tc>
        <w:tc>
          <w:tcPr>
            <w:tcW w:w="674" w:type="dxa"/>
            <w:gridSpan w:val="2"/>
          </w:tcPr>
          <w:p w:rsidR="00B40966" w:rsidRDefault="00B40966">
            <w:pPr>
              <w:pStyle w:val="TableText"/>
              <w:jc w:val="center"/>
              <w:rPr>
                <w:sz w:val="20"/>
              </w:rPr>
            </w:pPr>
            <w:r>
              <w:rPr>
                <w:sz w:val="20"/>
              </w:rPr>
              <w:t>7</w:t>
            </w:r>
          </w:p>
        </w:tc>
      </w:tr>
      <w:tr w:rsidR="00B40966">
        <w:trPr>
          <w:cantSplit/>
          <w:trHeight w:val="200"/>
        </w:trPr>
        <w:tc>
          <w:tcPr>
            <w:tcW w:w="968" w:type="dxa"/>
          </w:tcPr>
          <w:p w:rsidR="00B40966" w:rsidRDefault="00B40966">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660" w:type="dxa"/>
            <w:gridSpan w:val="2"/>
          </w:tcPr>
          <w:p w:rsidR="00B40966" w:rsidRDefault="00B40966">
            <w:pPr>
              <w:pStyle w:val="TableText"/>
              <w:jc w:val="center"/>
              <w:rPr>
                <w:sz w:val="20"/>
              </w:rPr>
            </w:pPr>
            <w:r>
              <w:rPr>
                <w:sz w:val="20"/>
              </w:rPr>
              <w:t>2</w:t>
            </w:r>
          </w:p>
        </w:tc>
        <w:tc>
          <w:tcPr>
            <w:tcW w:w="852" w:type="dxa"/>
            <w:gridSpan w:val="2"/>
          </w:tcPr>
          <w:p w:rsidR="00B40966" w:rsidRDefault="00B40966">
            <w:pPr>
              <w:pStyle w:val="TableText"/>
              <w:jc w:val="center"/>
              <w:rPr>
                <w:sz w:val="20"/>
              </w:rPr>
            </w:pPr>
            <w:r>
              <w:rPr>
                <w:sz w:val="20"/>
              </w:rPr>
              <w:t>16</w:t>
            </w:r>
          </w:p>
        </w:tc>
        <w:tc>
          <w:tcPr>
            <w:tcW w:w="600" w:type="dxa"/>
            <w:gridSpan w:val="3"/>
            <w:tcBorders>
              <w:left w:val="single" w:sz="6" w:space="0" w:color="auto"/>
            </w:tcBorders>
          </w:tcPr>
          <w:p w:rsidR="00B40966" w:rsidRDefault="00B40966">
            <w:pPr>
              <w:pStyle w:val="TableText"/>
              <w:jc w:val="center"/>
              <w:rPr>
                <w:sz w:val="20"/>
              </w:rPr>
            </w:pPr>
            <w:r>
              <w:rPr>
                <w:sz w:val="20"/>
              </w:rPr>
              <w:t>5</w:t>
            </w:r>
          </w:p>
        </w:tc>
        <w:tc>
          <w:tcPr>
            <w:tcW w:w="708" w:type="dxa"/>
          </w:tcPr>
          <w:p w:rsidR="00B40966" w:rsidRDefault="00B40966">
            <w:pPr>
              <w:pStyle w:val="TableText"/>
              <w:jc w:val="center"/>
              <w:rPr>
                <w:sz w:val="20"/>
              </w:rPr>
            </w:pPr>
            <w:r>
              <w:rPr>
                <w:sz w:val="20"/>
              </w:rPr>
              <w:t>8</w:t>
            </w:r>
          </w:p>
        </w:tc>
        <w:tc>
          <w:tcPr>
            <w:tcW w:w="764" w:type="dxa"/>
            <w:tcBorders>
              <w:left w:val="single" w:sz="6" w:space="0" w:color="auto"/>
            </w:tcBorders>
          </w:tcPr>
          <w:p w:rsidR="00B40966" w:rsidRDefault="00B40966">
            <w:pPr>
              <w:pStyle w:val="TableText"/>
              <w:jc w:val="center"/>
              <w:rPr>
                <w:sz w:val="20"/>
              </w:rPr>
            </w:pPr>
            <w:r>
              <w:rPr>
                <w:sz w:val="20"/>
              </w:rPr>
              <w:t>4</w:t>
            </w:r>
          </w:p>
        </w:tc>
        <w:tc>
          <w:tcPr>
            <w:tcW w:w="868" w:type="dxa"/>
            <w:gridSpan w:val="2"/>
          </w:tcPr>
          <w:p w:rsidR="00B40966" w:rsidRDefault="00B40966">
            <w:pPr>
              <w:pStyle w:val="TableText"/>
              <w:jc w:val="center"/>
              <w:rPr>
                <w:sz w:val="20"/>
              </w:rPr>
            </w:pPr>
            <w:r>
              <w:rPr>
                <w:sz w:val="20"/>
              </w:rPr>
              <w:t>18</w:t>
            </w:r>
          </w:p>
        </w:tc>
        <w:tc>
          <w:tcPr>
            <w:tcW w:w="732" w:type="dxa"/>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0</w:t>
            </w:r>
          </w:p>
        </w:tc>
        <w:tc>
          <w:tcPr>
            <w:tcW w:w="760" w:type="dxa"/>
            <w:gridSpan w:val="2"/>
            <w:tcBorders>
              <w:left w:val="single" w:sz="6" w:space="0" w:color="auto"/>
            </w:tcBorders>
          </w:tcPr>
          <w:p w:rsidR="00B40966" w:rsidRDefault="00B40966">
            <w:pPr>
              <w:pStyle w:val="TableText"/>
              <w:jc w:val="center"/>
              <w:rPr>
                <w:sz w:val="20"/>
              </w:rPr>
            </w:pPr>
            <w:r>
              <w:rPr>
                <w:sz w:val="20"/>
              </w:rPr>
              <w:t>2</w:t>
            </w:r>
          </w:p>
        </w:tc>
        <w:tc>
          <w:tcPr>
            <w:tcW w:w="760" w:type="dxa"/>
          </w:tcPr>
          <w:p w:rsidR="00B40966" w:rsidRDefault="00B40966">
            <w:pPr>
              <w:pStyle w:val="TableText"/>
              <w:jc w:val="center"/>
              <w:rPr>
                <w:sz w:val="20"/>
              </w:rPr>
            </w:pPr>
            <w:r>
              <w:rPr>
                <w:sz w:val="20"/>
              </w:rPr>
              <w:t>17</w:t>
            </w:r>
          </w:p>
        </w:tc>
        <w:tc>
          <w:tcPr>
            <w:tcW w:w="800" w:type="dxa"/>
            <w:gridSpan w:val="2"/>
            <w:tcBorders>
              <w:left w:val="single" w:sz="6" w:space="0" w:color="auto"/>
            </w:tcBorders>
          </w:tcPr>
          <w:p w:rsidR="00B40966" w:rsidRDefault="00B40966">
            <w:pPr>
              <w:pStyle w:val="TableText"/>
              <w:jc w:val="center"/>
              <w:rPr>
                <w:sz w:val="20"/>
              </w:rPr>
            </w:pPr>
            <w:r>
              <w:rPr>
                <w:sz w:val="20"/>
              </w:rPr>
              <w:t>1</w:t>
            </w:r>
          </w:p>
        </w:tc>
        <w:tc>
          <w:tcPr>
            <w:tcW w:w="674" w:type="dxa"/>
            <w:gridSpan w:val="2"/>
          </w:tcPr>
          <w:p w:rsidR="00B40966" w:rsidRDefault="00B40966">
            <w:pPr>
              <w:pStyle w:val="TableText"/>
              <w:jc w:val="center"/>
              <w:rPr>
                <w:sz w:val="20"/>
              </w:rPr>
            </w:pPr>
            <w:r>
              <w:rPr>
                <w:sz w:val="20"/>
              </w:rPr>
              <w:t>9</w:t>
            </w:r>
          </w:p>
        </w:tc>
      </w:tr>
      <w:tr w:rsidR="00B40966">
        <w:trPr>
          <w:cantSplit/>
          <w:trHeight w:val="200"/>
        </w:trPr>
        <w:tc>
          <w:tcPr>
            <w:tcW w:w="968" w:type="dxa"/>
          </w:tcPr>
          <w:p w:rsidR="00B40966" w:rsidRDefault="00B40966">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660" w:type="dxa"/>
            <w:gridSpan w:val="2"/>
          </w:tcPr>
          <w:p w:rsidR="00B40966" w:rsidRDefault="00B40966">
            <w:pPr>
              <w:pStyle w:val="TableText"/>
              <w:jc w:val="center"/>
              <w:rPr>
                <w:sz w:val="20"/>
              </w:rPr>
            </w:pPr>
            <w:r>
              <w:rPr>
                <w:sz w:val="20"/>
              </w:rPr>
              <w:t>3</w:t>
            </w:r>
          </w:p>
        </w:tc>
        <w:tc>
          <w:tcPr>
            <w:tcW w:w="852" w:type="dxa"/>
            <w:gridSpan w:val="2"/>
          </w:tcPr>
          <w:p w:rsidR="00B40966" w:rsidRDefault="00B40966">
            <w:pPr>
              <w:pStyle w:val="TableText"/>
              <w:jc w:val="center"/>
              <w:rPr>
                <w:sz w:val="20"/>
              </w:rPr>
            </w:pPr>
            <w:r>
              <w:rPr>
                <w:sz w:val="20"/>
              </w:rPr>
              <w:t>8</w:t>
            </w:r>
          </w:p>
        </w:tc>
        <w:tc>
          <w:tcPr>
            <w:tcW w:w="600" w:type="dxa"/>
            <w:gridSpan w:val="3"/>
            <w:tcBorders>
              <w:left w:val="single" w:sz="6" w:space="0" w:color="auto"/>
            </w:tcBorders>
          </w:tcPr>
          <w:p w:rsidR="00B40966" w:rsidRDefault="00B40966">
            <w:pPr>
              <w:pStyle w:val="TableText"/>
              <w:jc w:val="center"/>
              <w:rPr>
                <w:sz w:val="20"/>
              </w:rPr>
            </w:pPr>
            <w:r>
              <w:rPr>
                <w:sz w:val="20"/>
              </w:rPr>
              <w:t>6</w:t>
            </w:r>
          </w:p>
        </w:tc>
        <w:tc>
          <w:tcPr>
            <w:tcW w:w="708" w:type="dxa"/>
          </w:tcPr>
          <w:p w:rsidR="00B40966" w:rsidRDefault="00B40966">
            <w:pPr>
              <w:pStyle w:val="TableText"/>
              <w:jc w:val="center"/>
              <w:rPr>
                <w:sz w:val="20"/>
              </w:rPr>
            </w:pPr>
            <w:r>
              <w:rPr>
                <w:sz w:val="20"/>
              </w:rPr>
              <w:t>12</w:t>
            </w:r>
          </w:p>
        </w:tc>
        <w:tc>
          <w:tcPr>
            <w:tcW w:w="764" w:type="dxa"/>
            <w:tcBorders>
              <w:left w:val="single" w:sz="6" w:space="0" w:color="auto"/>
            </w:tcBorders>
          </w:tcPr>
          <w:p w:rsidR="00B40966" w:rsidRDefault="00B40966">
            <w:pPr>
              <w:pStyle w:val="TableText"/>
              <w:jc w:val="center"/>
              <w:rPr>
                <w:sz w:val="20"/>
              </w:rPr>
            </w:pPr>
            <w:r>
              <w:rPr>
                <w:sz w:val="20"/>
              </w:rPr>
              <w:t>5</w:t>
            </w:r>
          </w:p>
        </w:tc>
        <w:tc>
          <w:tcPr>
            <w:tcW w:w="868" w:type="dxa"/>
            <w:gridSpan w:val="2"/>
          </w:tcPr>
          <w:p w:rsidR="00B40966" w:rsidRDefault="00B40966">
            <w:pPr>
              <w:pStyle w:val="TableText"/>
              <w:jc w:val="center"/>
              <w:rPr>
                <w:sz w:val="20"/>
              </w:rPr>
            </w:pPr>
            <w:r>
              <w:rPr>
                <w:sz w:val="20"/>
              </w:rPr>
              <w:t>18</w:t>
            </w:r>
          </w:p>
        </w:tc>
        <w:tc>
          <w:tcPr>
            <w:tcW w:w="732" w:type="dxa"/>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16</w:t>
            </w:r>
          </w:p>
        </w:tc>
        <w:tc>
          <w:tcPr>
            <w:tcW w:w="760" w:type="dxa"/>
            <w:gridSpan w:val="2"/>
            <w:tcBorders>
              <w:left w:val="single" w:sz="6" w:space="0" w:color="auto"/>
            </w:tcBorders>
          </w:tcPr>
          <w:p w:rsidR="00B40966" w:rsidRDefault="00B40966">
            <w:pPr>
              <w:pStyle w:val="TableText"/>
              <w:jc w:val="center"/>
              <w:rPr>
                <w:sz w:val="20"/>
              </w:rPr>
            </w:pPr>
            <w:r>
              <w:rPr>
                <w:sz w:val="20"/>
              </w:rPr>
              <w:t>3</w:t>
            </w:r>
          </w:p>
        </w:tc>
        <w:tc>
          <w:tcPr>
            <w:tcW w:w="760" w:type="dxa"/>
          </w:tcPr>
          <w:p w:rsidR="00B40966" w:rsidRDefault="00B40966">
            <w:pPr>
              <w:pStyle w:val="TableText"/>
              <w:jc w:val="center"/>
              <w:rPr>
                <w:sz w:val="20"/>
              </w:rPr>
            </w:pPr>
            <w:r>
              <w:rPr>
                <w:sz w:val="20"/>
              </w:rPr>
              <w:t>8</w:t>
            </w:r>
          </w:p>
        </w:tc>
        <w:tc>
          <w:tcPr>
            <w:tcW w:w="800" w:type="dxa"/>
            <w:gridSpan w:val="2"/>
            <w:tcBorders>
              <w:left w:val="single" w:sz="6" w:space="0" w:color="auto"/>
            </w:tcBorders>
          </w:tcPr>
          <w:p w:rsidR="00B40966" w:rsidRDefault="00B40966">
            <w:pPr>
              <w:pStyle w:val="TableText"/>
              <w:jc w:val="center"/>
              <w:rPr>
                <w:sz w:val="20"/>
              </w:rPr>
            </w:pPr>
            <w:r>
              <w:rPr>
                <w:sz w:val="20"/>
              </w:rPr>
              <w:t>1</w:t>
            </w:r>
          </w:p>
        </w:tc>
        <w:tc>
          <w:tcPr>
            <w:tcW w:w="674" w:type="dxa"/>
            <w:gridSpan w:val="2"/>
          </w:tcPr>
          <w:p w:rsidR="00B40966" w:rsidRDefault="00B40966">
            <w:pPr>
              <w:pStyle w:val="TableText"/>
              <w:jc w:val="center"/>
              <w:rPr>
                <w:sz w:val="20"/>
              </w:rPr>
            </w:pPr>
            <w:r>
              <w:rPr>
                <w:sz w:val="20"/>
              </w:rPr>
              <w:t>15</w:t>
            </w:r>
          </w:p>
        </w:tc>
      </w:tr>
      <w:tr w:rsidR="00B40966">
        <w:trPr>
          <w:cantSplit/>
          <w:trHeight w:val="200"/>
        </w:trPr>
        <w:tc>
          <w:tcPr>
            <w:tcW w:w="968" w:type="dxa"/>
          </w:tcPr>
          <w:p w:rsidR="00B40966" w:rsidRDefault="00B40966">
            <w:pPr>
              <w:pStyle w:val="TableText"/>
              <w:jc w:val="center"/>
              <w:rPr>
                <w:sz w:val="20"/>
              </w:rPr>
            </w:pPr>
            <w:r>
              <w:rPr>
                <w:sz w:val="20"/>
              </w:rPr>
              <w:t>3</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660" w:type="dxa"/>
            <w:gridSpan w:val="2"/>
          </w:tcPr>
          <w:p w:rsidR="00B40966" w:rsidRDefault="00B40966">
            <w:pPr>
              <w:pStyle w:val="TableText"/>
              <w:jc w:val="center"/>
              <w:rPr>
                <w:sz w:val="20"/>
              </w:rPr>
            </w:pPr>
            <w:r>
              <w:rPr>
                <w:sz w:val="20"/>
              </w:rPr>
              <w:t>4</w:t>
            </w:r>
          </w:p>
        </w:tc>
        <w:tc>
          <w:tcPr>
            <w:tcW w:w="864" w:type="dxa"/>
            <w:gridSpan w:val="3"/>
          </w:tcPr>
          <w:p w:rsidR="00B40966" w:rsidRDefault="00B40966">
            <w:pPr>
              <w:pStyle w:val="TableText"/>
              <w:jc w:val="center"/>
              <w:rPr>
                <w:sz w:val="20"/>
              </w:rPr>
            </w:pPr>
            <w:r>
              <w:rPr>
                <w:sz w:val="20"/>
              </w:rPr>
              <w:t>3</w:t>
            </w:r>
          </w:p>
        </w:tc>
        <w:tc>
          <w:tcPr>
            <w:tcW w:w="588" w:type="dxa"/>
            <w:gridSpan w:val="2"/>
            <w:tcBorders>
              <w:left w:val="single" w:sz="6" w:space="0" w:color="auto"/>
            </w:tcBorders>
          </w:tcPr>
          <w:p w:rsidR="00B40966" w:rsidRDefault="00B40966">
            <w:pPr>
              <w:pStyle w:val="TableText"/>
              <w:jc w:val="center"/>
              <w:rPr>
                <w:sz w:val="20"/>
              </w:rPr>
            </w:pPr>
            <w:r>
              <w:rPr>
                <w:sz w:val="20"/>
              </w:rPr>
              <w:t>8</w:t>
            </w:r>
          </w:p>
        </w:tc>
        <w:tc>
          <w:tcPr>
            <w:tcW w:w="708" w:type="dxa"/>
          </w:tcPr>
          <w:p w:rsidR="00B40966" w:rsidRDefault="00B40966">
            <w:pPr>
              <w:pStyle w:val="TableText"/>
              <w:jc w:val="center"/>
              <w:rPr>
                <w:sz w:val="20"/>
              </w:rPr>
            </w:pPr>
            <w:r>
              <w:rPr>
                <w:sz w:val="20"/>
              </w:rPr>
              <w:t>6</w:t>
            </w:r>
          </w:p>
        </w:tc>
        <w:tc>
          <w:tcPr>
            <w:tcW w:w="764" w:type="dxa"/>
            <w:tcBorders>
              <w:left w:val="single" w:sz="6" w:space="0" w:color="auto"/>
            </w:tcBorders>
          </w:tcPr>
          <w:p w:rsidR="00B40966" w:rsidRDefault="00B40966">
            <w:pPr>
              <w:pStyle w:val="TableText"/>
              <w:jc w:val="center"/>
              <w:rPr>
                <w:sz w:val="20"/>
              </w:rPr>
            </w:pPr>
            <w:r>
              <w:rPr>
                <w:sz w:val="20"/>
              </w:rPr>
              <w:t>7</w:t>
            </w:r>
          </w:p>
        </w:tc>
        <w:tc>
          <w:tcPr>
            <w:tcW w:w="868" w:type="dxa"/>
            <w:gridSpan w:val="2"/>
          </w:tcPr>
          <w:p w:rsidR="00B40966" w:rsidRDefault="00B40966">
            <w:pPr>
              <w:pStyle w:val="TableText"/>
              <w:jc w:val="center"/>
              <w:rPr>
                <w:sz w:val="20"/>
              </w:rPr>
            </w:pPr>
            <w:r>
              <w:rPr>
                <w:sz w:val="20"/>
              </w:rPr>
              <w:t>9</w:t>
            </w:r>
          </w:p>
        </w:tc>
        <w:tc>
          <w:tcPr>
            <w:tcW w:w="732" w:type="dxa"/>
            <w:tcBorders>
              <w:left w:val="single" w:sz="6" w:space="0" w:color="auto"/>
            </w:tcBorders>
          </w:tcPr>
          <w:p w:rsidR="00B40966" w:rsidRDefault="00B40966">
            <w:pPr>
              <w:pStyle w:val="TableText"/>
              <w:jc w:val="center"/>
              <w:rPr>
                <w:sz w:val="20"/>
              </w:rPr>
            </w:pPr>
            <w:r>
              <w:rPr>
                <w:sz w:val="20"/>
              </w:rPr>
              <w:t>6</w:t>
            </w:r>
          </w:p>
        </w:tc>
        <w:tc>
          <w:tcPr>
            <w:tcW w:w="786" w:type="dxa"/>
            <w:gridSpan w:val="2"/>
          </w:tcPr>
          <w:p w:rsidR="00B40966" w:rsidRDefault="00B40966">
            <w:pPr>
              <w:pStyle w:val="TableText"/>
              <w:jc w:val="center"/>
              <w:rPr>
                <w:sz w:val="20"/>
              </w:rPr>
            </w:pPr>
            <w:r>
              <w:rPr>
                <w:sz w:val="20"/>
              </w:rPr>
              <w:t>1</w:t>
            </w:r>
          </w:p>
        </w:tc>
        <w:tc>
          <w:tcPr>
            <w:tcW w:w="760" w:type="dxa"/>
            <w:gridSpan w:val="2"/>
            <w:tcBorders>
              <w:left w:val="single" w:sz="6" w:space="0" w:color="auto"/>
            </w:tcBorders>
          </w:tcPr>
          <w:p w:rsidR="00B40966" w:rsidRDefault="00B40966">
            <w:pPr>
              <w:pStyle w:val="TableText"/>
              <w:jc w:val="center"/>
              <w:rPr>
                <w:sz w:val="20"/>
              </w:rPr>
            </w:pPr>
            <w:r>
              <w:rPr>
                <w:sz w:val="20"/>
              </w:rPr>
              <w:t>4</w:t>
            </w:r>
          </w:p>
        </w:tc>
        <w:tc>
          <w:tcPr>
            <w:tcW w:w="760" w:type="dxa"/>
          </w:tcPr>
          <w:p w:rsidR="00B40966" w:rsidRDefault="00B40966">
            <w:pPr>
              <w:pStyle w:val="TableText"/>
              <w:jc w:val="center"/>
              <w:rPr>
                <w:sz w:val="20"/>
              </w:rPr>
            </w:pPr>
            <w:r>
              <w:rPr>
                <w:sz w:val="20"/>
              </w:rPr>
              <w:t>3</w:t>
            </w:r>
          </w:p>
        </w:tc>
        <w:tc>
          <w:tcPr>
            <w:tcW w:w="800" w:type="dxa"/>
            <w:gridSpan w:val="2"/>
            <w:tcBorders>
              <w:left w:val="single" w:sz="6" w:space="0" w:color="auto"/>
            </w:tcBorders>
          </w:tcPr>
          <w:p w:rsidR="00B40966" w:rsidRDefault="00B40966">
            <w:pPr>
              <w:pStyle w:val="TableText"/>
              <w:jc w:val="center"/>
              <w:rPr>
                <w:sz w:val="20"/>
              </w:rPr>
            </w:pPr>
            <w:r>
              <w:rPr>
                <w:sz w:val="20"/>
              </w:rPr>
              <w:t>2</w:t>
            </w:r>
          </w:p>
        </w:tc>
        <w:tc>
          <w:tcPr>
            <w:tcW w:w="674" w:type="dxa"/>
            <w:gridSpan w:val="2"/>
          </w:tcPr>
          <w:p w:rsidR="00B40966" w:rsidRDefault="00B40966">
            <w:pPr>
              <w:pStyle w:val="TableText"/>
              <w:jc w:val="center"/>
              <w:rPr>
                <w:sz w:val="20"/>
              </w:rPr>
            </w:pPr>
            <w:r>
              <w:rPr>
                <w:sz w:val="20"/>
              </w:rPr>
              <w:t>4</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660" w:type="dxa"/>
            <w:gridSpan w:val="2"/>
          </w:tcPr>
          <w:p w:rsidR="00B40966" w:rsidRDefault="00B40966">
            <w:pPr>
              <w:pStyle w:val="TableText"/>
              <w:jc w:val="center"/>
              <w:rPr>
                <w:sz w:val="20"/>
              </w:rPr>
            </w:pPr>
            <w:r>
              <w:rPr>
                <w:sz w:val="20"/>
              </w:rPr>
              <w:t>5</w:t>
            </w:r>
          </w:p>
        </w:tc>
        <w:tc>
          <w:tcPr>
            <w:tcW w:w="864" w:type="dxa"/>
            <w:gridSpan w:val="3"/>
          </w:tcPr>
          <w:p w:rsidR="00B40966" w:rsidRDefault="00B40966">
            <w:pPr>
              <w:pStyle w:val="TableText"/>
              <w:jc w:val="center"/>
              <w:rPr>
                <w:sz w:val="20"/>
              </w:rPr>
            </w:pPr>
            <w:r>
              <w:rPr>
                <w:sz w:val="20"/>
              </w:rPr>
              <w:t>0</w:t>
            </w:r>
          </w:p>
        </w:tc>
        <w:tc>
          <w:tcPr>
            <w:tcW w:w="588" w:type="dxa"/>
            <w:gridSpan w:val="2"/>
            <w:tcBorders>
              <w:left w:val="single" w:sz="6" w:space="0" w:color="auto"/>
            </w:tcBorders>
          </w:tcPr>
          <w:p w:rsidR="00B40966" w:rsidRDefault="00B40966">
            <w:pPr>
              <w:pStyle w:val="TableText"/>
              <w:jc w:val="center"/>
              <w:rPr>
                <w:sz w:val="20"/>
              </w:rPr>
            </w:pPr>
            <w:r>
              <w:rPr>
                <w:sz w:val="20"/>
              </w:rPr>
              <w:t>9</w:t>
            </w:r>
          </w:p>
        </w:tc>
        <w:tc>
          <w:tcPr>
            <w:tcW w:w="708" w:type="dxa"/>
          </w:tcPr>
          <w:p w:rsidR="00B40966" w:rsidRDefault="00B40966">
            <w:pPr>
              <w:pStyle w:val="TableText"/>
              <w:jc w:val="center"/>
              <w:rPr>
                <w:sz w:val="20"/>
              </w:rPr>
            </w:pPr>
            <w:r>
              <w:rPr>
                <w:sz w:val="20"/>
              </w:rPr>
              <w:t>13</w:t>
            </w:r>
          </w:p>
        </w:tc>
        <w:tc>
          <w:tcPr>
            <w:tcW w:w="764" w:type="dxa"/>
            <w:tcBorders>
              <w:left w:val="single" w:sz="6" w:space="0" w:color="auto"/>
            </w:tcBorders>
          </w:tcPr>
          <w:p w:rsidR="00B40966" w:rsidRDefault="00B40966">
            <w:pPr>
              <w:pStyle w:val="TableText"/>
              <w:jc w:val="center"/>
              <w:rPr>
                <w:sz w:val="20"/>
              </w:rPr>
            </w:pPr>
            <w:r>
              <w:rPr>
                <w:sz w:val="20"/>
              </w:rPr>
              <w:t>8</w:t>
            </w:r>
          </w:p>
        </w:tc>
        <w:tc>
          <w:tcPr>
            <w:tcW w:w="868" w:type="dxa"/>
            <w:gridSpan w:val="2"/>
          </w:tcPr>
          <w:p w:rsidR="00B40966" w:rsidRDefault="00B40966">
            <w:pPr>
              <w:pStyle w:val="TableText"/>
              <w:jc w:val="center"/>
              <w:rPr>
                <w:sz w:val="20"/>
              </w:rPr>
            </w:pPr>
            <w:r>
              <w:rPr>
                <w:sz w:val="20"/>
              </w:rPr>
              <w:t>13</w:t>
            </w:r>
          </w:p>
        </w:tc>
        <w:tc>
          <w:tcPr>
            <w:tcW w:w="732" w:type="dxa"/>
            <w:tcBorders>
              <w:left w:val="single" w:sz="6" w:space="0" w:color="auto"/>
            </w:tcBorders>
          </w:tcPr>
          <w:p w:rsidR="00B40966" w:rsidRDefault="00B40966">
            <w:pPr>
              <w:pStyle w:val="TableText"/>
              <w:jc w:val="center"/>
              <w:rPr>
                <w:sz w:val="20"/>
              </w:rPr>
            </w:pPr>
            <w:r>
              <w:rPr>
                <w:sz w:val="20"/>
              </w:rPr>
              <w:t>7</w:t>
            </w:r>
          </w:p>
        </w:tc>
        <w:tc>
          <w:tcPr>
            <w:tcW w:w="786" w:type="dxa"/>
            <w:gridSpan w:val="2"/>
          </w:tcPr>
          <w:p w:rsidR="00B40966" w:rsidRDefault="00B40966">
            <w:pPr>
              <w:pStyle w:val="TableText"/>
              <w:jc w:val="center"/>
              <w:rPr>
                <w:sz w:val="20"/>
              </w:rPr>
            </w:pPr>
            <w:r>
              <w:rPr>
                <w:sz w:val="20"/>
              </w:rPr>
              <w:t>1</w:t>
            </w:r>
          </w:p>
        </w:tc>
        <w:tc>
          <w:tcPr>
            <w:tcW w:w="760" w:type="dxa"/>
            <w:gridSpan w:val="2"/>
            <w:tcBorders>
              <w:left w:val="single" w:sz="6" w:space="0" w:color="auto"/>
            </w:tcBorders>
          </w:tcPr>
          <w:p w:rsidR="00B40966" w:rsidRDefault="00B40966">
            <w:pPr>
              <w:pStyle w:val="TableText"/>
              <w:jc w:val="center"/>
              <w:rPr>
                <w:sz w:val="20"/>
              </w:rPr>
            </w:pPr>
            <w:r>
              <w:rPr>
                <w:sz w:val="20"/>
              </w:rPr>
              <w:t>5</w:t>
            </w:r>
          </w:p>
        </w:tc>
        <w:tc>
          <w:tcPr>
            <w:tcW w:w="760" w:type="dxa"/>
          </w:tcPr>
          <w:p w:rsidR="00B40966" w:rsidRDefault="00B40966">
            <w:pPr>
              <w:pStyle w:val="TableText"/>
              <w:jc w:val="center"/>
              <w:rPr>
                <w:sz w:val="20"/>
              </w:rPr>
            </w:pPr>
            <w:r>
              <w:rPr>
                <w:sz w:val="20"/>
              </w:rPr>
              <w:t>0</w:t>
            </w:r>
          </w:p>
        </w:tc>
        <w:tc>
          <w:tcPr>
            <w:tcW w:w="800" w:type="dxa"/>
            <w:gridSpan w:val="2"/>
            <w:tcBorders>
              <w:left w:val="single" w:sz="6" w:space="0" w:color="auto"/>
            </w:tcBorders>
          </w:tcPr>
          <w:p w:rsidR="00B40966" w:rsidRDefault="00B40966">
            <w:pPr>
              <w:pStyle w:val="TableText"/>
              <w:jc w:val="center"/>
              <w:rPr>
                <w:sz w:val="20"/>
              </w:rPr>
            </w:pPr>
            <w:r>
              <w:rPr>
                <w:sz w:val="20"/>
              </w:rPr>
              <w:t>2</w:t>
            </w:r>
          </w:p>
        </w:tc>
        <w:tc>
          <w:tcPr>
            <w:tcW w:w="674" w:type="dxa"/>
            <w:gridSpan w:val="2"/>
          </w:tcPr>
          <w:p w:rsidR="00B40966" w:rsidRDefault="00B40966">
            <w:pPr>
              <w:pStyle w:val="TableText"/>
              <w:jc w:val="center"/>
              <w:rPr>
                <w:sz w:val="20"/>
              </w:rPr>
            </w:pPr>
            <w:r>
              <w:rPr>
                <w:sz w:val="20"/>
              </w:rPr>
              <w:t>12</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660" w:type="dxa"/>
            <w:gridSpan w:val="2"/>
          </w:tcPr>
          <w:p w:rsidR="00B40966" w:rsidRDefault="00B40966">
            <w:pPr>
              <w:pStyle w:val="TableText"/>
              <w:jc w:val="center"/>
              <w:rPr>
                <w:sz w:val="20"/>
              </w:rPr>
            </w:pPr>
            <w:r>
              <w:rPr>
                <w:sz w:val="20"/>
              </w:rPr>
              <w:t>5</w:t>
            </w:r>
          </w:p>
        </w:tc>
        <w:tc>
          <w:tcPr>
            <w:tcW w:w="864" w:type="dxa"/>
            <w:gridSpan w:val="3"/>
          </w:tcPr>
          <w:p w:rsidR="00B40966" w:rsidRDefault="00B40966">
            <w:pPr>
              <w:pStyle w:val="TableText"/>
              <w:jc w:val="center"/>
              <w:rPr>
                <w:sz w:val="20"/>
              </w:rPr>
            </w:pPr>
            <w:r>
              <w:rPr>
                <w:sz w:val="20"/>
              </w:rPr>
              <w:t>18</w:t>
            </w:r>
          </w:p>
        </w:tc>
        <w:tc>
          <w:tcPr>
            <w:tcW w:w="588" w:type="dxa"/>
            <w:gridSpan w:val="2"/>
            <w:tcBorders>
              <w:left w:val="single" w:sz="6" w:space="0" w:color="auto"/>
            </w:tcBorders>
          </w:tcPr>
          <w:p w:rsidR="00B40966" w:rsidRDefault="00B40966">
            <w:pPr>
              <w:pStyle w:val="TableText"/>
              <w:jc w:val="center"/>
              <w:rPr>
                <w:sz w:val="20"/>
              </w:rPr>
            </w:pPr>
            <w:r>
              <w:rPr>
                <w:sz w:val="20"/>
              </w:rPr>
              <w:t>11</w:t>
            </w:r>
          </w:p>
        </w:tc>
        <w:tc>
          <w:tcPr>
            <w:tcW w:w="708" w:type="dxa"/>
          </w:tcPr>
          <w:p w:rsidR="00B40966" w:rsidRDefault="00B40966">
            <w:pPr>
              <w:pStyle w:val="TableText"/>
              <w:jc w:val="center"/>
              <w:rPr>
                <w:sz w:val="20"/>
              </w:rPr>
            </w:pPr>
            <w:r>
              <w:rPr>
                <w:sz w:val="20"/>
              </w:rPr>
              <w:t>8</w:t>
            </w:r>
          </w:p>
        </w:tc>
        <w:tc>
          <w:tcPr>
            <w:tcW w:w="764" w:type="dxa"/>
            <w:tcBorders>
              <w:left w:val="single" w:sz="6" w:space="0" w:color="auto"/>
            </w:tcBorders>
          </w:tcPr>
          <w:p w:rsidR="00B40966" w:rsidRDefault="00B40966">
            <w:pPr>
              <w:pStyle w:val="TableText"/>
              <w:jc w:val="center"/>
              <w:rPr>
                <w:sz w:val="20"/>
              </w:rPr>
            </w:pPr>
            <w:r>
              <w:rPr>
                <w:sz w:val="20"/>
              </w:rPr>
              <w:t>10</w:t>
            </w:r>
          </w:p>
        </w:tc>
        <w:tc>
          <w:tcPr>
            <w:tcW w:w="868" w:type="dxa"/>
            <w:gridSpan w:val="2"/>
          </w:tcPr>
          <w:p w:rsidR="00B40966" w:rsidRDefault="00B40966">
            <w:pPr>
              <w:pStyle w:val="TableText"/>
              <w:jc w:val="center"/>
              <w:rPr>
                <w:sz w:val="20"/>
              </w:rPr>
            </w:pPr>
            <w:r>
              <w:rPr>
                <w:sz w:val="20"/>
              </w:rPr>
              <w:t>5</w:t>
            </w:r>
          </w:p>
        </w:tc>
        <w:tc>
          <w:tcPr>
            <w:tcW w:w="732" w:type="dxa"/>
            <w:tcBorders>
              <w:left w:val="single" w:sz="6" w:space="0" w:color="auto"/>
            </w:tcBorders>
          </w:tcPr>
          <w:p w:rsidR="00B40966" w:rsidRDefault="00B40966">
            <w:pPr>
              <w:pStyle w:val="TableText"/>
              <w:jc w:val="center"/>
              <w:rPr>
                <w:sz w:val="20"/>
              </w:rPr>
            </w:pPr>
            <w:r>
              <w:rPr>
                <w:sz w:val="20"/>
              </w:rPr>
              <w:t>8</w:t>
            </w:r>
          </w:p>
        </w:tc>
        <w:tc>
          <w:tcPr>
            <w:tcW w:w="786" w:type="dxa"/>
            <w:gridSpan w:val="2"/>
          </w:tcPr>
          <w:p w:rsidR="00B40966" w:rsidRDefault="00B40966">
            <w:pPr>
              <w:pStyle w:val="TableText"/>
              <w:jc w:val="center"/>
              <w:rPr>
                <w:sz w:val="20"/>
              </w:rPr>
            </w:pPr>
            <w:r>
              <w:rPr>
                <w:sz w:val="20"/>
              </w:rPr>
              <w:t>7</w:t>
            </w:r>
          </w:p>
        </w:tc>
        <w:tc>
          <w:tcPr>
            <w:tcW w:w="760" w:type="dxa"/>
            <w:gridSpan w:val="2"/>
            <w:tcBorders>
              <w:left w:val="single" w:sz="6" w:space="0" w:color="auto"/>
            </w:tcBorders>
          </w:tcPr>
          <w:p w:rsidR="00B40966" w:rsidRDefault="00B40966">
            <w:pPr>
              <w:pStyle w:val="TableText"/>
              <w:jc w:val="center"/>
              <w:rPr>
                <w:sz w:val="20"/>
              </w:rPr>
            </w:pPr>
            <w:r>
              <w:rPr>
                <w:sz w:val="20"/>
              </w:rPr>
              <w:t>5</w:t>
            </w:r>
          </w:p>
        </w:tc>
        <w:tc>
          <w:tcPr>
            <w:tcW w:w="760" w:type="dxa"/>
          </w:tcPr>
          <w:p w:rsidR="00B40966" w:rsidRDefault="00B40966">
            <w:pPr>
              <w:pStyle w:val="TableText"/>
              <w:jc w:val="center"/>
              <w:rPr>
                <w:sz w:val="20"/>
              </w:rPr>
            </w:pPr>
            <w:r>
              <w:rPr>
                <w:sz w:val="20"/>
              </w:rPr>
              <w:t>18</w:t>
            </w:r>
          </w:p>
        </w:tc>
        <w:tc>
          <w:tcPr>
            <w:tcW w:w="800" w:type="dxa"/>
            <w:gridSpan w:val="2"/>
            <w:tcBorders>
              <w:left w:val="single" w:sz="6" w:space="0" w:color="auto"/>
            </w:tcBorders>
          </w:tcPr>
          <w:p w:rsidR="00B40966" w:rsidRDefault="00B40966">
            <w:pPr>
              <w:pStyle w:val="TableText"/>
              <w:jc w:val="center"/>
              <w:rPr>
                <w:sz w:val="20"/>
              </w:rPr>
            </w:pPr>
            <w:r>
              <w:rPr>
                <w:sz w:val="20"/>
              </w:rPr>
              <w:t>3</w:t>
            </w:r>
          </w:p>
        </w:tc>
        <w:tc>
          <w:tcPr>
            <w:tcW w:w="674" w:type="dxa"/>
            <w:gridSpan w:val="2"/>
          </w:tcPr>
          <w:p w:rsidR="00B40966" w:rsidRDefault="00B40966">
            <w:pPr>
              <w:pStyle w:val="TableText"/>
              <w:jc w:val="center"/>
              <w:rPr>
                <w:sz w:val="20"/>
              </w:rPr>
            </w:pPr>
            <w:r>
              <w:rPr>
                <w:sz w:val="20"/>
              </w:rPr>
              <w:t>1</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660" w:type="dxa"/>
            <w:gridSpan w:val="2"/>
          </w:tcPr>
          <w:p w:rsidR="00B40966" w:rsidRDefault="00B40966">
            <w:pPr>
              <w:pStyle w:val="TableText"/>
              <w:jc w:val="center"/>
              <w:rPr>
                <w:sz w:val="20"/>
              </w:rPr>
            </w:pPr>
            <w:r>
              <w:rPr>
                <w:sz w:val="20"/>
              </w:rPr>
              <w:t>6</w:t>
            </w:r>
          </w:p>
        </w:tc>
        <w:tc>
          <w:tcPr>
            <w:tcW w:w="864" w:type="dxa"/>
            <w:gridSpan w:val="3"/>
          </w:tcPr>
          <w:p w:rsidR="00B40966" w:rsidRDefault="00B40966">
            <w:pPr>
              <w:pStyle w:val="TableText"/>
              <w:jc w:val="center"/>
              <w:rPr>
                <w:sz w:val="20"/>
              </w:rPr>
            </w:pPr>
            <w:r>
              <w:rPr>
                <w:sz w:val="20"/>
              </w:rPr>
              <w:t>14</w:t>
            </w:r>
          </w:p>
        </w:tc>
        <w:tc>
          <w:tcPr>
            <w:tcW w:w="588" w:type="dxa"/>
            <w:gridSpan w:val="2"/>
            <w:tcBorders>
              <w:left w:val="single" w:sz="6" w:space="0" w:color="auto"/>
            </w:tcBorders>
          </w:tcPr>
          <w:p w:rsidR="00B40966" w:rsidRDefault="00B40966">
            <w:pPr>
              <w:pStyle w:val="TableText"/>
              <w:jc w:val="center"/>
              <w:rPr>
                <w:sz w:val="20"/>
              </w:rPr>
            </w:pPr>
            <w:r>
              <w:rPr>
                <w:sz w:val="20"/>
              </w:rPr>
              <w:t>13</w:t>
            </w:r>
          </w:p>
        </w:tc>
        <w:tc>
          <w:tcPr>
            <w:tcW w:w="708" w:type="dxa"/>
          </w:tcPr>
          <w:p w:rsidR="00B40966" w:rsidRDefault="00B40966">
            <w:pPr>
              <w:pStyle w:val="TableText"/>
              <w:jc w:val="center"/>
              <w:rPr>
                <w:sz w:val="20"/>
              </w:rPr>
            </w:pPr>
            <w:r>
              <w:rPr>
                <w:sz w:val="20"/>
              </w:rPr>
              <w:t>0</w:t>
            </w:r>
          </w:p>
        </w:tc>
        <w:tc>
          <w:tcPr>
            <w:tcW w:w="764" w:type="dxa"/>
            <w:tcBorders>
              <w:left w:val="single" w:sz="6" w:space="0" w:color="auto"/>
            </w:tcBorders>
          </w:tcPr>
          <w:p w:rsidR="00B40966" w:rsidRDefault="00B40966">
            <w:pPr>
              <w:pStyle w:val="TableText"/>
              <w:jc w:val="center"/>
              <w:rPr>
                <w:sz w:val="20"/>
              </w:rPr>
            </w:pPr>
            <w:r>
              <w:rPr>
                <w:sz w:val="20"/>
              </w:rPr>
              <w:t>11</w:t>
            </w:r>
          </w:p>
        </w:tc>
        <w:tc>
          <w:tcPr>
            <w:tcW w:w="868" w:type="dxa"/>
            <w:gridSpan w:val="2"/>
          </w:tcPr>
          <w:p w:rsidR="00B40966" w:rsidRDefault="00B40966">
            <w:pPr>
              <w:pStyle w:val="TableText"/>
              <w:jc w:val="center"/>
              <w:rPr>
                <w:sz w:val="20"/>
              </w:rPr>
            </w:pPr>
            <w:r>
              <w:rPr>
                <w:sz w:val="20"/>
              </w:rPr>
              <w:t>13</w:t>
            </w:r>
          </w:p>
        </w:tc>
        <w:tc>
          <w:tcPr>
            <w:tcW w:w="732" w:type="dxa"/>
            <w:tcBorders>
              <w:left w:val="single" w:sz="6" w:space="0" w:color="auto"/>
            </w:tcBorders>
          </w:tcPr>
          <w:p w:rsidR="00B40966" w:rsidRDefault="00B40966">
            <w:pPr>
              <w:pStyle w:val="TableText"/>
              <w:jc w:val="center"/>
              <w:rPr>
                <w:sz w:val="20"/>
              </w:rPr>
            </w:pPr>
            <w:r>
              <w:rPr>
                <w:sz w:val="20"/>
              </w:rPr>
              <w:t>9</w:t>
            </w:r>
          </w:p>
        </w:tc>
        <w:tc>
          <w:tcPr>
            <w:tcW w:w="786" w:type="dxa"/>
            <w:gridSpan w:val="2"/>
          </w:tcPr>
          <w:p w:rsidR="00B40966" w:rsidRDefault="00B40966">
            <w:pPr>
              <w:pStyle w:val="TableText"/>
              <w:jc w:val="center"/>
              <w:rPr>
                <w:sz w:val="20"/>
              </w:rPr>
            </w:pPr>
            <w:r>
              <w:rPr>
                <w:sz w:val="20"/>
              </w:rPr>
              <w:t>10</w:t>
            </w:r>
          </w:p>
        </w:tc>
        <w:tc>
          <w:tcPr>
            <w:tcW w:w="760" w:type="dxa"/>
            <w:gridSpan w:val="2"/>
            <w:tcBorders>
              <w:left w:val="single" w:sz="6" w:space="0" w:color="auto"/>
            </w:tcBorders>
          </w:tcPr>
          <w:p w:rsidR="00B40966" w:rsidRDefault="00B40966">
            <w:pPr>
              <w:pStyle w:val="TableText"/>
              <w:jc w:val="center"/>
              <w:rPr>
                <w:sz w:val="20"/>
              </w:rPr>
            </w:pPr>
            <w:r>
              <w:rPr>
                <w:sz w:val="20"/>
              </w:rPr>
              <w:t>6</w:t>
            </w:r>
          </w:p>
        </w:tc>
        <w:tc>
          <w:tcPr>
            <w:tcW w:w="760" w:type="dxa"/>
          </w:tcPr>
          <w:p w:rsidR="00B40966" w:rsidRDefault="00B40966">
            <w:pPr>
              <w:pStyle w:val="TableText"/>
              <w:jc w:val="center"/>
              <w:rPr>
                <w:sz w:val="20"/>
              </w:rPr>
            </w:pPr>
            <w:r>
              <w:rPr>
                <w:sz w:val="20"/>
              </w:rPr>
              <w:t>14</w:t>
            </w:r>
          </w:p>
        </w:tc>
        <w:tc>
          <w:tcPr>
            <w:tcW w:w="800" w:type="dxa"/>
            <w:gridSpan w:val="2"/>
            <w:tcBorders>
              <w:left w:val="single" w:sz="6" w:space="0" w:color="auto"/>
            </w:tcBorders>
          </w:tcPr>
          <w:p w:rsidR="00B40966" w:rsidRDefault="00B40966">
            <w:pPr>
              <w:pStyle w:val="TableText"/>
              <w:jc w:val="center"/>
              <w:rPr>
                <w:sz w:val="20"/>
              </w:rPr>
            </w:pPr>
            <w:r>
              <w:rPr>
                <w:sz w:val="20"/>
              </w:rPr>
              <w:t>3</w:t>
            </w:r>
          </w:p>
        </w:tc>
        <w:tc>
          <w:tcPr>
            <w:tcW w:w="674" w:type="dxa"/>
            <w:gridSpan w:val="2"/>
          </w:tcPr>
          <w:p w:rsidR="00B40966" w:rsidRDefault="00B40966">
            <w:pPr>
              <w:pStyle w:val="TableText"/>
              <w:jc w:val="center"/>
              <w:rPr>
                <w:sz w:val="20"/>
              </w:rPr>
            </w:pPr>
            <w:r>
              <w:rPr>
                <w:sz w:val="20"/>
              </w:rPr>
              <w:t>10</w:t>
            </w:r>
          </w:p>
        </w:tc>
      </w:tr>
      <w:tr w:rsidR="00B40966">
        <w:trPr>
          <w:cantSplit/>
          <w:trHeight w:val="200"/>
        </w:trPr>
        <w:tc>
          <w:tcPr>
            <w:tcW w:w="968" w:type="dxa"/>
          </w:tcPr>
          <w:p w:rsidR="00B40966" w:rsidRDefault="00B40966">
            <w:pPr>
              <w:pStyle w:val="TableText"/>
              <w:jc w:val="center"/>
              <w:rPr>
                <w:sz w:val="20"/>
              </w:rPr>
            </w:pPr>
            <w:r>
              <w:rPr>
                <w:sz w:val="20"/>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660" w:type="dxa"/>
            <w:gridSpan w:val="2"/>
          </w:tcPr>
          <w:p w:rsidR="00B40966" w:rsidRDefault="00B40966">
            <w:pPr>
              <w:pStyle w:val="TableText"/>
              <w:jc w:val="center"/>
              <w:rPr>
                <w:sz w:val="20"/>
              </w:rPr>
            </w:pPr>
            <w:r>
              <w:rPr>
                <w:sz w:val="20"/>
              </w:rPr>
              <w:t>7</w:t>
            </w:r>
          </w:p>
        </w:tc>
        <w:tc>
          <w:tcPr>
            <w:tcW w:w="864" w:type="dxa"/>
            <w:gridSpan w:val="3"/>
          </w:tcPr>
          <w:p w:rsidR="00B40966" w:rsidRDefault="00B40966">
            <w:pPr>
              <w:pStyle w:val="TableText"/>
              <w:jc w:val="center"/>
              <w:rPr>
                <w:sz w:val="20"/>
              </w:rPr>
            </w:pPr>
            <w:r>
              <w:rPr>
                <w:sz w:val="20"/>
              </w:rPr>
              <w:t>12</w:t>
            </w:r>
          </w:p>
        </w:tc>
        <w:tc>
          <w:tcPr>
            <w:tcW w:w="588" w:type="dxa"/>
            <w:gridSpan w:val="2"/>
            <w:tcBorders>
              <w:left w:val="single" w:sz="6" w:space="0" w:color="auto"/>
            </w:tcBorders>
          </w:tcPr>
          <w:p w:rsidR="00B40966" w:rsidRDefault="00B40966">
            <w:pPr>
              <w:pStyle w:val="TableText"/>
              <w:jc w:val="center"/>
              <w:rPr>
                <w:sz w:val="20"/>
              </w:rPr>
            </w:pPr>
            <w:r>
              <w:rPr>
                <w:sz w:val="20"/>
              </w:rPr>
              <w:t>14</w:t>
            </w:r>
          </w:p>
        </w:tc>
        <w:tc>
          <w:tcPr>
            <w:tcW w:w="708" w:type="dxa"/>
          </w:tcPr>
          <w:p w:rsidR="00B40966" w:rsidRDefault="00B40966">
            <w:pPr>
              <w:pStyle w:val="TableText"/>
              <w:jc w:val="center"/>
              <w:rPr>
                <w:sz w:val="20"/>
              </w:rPr>
            </w:pPr>
            <w:r>
              <w:rPr>
                <w:sz w:val="20"/>
              </w:rPr>
              <w:t>13</w:t>
            </w:r>
          </w:p>
        </w:tc>
        <w:tc>
          <w:tcPr>
            <w:tcW w:w="764" w:type="dxa"/>
            <w:tcBorders>
              <w:left w:val="single" w:sz="6" w:space="0" w:color="auto"/>
            </w:tcBorders>
          </w:tcPr>
          <w:p w:rsidR="00B40966" w:rsidRDefault="00B40966">
            <w:pPr>
              <w:pStyle w:val="TableText"/>
              <w:jc w:val="center"/>
              <w:rPr>
                <w:sz w:val="20"/>
              </w:rPr>
            </w:pPr>
            <w:r>
              <w:rPr>
                <w:sz w:val="20"/>
              </w:rPr>
              <w:t>13</w:t>
            </w:r>
          </w:p>
        </w:tc>
        <w:tc>
          <w:tcPr>
            <w:tcW w:w="868" w:type="dxa"/>
            <w:gridSpan w:val="2"/>
          </w:tcPr>
          <w:p w:rsidR="00B40966" w:rsidRDefault="00B40966">
            <w:pPr>
              <w:pStyle w:val="TableText"/>
              <w:jc w:val="center"/>
              <w:rPr>
                <w:sz w:val="20"/>
              </w:rPr>
            </w:pPr>
            <w:r>
              <w:rPr>
                <w:sz w:val="20"/>
              </w:rPr>
              <w:t>3</w:t>
            </w:r>
          </w:p>
        </w:tc>
        <w:tc>
          <w:tcPr>
            <w:tcW w:w="732" w:type="dxa"/>
            <w:tcBorders>
              <w:left w:val="single" w:sz="6" w:space="0" w:color="auto"/>
            </w:tcBorders>
          </w:tcPr>
          <w:p w:rsidR="00B40966" w:rsidRDefault="00B40966">
            <w:pPr>
              <w:pStyle w:val="TableText"/>
              <w:jc w:val="center"/>
              <w:rPr>
                <w:sz w:val="20"/>
              </w:rPr>
            </w:pPr>
            <w:r>
              <w:rPr>
                <w:sz w:val="20"/>
              </w:rPr>
              <w:t>10</w:t>
            </w:r>
          </w:p>
        </w:tc>
        <w:tc>
          <w:tcPr>
            <w:tcW w:w="786" w:type="dxa"/>
            <w:gridSpan w:val="2"/>
          </w:tcPr>
          <w:p w:rsidR="00B40966" w:rsidRDefault="00B40966">
            <w:pPr>
              <w:pStyle w:val="TableText"/>
              <w:jc w:val="center"/>
              <w:rPr>
                <w:sz w:val="20"/>
              </w:rPr>
            </w:pPr>
            <w:r>
              <w:rPr>
                <w:sz w:val="20"/>
              </w:rPr>
              <w:t>15</w:t>
            </w:r>
          </w:p>
        </w:tc>
        <w:tc>
          <w:tcPr>
            <w:tcW w:w="760" w:type="dxa"/>
            <w:gridSpan w:val="2"/>
            <w:tcBorders>
              <w:left w:val="single" w:sz="6" w:space="0" w:color="auto"/>
            </w:tcBorders>
          </w:tcPr>
          <w:p w:rsidR="00B40966" w:rsidRDefault="00B40966">
            <w:pPr>
              <w:pStyle w:val="TableText"/>
              <w:jc w:val="center"/>
              <w:rPr>
                <w:sz w:val="20"/>
              </w:rPr>
            </w:pPr>
            <w:r>
              <w:rPr>
                <w:sz w:val="20"/>
              </w:rPr>
              <w:t>7</w:t>
            </w:r>
          </w:p>
        </w:tc>
        <w:tc>
          <w:tcPr>
            <w:tcW w:w="760" w:type="dxa"/>
          </w:tcPr>
          <w:p w:rsidR="00B40966" w:rsidRDefault="00B40966">
            <w:pPr>
              <w:pStyle w:val="TableText"/>
              <w:jc w:val="center"/>
              <w:rPr>
                <w:sz w:val="20"/>
              </w:rPr>
            </w:pPr>
            <w:r>
              <w:rPr>
                <w:sz w:val="20"/>
              </w:rPr>
              <w:t>12</w:t>
            </w:r>
          </w:p>
        </w:tc>
        <w:tc>
          <w:tcPr>
            <w:tcW w:w="800" w:type="dxa"/>
            <w:gridSpan w:val="2"/>
            <w:tcBorders>
              <w:left w:val="single" w:sz="6" w:space="0" w:color="auto"/>
            </w:tcBorders>
          </w:tcPr>
          <w:p w:rsidR="00B40966" w:rsidRDefault="00B40966">
            <w:pPr>
              <w:pStyle w:val="TableText"/>
              <w:jc w:val="center"/>
              <w:rPr>
                <w:sz w:val="20"/>
              </w:rPr>
            </w:pPr>
            <w:r>
              <w:rPr>
                <w:sz w:val="20"/>
              </w:rPr>
              <w:t>3</w:t>
            </w:r>
          </w:p>
        </w:tc>
        <w:tc>
          <w:tcPr>
            <w:tcW w:w="674" w:type="dxa"/>
            <w:gridSpan w:val="2"/>
          </w:tcPr>
          <w:p w:rsidR="00B40966" w:rsidRDefault="00B40966">
            <w:pPr>
              <w:pStyle w:val="TableText"/>
              <w:jc w:val="center"/>
              <w:rPr>
                <w:sz w:val="20"/>
              </w:rPr>
            </w:pPr>
            <w:r>
              <w:rPr>
                <w:sz w:val="20"/>
              </w:rPr>
              <w:t>18</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660" w:type="dxa"/>
            <w:gridSpan w:val="2"/>
          </w:tcPr>
          <w:p w:rsidR="00B40966" w:rsidRDefault="00B40966">
            <w:pPr>
              <w:pStyle w:val="TableText"/>
              <w:jc w:val="center"/>
              <w:rPr>
                <w:sz w:val="20"/>
              </w:rPr>
            </w:pPr>
            <w:r>
              <w:rPr>
                <w:sz w:val="20"/>
              </w:rPr>
              <w:t>8</w:t>
            </w:r>
          </w:p>
        </w:tc>
        <w:tc>
          <w:tcPr>
            <w:tcW w:w="864" w:type="dxa"/>
            <w:gridSpan w:val="3"/>
          </w:tcPr>
          <w:p w:rsidR="00B40966" w:rsidRDefault="00B40966">
            <w:pPr>
              <w:pStyle w:val="TableText"/>
              <w:jc w:val="center"/>
              <w:rPr>
                <w:sz w:val="20"/>
              </w:rPr>
            </w:pPr>
            <w:r>
              <w:rPr>
                <w:sz w:val="20"/>
              </w:rPr>
              <w:t>10</w:t>
            </w:r>
          </w:p>
        </w:tc>
        <w:tc>
          <w:tcPr>
            <w:tcW w:w="588" w:type="dxa"/>
            <w:gridSpan w:val="2"/>
            <w:tcBorders>
              <w:left w:val="single" w:sz="6" w:space="0" w:color="auto"/>
            </w:tcBorders>
          </w:tcPr>
          <w:p w:rsidR="00B40966" w:rsidRDefault="00B40966">
            <w:pPr>
              <w:pStyle w:val="TableText"/>
              <w:jc w:val="center"/>
              <w:rPr>
                <w:sz w:val="20"/>
              </w:rPr>
            </w:pPr>
            <w:r>
              <w:rPr>
                <w:sz w:val="20"/>
              </w:rPr>
              <w:t>16</w:t>
            </w:r>
          </w:p>
        </w:tc>
        <w:tc>
          <w:tcPr>
            <w:tcW w:w="708" w:type="dxa"/>
          </w:tcPr>
          <w:p w:rsidR="00B40966" w:rsidRDefault="00B40966">
            <w:pPr>
              <w:pStyle w:val="TableText"/>
              <w:jc w:val="center"/>
              <w:rPr>
                <w:sz w:val="20"/>
              </w:rPr>
            </w:pPr>
            <w:r>
              <w:rPr>
                <w:sz w:val="20"/>
              </w:rPr>
              <w:t>9</w:t>
            </w:r>
          </w:p>
        </w:tc>
        <w:tc>
          <w:tcPr>
            <w:tcW w:w="764" w:type="dxa"/>
            <w:tcBorders>
              <w:left w:val="single" w:sz="6" w:space="0" w:color="auto"/>
            </w:tcBorders>
          </w:tcPr>
          <w:p w:rsidR="00B40966" w:rsidRDefault="00B40966">
            <w:pPr>
              <w:pStyle w:val="TableText"/>
              <w:jc w:val="center"/>
              <w:rPr>
                <w:sz w:val="20"/>
              </w:rPr>
            </w:pPr>
            <w:r>
              <w:rPr>
                <w:sz w:val="20"/>
              </w:rPr>
              <w:t>14</w:t>
            </w:r>
          </w:p>
        </w:tc>
        <w:tc>
          <w:tcPr>
            <w:tcW w:w="868" w:type="dxa"/>
            <w:gridSpan w:val="2"/>
          </w:tcPr>
          <w:p w:rsidR="00B40966" w:rsidRDefault="00B40966">
            <w:pPr>
              <w:pStyle w:val="TableText"/>
              <w:jc w:val="center"/>
              <w:rPr>
                <w:sz w:val="20"/>
              </w:rPr>
            </w:pPr>
            <w:r>
              <w:rPr>
                <w:sz w:val="20"/>
              </w:rPr>
              <w:t>15</w:t>
            </w:r>
          </w:p>
        </w:tc>
        <w:tc>
          <w:tcPr>
            <w:tcW w:w="732" w:type="dxa"/>
            <w:tcBorders>
              <w:left w:val="single" w:sz="6" w:space="0" w:color="auto"/>
            </w:tcBorders>
          </w:tcPr>
          <w:p w:rsidR="00B40966" w:rsidRDefault="00B40966">
            <w:pPr>
              <w:pStyle w:val="TableText"/>
              <w:jc w:val="center"/>
              <w:rPr>
                <w:sz w:val="20"/>
              </w:rPr>
            </w:pPr>
            <w:r>
              <w:rPr>
                <w:sz w:val="20"/>
              </w:rPr>
              <w:t>12</w:t>
            </w:r>
          </w:p>
        </w:tc>
        <w:tc>
          <w:tcPr>
            <w:tcW w:w="786" w:type="dxa"/>
            <w:gridSpan w:val="2"/>
          </w:tcPr>
          <w:p w:rsidR="00B40966" w:rsidRDefault="00B40966">
            <w:pPr>
              <w:pStyle w:val="TableText"/>
              <w:jc w:val="center"/>
              <w:rPr>
                <w:sz w:val="20"/>
              </w:rPr>
            </w:pPr>
            <w:r>
              <w:rPr>
                <w:sz w:val="20"/>
              </w:rPr>
              <w:t>1</w:t>
            </w:r>
          </w:p>
        </w:tc>
        <w:tc>
          <w:tcPr>
            <w:tcW w:w="760" w:type="dxa"/>
            <w:gridSpan w:val="2"/>
            <w:tcBorders>
              <w:left w:val="single" w:sz="6" w:space="0" w:color="auto"/>
            </w:tcBorders>
          </w:tcPr>
          <w:p w:rsidR="00B40966" w:rsidRDefault="00B40966">
            <w:pPr>
              <w:pStyle w:val="TableText"/>
              <w:jc w:val="center"/>
              <w:rPr>
                <w:sz w:val="20"/>
              </w:rPr>
            </w:pPr>
            <w:r>
              <w:rPr>
                <w:sz w:val="20"/>
              </w:rPr>
              <w:t>8</w:t>
            </w:r>
          </w:p>
        </w:tc>
        <w:tc>
          <w:tcPr>
            <w:tcW w:w="760" w:type="dxa"/>
          </w:tcPr>
          <w:p w:rsidR="00B40966" w:rsidRDefault="00B40966">
            <w:pPr>
              <w:pStyle w:val="TableText"/>
              <w:jc w:val="center"/>
              <w:rPr>
                <w:sz w:val="20"/>
              </w:rPr>
            </w:pPr>
            <w:r>
              <w:rPr>
                <w:sz w:val="20"/>
              </w:rPr>
              <w:t>10</w:t>
            </w:r>
          </w:p>
        </w:tc>
        <w:tc>
          <w:tcPr>
            <w:tcW w:w="800" w:type="dxa"/>
            <w:gridSpan w:val="2"/>
            <w:tcBorders>
              <w:left w:val="single" w:sz="6" w:space="0" w:color="auto"/>
            </w:tcBorders>
          </w:tcPr>
          <w:p w:rsidR="00B40966" w:rsidRDefault="00B40966">
            <w:pPr>
              <w:pStyle w:val="TableText"/>
              <w:jc w:val="center"/>
              <w:rPr>
                <w:sz w:val="20"/>
              </w:rPr>
            </w:pPr>
            <w:r>
              <w:rPr>
                <w:sz w:val="20"/>
              </w:rPr>
              <w:t>4</w:t>
            </w:r>
          </w:p>
        </w:tc>
        <w:tc>
          <w:tcPr>
            <w:tcW w:w="674" w:type="dxa"/>
            <w:gridSpan w:val="2"/>
          </w:tcPr>
          <w:p w:rsidR="00B40966" w:rsidRDefault="00B40966">
            <w:pPr>
              <w:pStyle w:val="TableText"/>
              <w:jc w:val="center"/>
              <w:rPr>
                <w:sz w:val="20"/>
              </w:rPr>
            </w:pPr>
            <w:r>
              <w:rPr>
                <w:sz w:val="20"/>
              </w:rPr>
              <w:t>8</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660" w:type="dxa"/>
            <w:gridSpan w:val="2"/>
          </w:tcPr>
          <w:p w:rsidR="00B40966" w:rsidRDefault="00B40966">
            <w:pPr>
              <w:pStyle w:val="TableText"/>
              <w:jc w:val="center"/>
              <w:rPr>
                <w:sz w:val="20"/>
              </w:rPr>
            </w:pPr>
            <w:r>
              <w:rPr>
                <w:sz w:val="20"/>
              </w:rPr>
              <w:t>9</w:t>
            </w:r>
          </w:p>
        </w:tc>
        <w:tc>
          <w:tcPr>
            <w:tcW w:w="864" w:type="dxa"/>
            <w:gridSpan w:val="3"/>
          </w:tcPr>
          <w:p w:rsidR="00B40966" w:rsidRDefault="00B40966">
            <w:pPr>
              <w:pStyle w:val="TableText"/>
              <w:jc w:val="center"/>
              <w:rPr>
                <w:sz w:val="20"/>
              </w:rPr>
            </w:pPr>
            <w:r>
              <w:rPr>
                <w:sz w:val="20"/>
              </w:rPr>
              <w:t>13</w:t>
            </w:r>
          </w:p>
        </w:tc>
        <w:tc>
          <w:tcPr>
            <w:tcW w:w="588" w:type="dxa"/>
            <w:gridSpan w:val="2"/>
            <w:tcBorders>
              <w:left w:val="single" w:sz="6" w:space="0" w:color="auto"/>
            </w:tcBorders>
          </w:tcPr>
          <w:p w:rsidR="00B40966" w:rsidRDefault="00B40966">
            <w:pPr>
              <w:pStyle w:val="TableText"/>
              <w:jc w:val="center"/>
              <w:rPr>
                <w:sz w:val="20"/>
              </w:rPr>
            </w:pPr>
            <w:r>
              <w:rPr>
                <w:sz w:val="20"/>
              </w:rPr>
              <w:t>18</w:t>
            </w:r>
          </w:p>
        </w:tc>
        <w:tc>
          <w:tcPr>
            <w:tcW w:w="708" w:type="dxa"/>
          </w:tcPr>
          <w:p w:rsidR="00B40966" w:rsidRDefault="00B40966">
            <w:pPr>
              <w:pStyle w:val="TableText"/>
              <w:jc w:val="center"/>
              <w:rPr>
                <w:sz w:val="20"/>
              </w:rPr>
            </w:pPr>
            <w:r>
              <w:rPr>
                <w:sz w:val="20"/>
              </w:rPr>
              <w:t>14</w:t>
            </w:r>
          </w:p>
        </w:tc>
        <w:tc>
          <w:tcPr>
            <w:tcW w:w="764" w:type="dxa"/>
            <w:tcBorders>
              <w:left w:val="single" w:sz="6" w:space="0" w:color="auto"/>
            </w:tcBorders>
          </w:tcPr>
          <w:p w:rsidR="00B40966" w:rsidRDefault="00B40966">
            <w:pPr>
              <w:pStyle w:val="TableText"/>
              <w:jc w:val="center"/>
              <w:rPr>
                <w:sz w:val="20"/>
              </w:rPr>
            </w:pPr>
            <w:r>
              <w:rPr>
                <w:sz w:val="20"/>
              </w:rPr>
              <w:t>16</w:t>
            </w:r>
          </w:p>
        </w:tc>
        <w:tc>
          <w:tcPr>
            <w:tcW w:w="868" w:type="dxa"/>
            <w:gridSpan w:val="2"/>
          </w:tcPr>
          <w:p w:rsidR="00B40966" w:rsidRDefault="00B40966">
            <w:pPr>
              <w:pStyle w:val="TableText"/>
              <w:jc w:val="center"/>
              <w:rPr>
                <w:sz w:val="20"/>
              </w:rPr>
            </w:pPr>
            <w:r>
              <w:rPr>
                <w:sz w:val="20"/>
              </w:rPr>
              <w:t>15</w:t>
            </w:r>
          </w:p>
        </w:tc>
        <w:tc>
          <w:tcPr>
            <w:tcW w:w="732" w:type="dxa"/>
            <w:tcBorders>
              <w:left w:val="single" w:sz="6" w:space="0" w:color="auto"/>
            </w:tcBorders>
          </w:tcPr>
          <w:p w:rsidR="00B40966" w:rsidRDefault="00B40966">
            <w:pPr>
              <w:pStyle w:val="TableText"/>
              <w:jc w:val="center"/>
              <w:rPr>
                <w:sz w:val="20"/>
              </w:rPr>
            </w:pPr>
            <w:r>
              <w:rPr>
                <w:sz w:val="20"/>
              </w:rPr>
              <w:t>13</w:t>
            </w:r>
          </w:p>
        </w:tc>
        <w:tc>
          <w:tcPr>
            <w:tcW w:w="786" w:type="dxa"/>
            <w:gridSpan w:val="2"/>
          </w:tcPr>
          <w:p w:rsidR="00B40966" w:rsidRDefault="00B40966">
            <w:pPr>
              <w:pStyle w:val="TableText"/>
              <w:jc w:val="center"/>
              <w:rPr>
                <w:sz w:val="20"/>
              </w:rPr>
            </w:pPr>
            <w:r>
              <w:rPr>
                <w:sz w:val="20"/>
              </w:rPr>
              <w:t>14</w:t>
            </w:r>
          </w:p>
        </w:tc>
        <w:tc>
          <w:tcPr>
            <w:tcW w:w="760" w:type="dxa"/>
            <w:gridSpan w:val="2"/>
            <w:tcBorders>
              <w:left w:val="single" w:sz="6" w:space="0" w:color="auto"/>
            </w:tcBorders>
          </w:tcPr>
          <w:p w:rsidR="00B40966" w:rsidRDefault="00B40966">
            <w:pPr>
              <w:pStyle w:val="TableText"/>
              <w:jc w:val="center"/>
              <w:rPr>
                <w:sz w:val="20"/>
              </w:rPr>
            </w:pPr>
            <w:r>
              <w:rPr>
                <w:sz w:val="20"/>
              </w:rPr>
              <w:t>9</w:t>
            </w:r>
          </w:p>
        </w:tc>
        <w:tc>
          <w:tcPr>
            <w:tcW w:w="760" w:type="dxa"/>
          </w:tcPr>
          <w:p w:rsidR="00B40966" w:rsidRDefault="00B40966">
            <w:pPr>
              <w:pStyle w:val="TableText"/>
              <w:jc w:val="center"/>
              <w:rPr>
                <w:sz w:val="20"/>
              </w:rPr>
            </w:pPr>
            <w:r>
              <w:rPr>
                <w:sz w:val="20"/>
              </w:rPr>
              <w:t>13</w:t>
            </w:r>
          </w:p>
        </w:tc>
        <w:tc>
          <w:tcPr>
            <w:tcW w:w="800" w:type="dxa"/>
            <w:gridSpan w:val="2"/>
            <w:tcBorders>
              <w:left w:val="single" w:sz="6" w:space="0" w:color="auto"/>
            </w:tcBorders>
          </w:tcPr>
          <w:p w:rsidR="00B40966" w:rsidRDefault="00B40966">
            <w:pPr>
              <w:pStyle w:val="TableText"/>
              <w:jc w:val="center"/>
              <w:rPr>
                <w:sz w:val="20"/>
              </w:rPr>
            </w:pPr>
            <w:r>
              <w:rPr>
                <w:sz w:val="20"/>
              </w:rPr>
              <w:t>5</w:t>
            </w:r>
          </w:p>
        </w:tc>
        <w:tc>
          <w:tcPr>
            <w:tcW w:w="674" w:type="dxa"/>
            <w:gridSpan w:val="2"/>
          </w:tcPr>
          <w:p w:rsidR="00B40966" w:rsidRDefault="00B40966">
            <w:pPr>
              <w:pStyle w:val="TableText"/>
              <w:jc w:val="center"/>
              <w:rPr>
                <w:sz w:val="20"/>
              </w:rPr>
            </w:pPr>
            <w:r>
              <w:rPr>
                <w:sz w:val="20"/>
              </w:rPr>
              <w:t>0</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660" w:type="dxa"/>
            <w:gridSpan w:val="2"/>
          </w:tcPr>
          <w:p w:rsidR="00B40966" w:rsidRDefault="00B40966">
            <w:pPr>
              <w:pStyle w:val="TableText"/>
              <w:jc w:val="center"/>
              <w:rPr>
                <w:sz w:val="20"/>
              </w:rPr>
            </w:pPr>
            <w:r>
              <w:rPr>
                <w:sz w:val="20"/>
              </w:rPr>
              <w:t>10</w:t>
            </w:r>
          </w:p>
        </w:tc>
        <w:tc>
          <w:tcPr>
            <w:tcW w:w="864" w:type="dxa"/>
            <w:gridSpan w:val="3"/>
          </w:tcPr>
          <w:p w:rsidR="00B40966" w:rsidRDefault="00B40966">
            <w:pPr>
              <w:pStyle w:val="TableText"/>
              <w:jc w:val="center"/>
              <w:rPr>
                <w:sz w:val="20"/>
              </w:rPr>
            </w:pPr>
            <w:r>
              <w:rPr>
                <w:sz w:val="20"/>
              </w:rPr>
              <w:t>14</w:t>
            </w:r>
          </w:p>
        </w:tc>
        <w:tc>
          <w:tcPr>
            <w:tcW w:w="588" w:type="dxa"/>
            <w:gridSpan w:val="2"/>
            <w:tcBorders>
              <w:left w:val="single" w:sz="6" w:space="0" w:color="auto"/>
            </w:tcBorders>
          </w:tcPr>
          <w:p w:rsidR="00B40966" w:rsidRDefault="00B40966">
            <w:pPr>
              <w:pStyle w:val="TableText"/>
              <w:jc w:val="center"/>
              <w:rPr>
                <w:sz w:val="20"/>
              </w:rPr>
            </w:pPr>
            <w:r>
              <w:rPr>
                <w:sz w:val="20"/>
              </w:rPr>
              <w:t>20</w:t>
            </w:r>
          </w:p>
        </w:tc>
        <w:tc>
          <w:tcPr>
            <w:tcW w:w="708" w:type="dxa"/>
          </w:tcPr>
          <w:p w:rsidR="00B40966" w:rsidRDefault="00B40966">
            <w:pPr>
              <w:pStyle w:val="TableText"/>
              <w:jc w:val="center"/>
              <w:rPr>
                <w:sz w:val="20"/>
              </w:rPr>
            </w:pPr>
            <w:r>
              <w:rPr>
                <w:sz w:val="20"/>
              </w:rPr>
              <w:t>14</w:t>
            </w:r>
          </w:p>
        </w:tc>
        <w:tc>
          <w:tcPr>
            <w:tcW w:w="764" w:type="dxa"/>
            <w:tcBorders>
              <w:left w:val="single" w:sz="6" w:space="0" w:color="auto"/>
            </w:tcBorders>
          </w:tcPr>
          <w:p w:rsidR="00B40966" w:rsidRDefault="00B40966">
            <w:pPr>
              <w:pStyle w:val="TableText"/>
              <w:jc w:val="center"/>
              <w:rPr>
                <w:sz w:val="20"/>
              </w:rPr>
            </w:pPr>
            <w:r>
              <w:rPr>
                <w:sz w:val="20"/>
              </w:rPr>
              <w:t>18</w:t>
            </w:r>
          </w:p>
        </w:tc>
        <w:tc>
          <w:tcPr>
            <w:tcW w:w="868" w:type="dxa"/>
            <w:gridSpan w:val="2"/>
          </w:tcPr>
          <w:p w:rsidR="00B40966" w:rsidRDefault="00B40966">
            <w:pPr>
              <w:pStyle w:val="TableText"/>
              <w:jc w:val="center"/>
              <w:rPr>
                <w:sz w:val="20"/>
              </w:rPr>
            </w:pPr>
            <w:r>
              <w:rPr>
                <w:sz w:val="20"/>
              </w:rPr>
              <w:t>11</w:t>
            </w:r>
          </w:p>
        </w:tc>
        <w:tc>
          <w:tcPr>
            <w:tcW w:w="732" w:type="dxa"/>
            <w:tcBorders>
              <w:left w:val="single" w:sz="6" w:space="0" w:color="auto"/>
            </w:tcBorders>
          </w:tcPr>
          <w:p w:rsidR="00B40966" w:rsidRDefault="00B40966">
            <w:pPr>
              <w:pStyle w:val="TableText"/>
              <w:jc w:val="center"/>
              <w:rPr>
                <w:sz w:val="20"/>
              </w:rPr>
            </w:pPr>
            <w:r>
              <w:rPr>
                <w:sz w:val="20"/>
              </w:rPr>
              <w:t>15</w:t>
            </w:r>
          </w:p>
        </w:tc>
        <w:tc>
          <w:tcPr>
            <w:tcW w:w="786" w:type="dxa"/>
            <w:gridSpan w:val="2"/>
          </w:tcPr>
          <w:p w:rsidR="00B40966" w:rsidRDefault="00B40966">
            <w:pPr>
              <w:pStyle w:val="TableText"/>
              <w:jc w:val="center"/>
              <w:rPr>
                <w:sz w:val="20"/>
              </w:rPr>
            </w:pPr>
            <w:r>
              <w:rPr>
                <w:sz w:val="20"/>
              </w:rPr>
              <w:t>3</w:t>
            </w:r>
          </w:p>
        </w:tc>
        <w:tc>
          <w:tcPr>
            <w:tcW w:w="760" w:type="dxa"/>
            <w:gridSpan w:val="2"/>
            <w:tcBorders>
              <w:left w:val="single" w:sz="6" w:space="0" w:color="auto"/>
            </w:tcBorders>
          </w:tcPr>
          <w:p w:rsidR="00B40966" w:rsidRDefault="00B40966">
            <w:pPr>
              <w:pStyle w:val="TableText"/>
              <w:jc w:val="center"/>
              <w:rPr>
                <w:sz w:val="20"/>
              </w:rPr>
            </w:pPr>
            <w:r>
              <w:rPr>
                <w:sz w:val="20"/>
              </w:rPr>
              <w:t>10</w:t>
            </w:r>
          </w:p>
        </w:tc>
        <w:tc>
          <w:tcPr>
            <w:tcW w:w="760" w:type="dxa"/>
          </w:tcPr>
          <w:p w:rsidR="00B40966" w:rsidRDefault="00B40966">
            <w:pPr>
              <w:pStyle w:val="TableText"/>
              <w:jc w:val="center"/>
              <w:rPr>
                <w:sz w:val="20"/>
              </w:rPr>
            </w:pPr>
            <w:r>
              <w:rPr>
                <w:sz w:val="20"/>
              </w:rPr>
              <w:t>14</w:t>
            </w:r>
          </w:p>
        </w:tc>
        <w:tc>
          <w:tcPr>
            <w:tcW w:w="800" w:type="dxa"/>
            <w:gridSpan w:val="2"/>
            <w:tcBorders>
              <w:left w:val="single" w:sz="6" w:space="0" w:color="auto"/>
            </w:tcBorders>
          </w:tcPr>
          <w:p w:rsidR="00B40966" w:rsidRDefault="00B40966">
            <w:pPr>
              <w:pStyle w:val="TableText"/>
              <w:jc w:val="center"/>
              <w:rPr>
                <w:sz w:val="20"/>
              </w:rPr>
            </w:pPr>
            <w:r>
              <w:rPr>
                <w:sz w:val="20"/>
              </w:rPr>
              <w:t>5</w:t>
            </w:r>
          </w:p>
        </w:tc>
        <w:tc>
          <w:tcPr>
            <w:tcW w:w="674" w:type="dxa"/>
            <w:gridSpan w:val="2"/>
          </w:tcPr>
          <w:p w:rsidR="00B40966" w:rsidRDefault="00B40966">
            <w:pPr>
              <w:pStyle w:val="TableText"/>
              <w:jc w:val="center"/>
              <w:rPr>
                <w:sz w:val="20"/>
              </w:rPr>
            </w:pPr>
            <w:r>
              <w:rPr>
                <w:sz w:val="20"/>
              </w:rPr>
              <w:t>11</w:t>
            </w:r>
          </w:p>
        </w:tc>
      </w:tr>
      <w:tr w:rsidR="00B40966">
        <w:trPr>
          <w:cantSplit/>
          <w:trHeight w:val="200"/>
        </w:trPr>
        <w:tc>
          <w:tcPr>
            <w:tcW w:w="968" w:type="dxa"/>
          </w:tcPr>
          <w:p w:rsidR="00B40966" w:rsidRDefault="00B40966">
            <w:pPr>
              <w:pStyle w:val="TableText"/>
              <w:jc w:val="center"/>
              <w:rPr>
                <w:sz w:val="20"/>
              </w:rPr>
            </w:pPr>
            <w:r>
              <w:rPr>
                <w:sz w:val="20"/>
              </w:rPr>
              <w:t>5</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660" w:type="dxa"/>
            <w:gridSpan w:val="2"/>
          </w:tcPr>
          <w:p w:rsidR="00B40966" w:rsidRDefault="00B40966">
            <w:pPr>
              <w:pStyle w:val="TableText"/>
              <w:jc w:val="center"/>
              <w:rPr>
                <w:sz w:val="20"/>
              </w:rPr>
            </w:pPr>
            <w:r>
              <w:rPr>
                <w:sz w:val="20"/>
              </w:rPr>
              <w:t>11</w:t>
            </w:r>
          </w:p>
        </w:tc>
        <w:tc>
          <w:tcPr>
            <w:tcW w:w="864" w:type="dxa"/>
            <w:gridSpan w:val="3"/>
          </w:tcPr>
          <w:p w:rsidR="00B40966" w:rsidRDefault="00B40966">
            <w:pPr>
              <w:pStyle w:val="TableText"/>
              <w:jc w:val="center"/>
              <w:rPr>
                <w:sz w:val="20"/>
              </w:rPr>
            </w:pPr>
            <w:r>
              <w:rPr>
                <w:sz w:val="20"/>
              </w:rPr>
              <w:t>16</w:t>
            </w:r>
          </w:p>
        </w:tc>
        <w:tc>
          <w:tcPr>
            <w:tcW w:w="588" w:type="dxa"/>
            <w:gridSpan w:val="2"/>
            <w:tcBorders>
              <w:left w:val="single" w:sz="6" w:space="0" w:color="auto"/>
            </w:tcBorders>
          </w:tcPr>
          <w:p w:rsidR="00B40966" w:rsidRDefault="00B40966">
            <w:pPr>
              <w:pStyle w:val="TableText"/>
              <w:jc w:val="center"/>
              <w:rPr>
                <w:sz w:val="20"/>
              </w:rPr>
            </w:pPr>
            <w:r>
              <w:rPr>
                <w:sz w:val="20"/>
              </w:rPr>
              <w:t>22</w:t>
            </w:r>
          </w:p>
        </w:tc>
        <w:tc>
          <w:tcPr>
            <w:tcW w:w="708" w:type="dxa"/>
          </w:tcPr>
          <w:p w:rsidR="00B40966" w:rsidRDefault="00B40966">
            <w:pPr>
              <w:pStyle w:val="TableText"/>
              <w:jc w:val="center"/>
              <w:rPr>
                <w:sz w:val="20"/>
              </w:rPr>
            </w:pPr>
            <w:r>
              <w:rPr>
                <w:sz w:val="20"/>
              </w:rPr>
              <w:t>16</w:t>
            </w:r>
          </w:p>
        </w:tc>
        <w:tc>
          <w:tcPr>
            <w:tcW w:w="764" w:type="dxa"/>
            <w:tcBorders>
              <w:left w:val="single" w:sz="6" w:space="0" w:color="auto"/>
            </w:tcBorders>
          </w:tcPr>
          <w:p w:rsidR="00B40966" w:rsidRDefault="00B40966">
            <w:pPr>
              <w:pStyle w:val="TableText"/>
              <w:jc w:val="center"/>
              <w:rPr>
                <w:sz w:val="20"/>
              </w:rPr>
            </w:pPr>
            <w:r>
              <w:rPr>
                <w:sz w:val="20"/>
              </w:rPr>
              <w:t>20</w:t>
            </w:r>
          </w:p>
        </w:tc>
        <w:tc>
          <w:tcPr>
            <w:tcW w:w="868" w:type="dxa"/>
            <w:gridSpan w:val="2"/>
          </w:tcPr>
          <w:p w:rsidR="00B40966" w:rsidRDefault="00B40966">
            <w:pPr>
              <w:pStyle w:val="TableText"/>
              <w:jc w:val="center"/>
              <w:rPr>
                <w:sz w:val="20"/>
              </w:rPr>
            </w:pPr>
            <w:r>
              <w:rPr>
                <w:sz w:val="20"/>
              </w:rPr>
              <w:t>9</w:t>
            </w:r>
          </w:p>
        </w:tc>
        <w:tc>
          <w:tcPr>
            <w:tcW w:w="732" w:type="dxa"/>
            <w:tcBorders>
              <w:left w:val="single" w:sz="6" w:space="0" w:color="auto"/>
            </w:tcBorders>
          </w:tcPr>
          <w:p w:rsidR="00B40966" w:rsidRDefault="00B40966">
            <w:pPr>
              <w:pStyle w:val="TableText"/>
              <w:jc w:val="center"/>
              <w:rPr>
                <w:sz w:val="20"/>
              </w:rPr>
            </w:pPr>
            <w:r>
              <w:rPr>
                <w:sz w:val="20"/>
              </w:rPr>
              <w:t>16</w:t>
            </w:r>
          </w:p>
        </w:tc>
        <w:tc>
          <w:tcPr>
            <w:tcW w:w="786" w:type="dxa"/>
            <w:gridSpan w:val="2"/>
          </w:tcPr>
          <w:p w:rsidR="00B40966" w:rsidRDefault="00B40966">
            <w:pPr>
              <w:pStyle w:val="TableText"/>
              <w:jc w:val="center"/>
              <w:rPr>
                <w:sz w:val="20"/>
              </w:rPr>
            </w:pPr>
            <w:r>
              <w:rPr>
                <w:sz w:val="20"/>
              </w:rPr>
              <w:t>14</w:t>
            </w:r>
          </w:p>
        </w:tc>
        <w:tc>
          <w:tcPr>
            <w:tcW w:w="760" w:type="dxa"/>
            <w:gridSpan w:val="2"/>
            <w:tcBorders>
              <w:left w:val="single" w:sz="6" w:space="0" w:color="auto"/>
            </w:tcBorders>
          </w:tcPr>
          <w:p w:rsidR="00B40966" w:rsidRDefault="00B40966">
            <w:pPr>
              <w:pStyle w:val="TableText"/>
              <w:jc w:val="center"/>
              <w:rPr>
                <w:sz w:val="20"/>
              </w:rPr>
            </w:pPr>
            <w:r>
              <w:rPr>
                <w:sz w:val="20"/>
              </w:rPr>
              <w:t>11</w:t>
            </w:r>
          </w:p>
        </w:tc>
        <w:tc>
          <w:tcPr>
            <w:tcW w:w="760" w:type="dxa"/>
          </w:tcPr>
          <w:p w:rsidR="00B40966" w:rsidRDefault="00B40966">
            <w:pPr>
              <w:pStyle w:val="TableText"/>
              <w:jc w:val="center"/>
              <w:rPr>
                <w:sz w:val="20"/>
              </w:rPr>
            </w:pPr>
            <w:r>
              <w:rPr>
                <w:sz w:val="20"/>
              </w:rPr>
              <w:t>16</w:t>
            </w:r>
          </w:p>
        </w:tc>
        <w:tc>
          <w:tcPr>
            <w:tcW w:w="800" w:type="dxa"/>
            <w:gridSpan w:val="2"/>
            <w:tcBorders>
              <w:left w:val="single" w:sz="6" w:space="0" w:color="auto"/>
            </w:tcBorders>
          </w:tcPr>
          <w:p w:rsidR="00B40966" w:rsidRDefault="00B40966">
            <w:pPr>
              <w:pStyle w:val="TableText"/>
              <w:jc w:val="center"/>
              <w:rPr>
                <w:sz w:val="20"/>
              </w:rPr>
            </w:pPr>
            <w:r>
              <w:rPr>
                <w:sz w:val="20"/>
              </w:rPr>
              <w:t>6</w:t>
            </w:r>
          </w:p>
        </w:tc>
        <w:tc>
          <w:tcPr>
            <w:tcW w:w="674" w:type="dxa"/>
            <w:gridSpan w:val="2"/>
          </w:tcPr>
          <w:p w:rsidR="00B40966" w:rsidRDefault="00B40966">
            <w:pPr>
              <w:pStyle w:val="TableText"/>
              <w:jc w:val="center"/>
              <w:rPr>
                <w:sz w:val="20"/>
              </w:rPr>
            </w:pPr>
            <w:r>
              <w:rPr>
                <w:sz w:val="20"/>
              </w:rPr>
              <w:t>2</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660" w:type="dxa"/>
            <w:gridSpan w:val="2"/>
          </w:tcPr>
          <w:p w:rsidR="00B40966" w:rsidRDefault="00B40966">
            <w:pPr>
              <w:pStyle w:val="TableText"/>
              <w:jc w:val="center"/>
              <w:rPr>
                <w:sz w:val="20"/>
              </w:rPr>
            </w:pPr>
            <w:r>
              <w:rPr>
                <w:sz w:val="20"/>
              </w:rPr>
              <w:t>13</w:t>
            </w:r>
          </w:p>
        </w:tc>
        <w:tc>
          <w:tcPr>
            <w:tcW w:w="864" w:type="dxa"/>
            <w:gridSpan w:val="3"/>
          </w:tcPr>
          <w:p w:rsidR="00B40966" w:rsidRDefault="00B40966">
            <w:pPr>
              <w:pStyle w:val="TableText"/>
              <w:jc w:val="center"/>
              <w:rPr>
                <w:sz w:val="20"/>
              </w:rPr>
            </w:pPr>
            <w:r>
              <w:rPr>
                <w:sz w:val="20"/>
              </w:rPr>
              <w:t>3</w:t>
            </w:r>
          </w:p>
        </w:tc>
        <w:tc>
          <w:tcPr>
            <w:tcW w:w="588" w:type="dxa"/>
            <w:gridSpan w:val="2"/>
            <w:tcBorders>
              <w:left w:val="single" w:sz="6" w:space="0" w:color="auto"/>
            </w:tcBorders>
          </w:tcPr>
          <w:p w:rsidR="00B40966" w:rsidRDefault="00B40966">
            <w:pPr>
              <w:pStyle w:val="TableText"/>
              <w:jc w:val="center"/>
              <w:rPr>
                <w:sz w:val="20"/>
              </w:rPr>
            </w:pPr>
            <w:r>
              <w:rPr>
                <w:sz w:val="20"/>
              </w:rPr>
              <w:t>25</w:t>
            </w:r>
          </w:p>
        </w:tc>
        <w:tc>
          <w:tcPr>
            <w:tcW w:w="708" w:type="dxa"/>
          </w:tcPr>
          <w:p w:rsidR="00B40966" w:rsidRDefault="00B40966">
            <w:pPr>
              <w:pStyle w:val="TableText"/>
              <w:jc w:val="center"/>
              <w:rPr>
                <w:sz w:val="20"/>
              </w:rPr>
            </w:pPr>
            <w:r>
              <w:rPr>
                <w:sz w:val="20"/>
              </w:rPr>
              <w:t>9</w:t>
            </w:r>
          </w:p>
        </w:tc>
        <w:tc>
          <w:tcPr>
            <w:tcW w:w="764" w:type="dxa"/>
            <w:tcBorders>
              <w:left w:val="single" w:sz="6" w:space="0" w:color="auto"/>
            </w:tcBorders>
          </w:tcPr>
          <w:p w:rsidR="00B40966" w:rsidRDefault="00B40966">
            <w:pPr>
              <w:pStyle w:val="TableText"/>
              <w:jc w:val="center"/>
              <w:rPr>
                <w:sz w:val="20"/>
              </w:rPr>
            </w:pPr>
            <w:r>
              <w:rPr>
                <w:sz w:val="20"/>
              </w:rPr>
              <w:t>22</w:t>
            </w:r>
          </w:p>
        </w:tc>
        <w:tc>
          <w:tcPr>
            <w:tcW w:w="868" w:type="dxa"/>
            <w:gridSpan w:val="2"/>
          </w:tcPr>
          <w:p w:rsidR="00B40966" w:rsidRDefault="00B40966">
            <w:pPr>
              <w:pStyle w:val="TableText"/>
              <w:jc w:val="center"/>
              <w:rPr>
                <w:sz w:val="20"/>
              </w:rPr>
            </w:pPr>
            <w:r>
              <w:rPr>
                <w:sz w:val="20"/>
              </w:rPr>
              <w:t>17</w:t>
            </w:r>
          </w:p>
        </w:tc>
        <w:tc>
          <w:tcPr>
            <w:tcW w:w="732" w:type="dxa"/>
            <w:tcBorders>
              <w:left w:val="single" w:sz="6" w:space="0" w:color="auto"/>
            </w:tcBorders>
          </w:tcPr>
          <w:p w:rsidR="00B40966" w:rsidRDefault="00B40966">
            <w:pPr>
              <w:pStyle w:val="TableText"/>
              <w:jc w:val="center"/>
              <w:rPr>
                <w:sz w:val="20"/>
              </w:rPr>
            </w:pPr>
            <w:r>
              <w:rPr>
                <w:sz w:val="20"/>
              </w:rPr>
              <w:t>18</w:t>
            </w:r>
          </w:p>
        </w:tc>
        <w:tc>
          <w:tcPr>
            <w:tcW w:w="786" w:type="dxa"/>
            <w:gridSpan w:val="2"/>
          </w:tcPr>
          <w:p w:rsidR="00B40966" w:rsidRDefault="00B40966">
            <w:pPr>
              <w:pStyle w:val="TableText"/>
              <w:jc w:val="center"/>
              <w:rPr>
                <w:sz w:val="20"/>
              </w:rPr>
            </w:pPr>
            <w:r>
              <w:rPr>
                <w:sz w:val="20"/>
              </w:rPr>
              <w:t>13</w:t>
            </w:r>
          </w:p>
        </w:tc>
        <w:tc>
          <w:tcPr>
            <w:tcW w:w="760" w:type="dxa"/>
            <w:gridSpan w:val="2"/>
            <w:tcBorders>
              <w:left w:val="single" w:sz="6" w:space="0" w:color="auto"/>
            </w:tcBorders>
          </w:tcPr>
          <w:p w:rsidR="00B40966" w:rsidRDefault="00B40966">
            <w:pPr>
              <w:pStyle w:val="TableText"/>
              <w:jc w:val="center"/>
              <w:rPr>
                <w:sz w:val="20"/>
              </w:rPr>
            </w:pPr>
            <w:r>
              <w:rPr>
                <w:sz w:val="20"/>
              </w:rPr>
              <w:t>13</w:t>
            </w:r>
          </w:p>
        </w:tc>
        <w:tc>
          <w:tcPr>
            <w:tcW w:w="760" w:type="dxa"/>
          </w:tcPr>
          <w:p w:rsidR="00B40966" w:rsidRDefault="00B40966">
            <w:pPr>
              <w:pStyle w:val="TableText"/>
              <w:jc w:val="center"/>
              <w:rPr>
                <w:sz w:val="20"/>
              </w:rPr>
            </w:pPr>
            <w:r>
              <w:rPr>
                <w:sz w:val="20"/>
              </w:rPr>
              <w:t>3</w:t>
            </w:r>
          </w:p>
        </w:tc>
        <w:tc>
          <w:tcPr>
            <w:tcW w:w="800" w:type="dxa"/>
            <w:gridSpan w:val="2"/>
            <w:tcBorders>
              <w:left w:val="single" w:sz="6" w:space="0" w:color="auto"/>
            </w:tcBorders>
          </w:tcPr>
          <w:p w:rsidR="00B40966" w:rsidRDefault="00B40966">
            <w:pPr>
              <w:pStyle w:val="TableText"/>
              <w:jc w:val="center"/>
              <w:rPr>
                <w:sz w:val="20"/>
              </w:rPr>
            </w:pPr>
            <w:r>
              <w:rPr>
                <w:sz w:val="20"/>
              </w:rPr>
              <w:t>6</w:t>
            </w:r>
          </w:p>
        </w:tc>
        <w:tc>
          <w:tcPr>
            <w:tcW w:w="674" w:type="dxa"/>
            <w:gridSpan w:val="2"/>
          </w:tcPr>
          <w:p w:rsidR="00B40966" w:rsidRDefault="00B40966">
            <w:pPr>
              <w:pStyle w:val="TableText"/>
              <w:jc w:val="center"/>
              <w:rPr>
                <w:sz w:val="20"/>
              </w:rPr>
            </w:pPr>
            <w:r>
              <w:rPr>
                <w:sz w:val="20"/>
              </w:rPr>
              <w:t>16</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660" w:type="dxa"/>
            <w:gridSpan w:val="2"/>
          </w:tcPr>
          <w:p w:rsidR="00B40966" w:rsidRDefault="00B40966">
            <w:pPr>
              <w:pStyle w:val="TableText"/>
              <w:jc w:val="center"/>
              <w:rPr>
                <w:sz w:val="20"/>
              </w:rPr>
            </w:pPr>
            <w:r>
              <w:rPr>
                <w:sz w:val="20"/>
              </w:rPr>
              <w:t>14</w:t>
            </w:r>
          </w:p>
        </w:tc>
        <w:tc>
          <w:tcPr>
            <w:tcW w:w="864" w:type="dxa"/>
            <w:gridSpan w:val="3"/>
          </w:tcPr>
          <w:p w:rsidR="00B40966" w:rsidRDefault="00B40966">
            <w:pPr>
              <w:pStyle w:val="TableText"/>
              <w:jc w:val="center"/>
              <w:rPr>
                <w:sz w:val="20"/>
              </w:rPr>
            </w:pPr>
            <w:r>
              <w:rPr>
                <w:sz w:val="20"/>
              </w:rPr>
              <w:t>8</w:t>
            </w:r>
          </w:p>
        </w:tc>
        <w:tc>
          <w:tcPr>
            <w:tcW w:w="588" w:type="dxa"/>
            <w:gridSpan w:val="2"/>
            <w:tcBorders>
              <w:left w:val="single" w:sz="6" w:space="0" w:color="auto"/>
            </w:tcBorders>
          </w:tcPr>
          <w:p w:rsidR="00B40966" w:rsidRDefault="00B40966">
            <w:pPr>
              <w:pStyle w:val="TableText"/>
              <w:jc w:val="center"/>
              <w:rPr>
                <w:sz w:val="20"/>
              </w:rPr>
            </w:pPr>
            <w:r>
              <w:rPr>
                <w:sz w:val="20"/>
              </w:rPr>
              <w:t>27</w:t>
            </w:r>
          </w:p>
        </w:tc>
        <w:tc>
          <w:tcPr>
            <w:tcW w:w="708" w:type="dxa"/>
          </w:tcPr>
          <w:p w:rsidR="00B40966" w:rsidRDefault="00B40966">
            <w:pPr>
              <w:pStyle w:val="TableText"/>
              <w:jc w:val="center"/>
              <w:rPr>
                <w:sz w:val="20"/>
              </w:rPr>
            </w:pPr>
            <w:r>
              <w:rPr>
                <w:sz w:val="20"/>
              </w:rPr>
              <w:t>16</w:t>
            </w:r>
          </w:p>
        </w:tc>
        <w:tc>
          <w:tcPr>
            <w:tcW w:w="764" w:type="dxa"/>
            <w:tcBorders>
              <w:left w:val="single" w:sz="6" w:space="0" w:color="auto"/>
            </w:tcBorders>
          </w:tcPr>
          <w:p w:rsidR="00B40966" w:rsidRDefault="00B40966">
            <w:pPr>
              <w:pStyle w:val="TableText"/>
              <w:jc w:val="center"/>
              <w:rPr>
                <w:sz w:val="20"/>
              </w:rPr>
            </w:pPr>
            <w:r>
              <w:rPr>
                <w:sz w:val="20"/>
              </w:rPr>
              <w:t>24</w:t>
            </w:r>
          </w:p>
        </w:tc>
        <w:tc>
          <w:tcPr>
            <w:tcW w:w="868" w:type="dxa"/>
            <w:gridSpan w:val="2"/>
          </w:tcPr>
          <w:p w:rsidR="00B40966" w:rsidRDefault="00B40966">
            <w:pPr>
              <w:pStyle w:val="TableText"/>
              <w:jc w:val="center"/>
              <w:rPr>
                <w:sz w:val="20"/>
              </w:rPr>
            </w:pPr>
            <w:r>
              <w:rPr>
                <w:sz w:val="20"/>
              </w:rPr>
              <w:t>19</w:t>
            </w:r>
          </w:p>
        </w:tc>
        <w:tc>
          <w:tcPr>
            <w:tcW w:w="732" w:type="dxa"/>
            <w:tcBorders>
              <w:left w:val="single" w:sz="6" w:space="0" w:color="auto"/>
            </w:tcBorders>
          </w:tcPr>
          <w:p w:rsidR="00B40966" w:rsidRDefault="00B40966">
            <w:pPr>
              <w:pStyle w:val="TableText"/>
              <w:jc w:val="center"/>
              <w:rPr>
                <w:sz w:val="20"/>
              </w:rPr>
            </w:pPr>
            <w:r>
              <w:rPr>
                <w:sz w:val="20"/>
              </w:rPr>
              <w:t>20</w:t>
            </w:r>
          </w:p>
        </w:tc>
        <w:tc>
          <w:tcPr>
            <w:tcW w:w="786" w:type="dxa"/>
            <w:gridSpan w:val="2"/>
          </w:tcPr>
          <w:p w:rsidR="00B40966" w:rsidRDefault="00B40966">
            <w:pPr>
              <w:pStyle w:val="TableText"/>
              <w:jc w:val="center"/>
              <w:rPr>
                <w:sz w:val="20"/>
              </w:rPr>
            </w:pPr>
            <w:r>
              <w:rPr>
                <w:sz w:val="20"/>
              </w:rPr>
              <w:t>7</w:t>
            </w:r>
          </w:p>
        </w:tc>
        <w:tc>
          <w:tcPr>
            <w:tcW w:w="760" w:type="dxa"/>
            <w:gridSpan w:val="2"/>
            <w:tcBorders>
              <w:left w:val="single" w:sz="6" w:space="0" w:color="auto"/>
            </w:tcBorders>
          </w:tcPr>
          <w:p w:rsidR="00B40966" w:rsidRDefault="00B40966">
            <w:pPr>
              <w:pStyle w:val="TableText"/>
              <w:jc w:val="center"/>
              <w:rPr>
                <w:sz w:val="20"/>
              </w:rPr>
            </w:pPr>
            <w:r>
              <w:rPr>
                <w:sz w:val="20"/>
              </w:rPr>
              <w:t>14</w:t>
            </w:r>
          </w:p>
        </w:tc>
        <w:tc>
          <w:tcPr>
            <w:tcW w:w="760" w:type="dxa"/>
          </w:tcPr>
          <w:p w:rsidR="00B40966" w:rsidRDefault="00B40966">
            <w:pPr>
              <w:pStyle w:val="TableText"/>
              <w:jc w:val="center"/>
              <w:rPr>
                <w:sz w:val="20"/>
              </w:rPr>
            </w:pPr>
            <w:r>
              <w:rPr>
                <w:sz w:val="20"/>
              </w:rPr>
              <w:t>8</w:t>
            </w:r>
          </w:p>
        </w:tc>
        <w:tc>
          <w:tcPr>
            <w:tcW w:w="800" w:type="dxa"/>
            <w:gridSpan w:val="2"/>
            <w:tcBorders>
              <w:left w:val="single" w:sz="6" w:space="0" w:color="auto"/>
            </w:tcBorders>
          </w:tcPr>
          <w:p w:rsidR="00B40966" w:rsidRDefault="00B40966">
            <w:pPr>
              <w:pStyle w:val="TableText"/>
              <w:jc w:val="center"/>
              <w:rPr>
                <w:sz w:val="20"/>
              </w:rPr>
            </w:pPr>
            <w:r>
              <w:rPr>
                <w:sz w:val="20"/>
              </w:rPr>
              <w:t>7</w:t>
            </w:r>
          </w:p>
        </w:tc>
        <w:tc>
          <w:tcPr>
            <w:tcW w:w="674" w:type="dxa"/>
            <w:gridSpan w:val="2"/>
          </w:tcPr>
          <w:p w:rsidR="00B40966" w:rsidRDefault="00B40966">
            <w:pPr>
              <w:pStyle w:val="TableText"/>
              <w:jc w:val="center"/>
              <w:rPr>
                <w:sz w:val="20"/>
              </w:rPr>
            </w:pPr>
            <w:r>
              <w:rPr>
                <w:sz w:val="20"/>
              </w:rPr>
              <w:t>9</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660" w:type="dxa"/>
            <w:gridSpan w:val="2"/>
          </w:tcPr>
          <w:p w:rsidR="00B40966" w:rsidRDefault="00B40966">
            <w:pPr>
              <w:pStyle w:val="TableText"/>
              <w:jc w:val="center"/>
              <w:rPr>
                <w:sz w:val="20"/>
              </w:rPr>
            </w:pPr>
            <w:r>
              <w:rPr>
                <w:sz w:val="20"/>
              </w:rPr>
              <w:t>15</w:t>
            </w:r>
          </w:p>
        </w:tc>
        <w:tc>
          <w:tcPr>
            <w:tcW w:w="864" w:type="dxa"/>
            <w:gridSpan w:val="3"/>
          </w:tcPr>
          <w:p w:rsidR="00B40966" w:rsidRDefault="00B40966">
            <w:pPr>
              <w:pStyle w:val="TableText"/>
              <w:jc w:val="center"/>
              <w:rPr>
                <w:sz w:val="20"/>
              </w:rPr>
            </w:pPr>
            <w:r>
              <w:rPr>
                <w:sz w:val="20"/>
              </w:rPr>
              <w:t>13</w:t>
            </w:r>
          </w:p>
        </w:tc>
        <w:tc>
          <w:tcPr>
            <w:tcW w:w="588" w:type="dxa"/>
            <w:gridSpan w:val="2"/>
            <w:tcBorders>
              <w:left w:val="single" w:sz="6" w:space="0" w:color="auto"/>
            </w:tcBorders>
          </w:tcPr>
          <w:p w:rsidR="00B40966" w:rsidRDefault="00B40966">
            <w:pPr>
              <w:pStyle w:val="TableText"/>
              <w:jc w:val="center"/>
              <w:rPr>
                <w:sz w:val="20"/>
              </w:rPr>
            </w:pPr>
            <w:r>
              <w:rPr>
                <w:sz w:val="20"/>
              </w:rPr>
              <w:t>30</w:t>
            </w:r>
          </w:p>
        </w:tc>
        <w:tc>
          <w:tcPr>
            <w:tcW w:w="708" w:type="dxa"/>
          </w:tcPr>
          <w:p w:rsidR="00B40966" w:rsidRDefault="00B40966">
            <w:pPr>
              <w:pStyle w:val="TableText"/>
              <w:jc w:val="center"/>
              <w:rPr>
                <w:sz w:val="20"/>
              </w:rPr>
            </w:pPr>
            <w:r>
              <w:rPr>
                <w:sz w:val="20"/>
              </w:rPr>
              <w:t>4</w:t>
            </w:r>
          </w:p>
        </w:tc>
        <w:tc>
          <w:tcPr>
            <w:tcW w:w="764" w:type="dxa"/>
            <w:tcBorders>
              <w:left w:val="single" w:sz="6" w:space="0" w:color="auto"/>
            </w:tcBorders>
          </w:tcPr>
          <w:p w:rsidR="00B40966" w:rsidRDefault="00B40966">
            <w:pPr>
              <w:pStyle w:val="TableText"/>
              <w:jc w:val="center"/>
              <w:rPr>
                <w:sz w:val="20"/>
              </w:rPr>
            </w:pPr>
            <w:r>
              <w:rPr>
                <w:sz w:val="20"/>
              </w:rPr>
              <w:t>27</w:t>
            </w:r>
          </w:p>
        </w:tc>
        <w:tc>
          <w:tcPr>
            <w:tcW w:w="868" w:type="dxa"/>
            <w:gridSpan w:val="2"/>
          </w:tcPr>
          <w:p w:rsidR="00B40966" w:rsidRDefault="00B40966">
            <w:pPr>
              <w:pStyle w:val="TableText"/>
              <w:jc w:val="center"/>
              <w:rPr>
                <w:sz w:val="20"/>
              </w:rPr>
            </w:pPr>
            <w:r>
              <w:rPr>
                <w:sz w:val="20"/>
              </w:rPr>
              <w:t>2</w:t>
            </w:r>
          </w:p>
        </w:tc>
        <w:tc>
          <w:tcPr>
            <w:tcW w:w="732" w:type="dxa"/>
            <w:tcBorders>
              <w:left w:val="single" w:sz="6" w:space="0" w:color="auto"/>
            </w:tcBorders>
          </w:tcPr>
          <w:p w:rsidR="00B40966" w:rsidRDefault="00B40966">
            <w:pPr>
              <w:pStyle w:val="TableText"/>
              <w:jc w:val="center"/>
              <w:rPr>
                <w:sz w:val="20"/>
              </w:rPr>
            </w:pPr>
            <w:r>
              <w:rPr>
                <w:sz w:val="20"/>
              </w:rPr>
              <w:t>22</w:t>
            </w:r>
          </w:p>
        </w:tc>
        <w:tc>
          <w:tcPr>
            <w:tcW w:w="786" w:type="dxa"/>
            <w:gridSpan w:val="2"/>
          </w:tcPr>
          <w:p w:rsidR="00B40966" w:rsidRDefault="00B40966">
            <w:pPr>
              <w:pStyle w:val="TableText"/>
              <w:jc w:val="center"/>
              <w:rPr>
                <w:sz w:val="20"/>
              </w:rPr>
            </w:pPr>
            <w:r>
              <w:rPr>
                <w:sz w:val="20"/>
              </w:rPr>
              <w:t>2</w:t>
            </w:r>
          </w:p>
        </w:tc>
        <w:tc>
          <w:tcPr>
            <w:tcW w:w="760" w:type="dxa"/>
            <w:gridSpan w:val="2"/>
            <w:tcBorders>
              <w:left w:val="single" w:sz="6" w:space="0" w:color="auto"/>
            </w:tcBorders>
          </w:tcPr>
          <w:p w:rsidR="00B40966" w:rsidRDefault="00B40966">
            <w:pPr>
              <w:pStyle w:val="TableText"/>
              <w:jc w:val="center"/>
              <w:rPr>
                <w:sz w:val="20"/>
              </w:rPr>
            </w:pPr>
            <w:r>
              <w:rPr>
                <w:sz w:val="20"/>
              </w:rPr>
              <w:t>15</w:t>
            </w:r>
          </w:p>
        </w:tc>
        <w:tc>
          <w:tcPr>
            <w:tcW w:w="760" w:type="dxa"/>
          </w:tcPr>
          <w:p w:rsidR="00B40966" w:rsidRDefault="00B40966">
            <w:pPr>
              <w:pStyle w:val="TableText"/>
              <w:jc w:val="center"/>
              <w:rPr>
                <w:sz w:val="20"/>
              </w:rPr>
            </w:pPr>
            <w:r>
              <w:rPr>
                <w:sz w:val="20"/>
              </w:rPr>
              <w:t>13</w:t>
            </w:r>
          </w:p>
        </w:tc>
        <w:tc>
          <w:tcPr>
            <w:tcW w:w="800" w:type="dxa"/>
            <w:gridSpan w:val="2"/>
            <w:tcBorders>
              <w:left w:val="single" w:sz="6" w:space="0" w:color="auto"/>
            </w:tcBorders>
          </w:tcPr>
          <w:p w:rsidR="00B40966" w:rsidRDefault="00B40966">
            <w:pPr>
              <w:pStyle w:val="TableText"/>
              <w:jc w:val="center"/>
              <w:rPr>
                <w:sz w:val="20"/>
              </w:rPr>
            </w:pPr>
            <w:r>
              <w:rPr>
                <w:sz w:val="20"/>
              </w:rPr>
              <w:t>8</w:t>
            </w:r>
          </w:p>
        </w:tc>
        <w:tc>
          <w:tcPr>
            <w:tcW w:w="674" w:type="dxa"/>
            <w:gridSpan w:val="2"/>
          </w:tcPr>
          <w:p w:rsidR="00B40966" w:rsidRDefault="00B40966">
            <w:pPr>
              <w:pStyle w:val="TableText"/>
              <w:jc w:val="center"/>
              <w:rPr>
                <w:sz w:val="20"/>
              </w:rPr>
            </w:pPr>
            <w:r>
              <w:rPr>
                <w:sz w:val="20"/>
              </w:rPr>
              <w:t>2</w:t>
            </w:r>
          </w:p>
        </w:tc>
      </w:tr>
      <w:tr w:rsidR="00B40966">
        <w:trPr>
          <w:cantSplit/>
          <w:trHeight w:val="200"/>
        </w:trPr>
        <w:tc>
          <w:tcPr>
            <w:tcW w:w="968" w:type="dxa"/>
            <w:tcBorders>
              <w:bottom w:val="single" w:sz="6" w:space="0" w:color="auto"/>
            </w:tcBorders>
          </w:tcPr>
          <w:p w:rsidR="00B40966" w:rsidRDefault="00B40966">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660" w:type="dxa"/>
            <w:gridSpan w:val="2"/>
            <w:tcBorders>
              <w:bottom w:val="single" w:sz="6" w:space="0" w:color="auto"/>
            </w:tcBorders>
          </w:tcPr>
          <w:p w:rsidR="00B40966" w:rsidRDefault="00B40966">
            <w:pPr>
              <w:pStyle w:val="TableText"/>
              <w:jc w:val="center"/>
              <w:rPr>
                <w:sz w:val="20"/>
              </w:rPr>
            </w:pPr>
            <w:r>
              <w:rPr>
                <w:sz w:val="20"/>
              </w:rPr>
              <w:t>17</w:t>
            </w:r>
          </w:p>
        </w:tc>
        <w:tc>
          <w:tcPr>
            <w:tcW w:w="864" w:type="dxa"/>
            <w:gridSpan w:val="3"/>
            <w:tcBorders>
              <w:bottom w:val="single" w:sz="6" w:space="0" w:color="auto"/>
            </w:tcBorders>
          </w:tcPr>
          <w:p w:rsidR="00B40966" w:rsidRDefault="00B40966">
            <w:pPr>
              <w:pStyle w:val="TableText"/>
              <w:jc w:val="center"/>
              <w:rPr>
                <w:sz w:val="20"/>
              </w:rPr>
            </w:pPr>
            <w:r>
              <w:rPr>
                <w:sz w:val="20"/>
              </w:rPr>
              <w:t>4</w:t>
            </w:r>
          </w:p>
        </w:tc>
        <w:tc>
          <w:tcPr>
            <w:tcW w:w="588" w:type="dxa"/>
            <w:gridSpan w:val="2"/>
            <w:tcBorders>
              <w:left w:val="single" w:sz="6" w:space="0" w:color="auto"/>
              <w:bottom w:val="single" w:sz="6" w:space="0" w:color="auto"/>
            </w:tcBorders>
          </w:tcPr>
          <w:p w:rsidR="00B40966" w:rsidRDefault="00B40966">
            <w:pPr>
              <w:pStyle w:val="TableText"/>
              <w:jc w:val="center"/>
              <w:rPr>
                <w:sz w:val="20"/>
              </w:rPr>
            </w:pPr>
            <w:r>
              <w:rPr>
                <w:sz w:val="20"/>
              </w:rPr>
              <w:t>33</w:t>
            </w:r>
          </w:p>
        </w:tc>
        <w:tc>
          <w:tcPr>
            <w:tcW w:w="708" w:type="dxa"/>
            <w:tcBorders>
              <w:bottom w:val="single" w:sz="6" w:space="0" w:color="auto"/>
            </w:tcBorders>
          </w:tcPr>
          <w:p w:rsidR="00B40966" w:rsidRDefault="00B40966">
            <w:pPr>
              <w:pStyle w:val="TableText"/>
              <w:jc w:val="center"/>
              <w:rPr>
                <w:sz w:val="20"/>
              </w:rPr>
            </w:pPr>
            <w:r>
              <w:rPr>
                <w:sz w:val="20"/>
              </w:rPr>
              <w:t>5</w:t>
            </w:r>
          </w:p>
        </w:tc>
        <w:tc>
          <w:tcPr>
            <w:tcW w:w="764" w:type="dxa"/>
            <w:tcBorders>
              <w:left w:val="single" w:sz="6" w:space="0" w:color="auto"/>
              <w:bottom w:val="single" w:sz="6" w:space="0" w:color="auto"/>
            </w:tcBorders>
          </w:tcPr>
          <w:p w:rsidR="00B40966" w:rsidRDefault="00B40966">
            <w:pPr>
              <w:pStyle w:val="TableText"/>
              <w:jc w:val="center"/>
              <w:rPr>
                <w:sz w:val="20"/>
              </w:rPr>
            </w:pPr>
            <w:r>
              <w:rPr>
                <w:sz w:val="20"/>
              </w:rPr>
              <w:t>29</w:t>
            </w:r>
          </w:p>
        </w:tc>
        <w:tc>
          <w:tcPr>
            <w:tcW w:w="868" w:type="dxa"/>
            <w:gridSpan w:val="2"/>
            <w:tcBorders>
              <w:bottom w:val="single" w:sz="6" w:space="0" w:color="auto"/>
            </w:tcBorders>
          </w:tcPr>
          <w:p w:rsidR="00B40966" w:rsidRDefault="00B40966">
            <w:pPr>
              <w:pStyle w:val="TableText"/>
              <w:jc w:val="center"/>
              <w:rPr>
                <w:sz w:val="20"/>
              </w:rPr>
            </w:pPr>
            <w:r>
              <w:rPr>
                <w:sz w:val="20"/>
              </w:rPr>
              <w:t>16</w:t>
            </w:r>
          </w:p>
        </w:tc>
        <w:tc>
          <w:tcPr>
            <w:tcW w:w="732" w:type="dxa"/>
            <w:tcBorders>
              <w:left w:val="single" w:sz="6" w:space="0" w:color="auto"/>
              <w:bottom w:val="single" w:sz="6" w:space="0" w:color="auto"/>
            </w:tcBorders>
          </w:tcPr>
          <w:p w:rsidR="00B40966" w:rsidRDefault="00B40966">
            <w:pPr>
              <w:pStyle w:val="TableText"/>
              <w:jc w:val="center"/>
              <w:rPr>
                <w:sz w:val="20"/>
              </w:rPr>
            </w:pPr>
            <w:r>
              <w:rPr>
                <w:sz w:val="20"/>
              </w:rPr>
              <w:t>24</w:t>
            </w:r>
          </w:p>
        </w:tc>
        <w:tc>
          <w:tcPr>
            <w:tcW w:w="786" w:type="dxa"/>
            <w:gridSpan w:val="2"/>
            <w:tcBorders>
              <w:bottom w:val="single" w:sz="6" w:space="0" w:color="auto"/>
            </w:tcBorders>
          </w:tcPr>
          <w:p w:rsidR="00B40966" w:rsidRDefault="00B40966">
            <w:pPr>
              <w:pStyle w:val="TableText"/>
              <w:jc w:val="center"/>
              <w:rPr>
                <w:sz w:val="20"/>
              </w:rPr>
            </w:pPr>
            <w:r>
              <w:rPr>
                <w:sz w:val="20"/>
              </w:rPr>
              <w:t>7</w:t>
            </w:r>
          </w:p>
        </w:tc>
        <w:tc>
          <w:tcPr>
            <w:tcW w:w="760" w:type="dxa"/>
            <w:gridSpan w:val="2"/>
            <w:tcBorders>
              <w:left w:val="single" w:sz="6" w:space="0" w:color="auto"/>
              <w:bottom w:val="single" w:sz="6" w:space="0" w:color="auto"/>
            </w:tcBorders>
          </w:tcPr>
          <w:p w:rsidR="00B40966" w:rsidRDefault="00B40966">
            <w:pPr>
              <w:pStyle w:val="TableText"/>
              <w:jc w:val="center"/>
              <w:rPr>
                <w:sz w:val="20"/>
              </w:rPr>
            </w:pPr>
            <w:r>
              <w:rPr>
                <w:sz w:val="20"/>
              </w:rPr>
              <w:t>17</w:t>
            </w:r>
          </w:p>
        </w:tc>
        <w:tc>
          <w:tcPr>
            <w:tcW w:w="760" w:type="dxa"/>
            <w:tcBorders>
              <w:bottom w:val="single" w:sz="6" w:space="0" w:color="auto"/>
            </w:tcBorders>
          </w:tcPr>
          <w:p w:rsidR="00B40966" w:rsidRDefault="00B40966">
            <w:pPr>
              <w:pStyle w:val="TableText"/>
              <w:jc w:val="center"/>
              <w:rPr>
                <w:sz w:val="20"/>
              </w:rPr>
            </w:pPr>
            <w:r>
              <w:rPr>
                <w:sz w:val="20"/>
              </w:rPr>
              <w:t>4</w:t>
            </w:r>
          </w:p>
        </w:tc>
        <w:tc>
          <w:tcPr>
            <w:tcW w:w="800" w:type="dxa"/>
            <w:gridSpan w:val="2"/>
            <w:tcBorders>
              <w:left w:val="single" w:sz="6" w:space="0" w:color="auto"/>
              <w:bottom w:val="single" w:sz="6" w:space="0" w:color="auto"/>
            </w:tcBorders>
          </w:tcPr>
          <w:p w:rsidR="00B40966" w:rsidRDefault="00B40966">
            <w:pPr>
              <w:pStyle w:val="TableText"/>
              <w:jc w:val="center"/>
              <w:rPr>
                <w:sz w:val="20"/>
              </w:rPr>
            </w:pPr>
            <w:r>
              <w:rPr>
                <w:sz w:val="20"/>
              </w:rPr>
              <w:t>8</w:t>
            </w:r>
          </w:p>
        </w:tc>
        <w:tc>
          <w:tcPr>
            <w:tcW w:w="674" w:type="dxa"/>
            <w:gridSpan w:val="2"/>
            <w:tcBorders>
              <w:bottom w:val="single" w:sz="6" w:space="0" w:color="auto"/>
            </w:tcBorders>
          </w:tcPr>
          <w:p w:rsidR="00B40966" w:rsidRDefault="00B40966">
            <w:pPr>
              <w:pStyle w:val="TableText"/>
              <w:jc w:val="center"/>
              <w:rPr>
                <w:sz w:val="20"/>
              </w:rPr>
            </w:pPr>
            <w:r>
              <w:rPr>
                <w:sz w:val="20"/>
              </w:rPr>
              <w:t>18</w:t>
            </w:r>
          </w:p>
        </w:tc>
      </w:tr>
    </w:tbl>
    <w:p w:rsidR="00B40966" w:rsidRDefault="00B40966"/>
    <w:p w:rsidR="00B40966" w:rsidRDefault="00B40966">
      <w:pPr>
        <w:pStyle w:val="TableHd"/>
      </w:pPr>
      <w:r>
        <w:t>Maximum safe working load for steel wire rope—Classification 2</w:t>
      </w:r>
    </w:p>
    <w:p w:rsidR="00B40966" w:rsidRDefault="00B40966">
      <w:pPr>
        <w:pStyle w:val="TableHd"/>
        <w:ind w:left="0" w:firstLine="0"/>
      </w:pPr>
      <w:r>
        <w:t>Minimum ultimate tensile value of steel of which rope is constructed = 80 tons per square inch</w:t>
      </w:r>
      <w:r>
        <w:br/>
        <w:t>construction:  6 strands each containing 19 wires</w:t>
      </w:r>
    </w:p>
    <w:tbl>
      <w:tblPr>
        <w:tblW w:w="0" w:type="auto"/>
        <w:tblLayout w:type="fixed"/>
        <w:tblCellMar>
          <w:left w:w="80" w:type="dxa"/>
          <w:right w:w="80" w:type="dxa"/>
        </w:tblCellMar>
        <w:tblLook w:val="0000" w:firstRow="0" w:lastRow="0" w:firstColumn="0" w:lastColumn="0" w:noHBand="0" w:noVBand="0"/>
      </w:tblPr>
      <w:tblGrid>
        <w:gridCol w:w="968"/>
        <w:gridCol w:w="16"/>
        <w:gridCol w:w="924"/>
        <w:gridCol w:w="8"/>
        <w:gridCol w:w="571"/>
        <w:gridCol w:w="93"/>
        <w:gridCol w:w="8"/>
        <w:gridCol w:w="840"/>
        <w:gridCol w:w="592"/>
        <w:gridCol w:w="8"/>
        <w:gridCol w:w="692"/>
        <w:gridCol w:w="16"/>
        <w:gridCol w:w="12"/>
        <w:gridCol w:w="752"/>
        <w:gridCol w:w="832"/>
        <w:gridCol w:w="768"/>
        <w:gridCol w:w="780"/>
        <w:gridCol w:w="766"/>
        <w:gridCol w:w="734"/>
        <w:gridCol w:w="826"/>
        <w:gridCol w:w="654"/>
      </w:tblGrid>
      <w:tr w:rsidR="00B40966">
        <w:trPr>
          <w:cantSplit/>
          <w:tblHeader/>
        </w:trPr>
        <w:tc>
          <w:tcPr>
            <w:tcW w:w="984" w:type="dxa"/>
            <w:gridSpan w:val="2"/>
            <w:tcBorders>
              <w:top w:val="single" w:sz="6" w:space="0" w:color="auto"/>
              <w:right w:val="single" w:sz="6" w:space="0" w:color="auto"/>
            </w:tcBorders>
          </w:tcPr>
          <w:p w:rsidR="00B40966" w:rsidRDefault="00B40966">
            <w:pPr>
              <w:pStyle w:val="TableColHd"/>
              <w:jc w:val="center"/>
            </w:pPr>
          </w:p>
        </w:tc>
        <w:tc>
          <w:tcPr>
            <w:tcW w:w="924" w:type="dxa"/>
            <w:tcBorders>
              <w:top w:val="single" w:sz="6" w:space="0" w:color="auto"/>
              <w:right w:val="single" w:sz="6" w:space="0" w:color="auto"/>
            </w:tcBorders>
          </w:tcPr>
          <w:p w:rsidR="00B40966" w:rsidRDefault="00B40966">
            <w:pPr>
              <w:pStyle w:val="TableColHd"/>
              <w:jc w:val="center"/>
            </w:pPr>
          </w:p>
        </w:tc>
        <w:tc>
          <w:tcPr>
            <w:tcW w:w="579" w:type="dxa"/>
            <w:gridSpan w:val="2"/>
            <w:tcBorders>
              <w:top w:val="single" w:sz="6" w:space="0" w:color="auto"/>
            </w:tcBorders>
          </w:tcPr>
          <w:p w:rsidR="00B40966" w:rsidRDefault="00B40966">
            <w:pPr>
              <w:pStyle w:val="TableColHd"/>
              <w:jc w:val="center"/>
            </w:pPr>
          </w:p>
        </w:tc>
        <w:tc>
          <w:tcPr>
            <w:tcW w:w="941" w:type="dxa"/>
            <w:gridSpan w:val="3"/>
            <w:tcBorders>
              <w:top w:val="single" w:sz="6" w:space="0" w:color="auto"/>
            </w:tcBorders>
          </w:tcPr>
          <w:p w:rsidR="00B40966" w:rsidRDefault="00B40966">
            <w:pPr>
              <w:pStyle w:val="TableColHd"/>
              <w:jc w:val="center"/>
            </w:pPr>
          </w:p>
        </w:tc>
        <w:tc>
          <w:tcPr>
            <w:tcW w:w="7428" w:type="dxa"/>
            <w:gridSpan w:val="13"/>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cantSplit/>
          <w:tblHeader/>
        </w:trPr>
        <w:tc>
          <w:tcPr>
            <w:tcW w:w="984" w:type="dxa"/>
            <w:gridSpan w:val="2"/>
            <w:tcBorders>
              <w:right w:val="single" w:sz="6" w:space="0" w:color="auto"/>
            </w:tcBorders>
            <w:vAlign w:val="bottom"/>
          </w:tcPr>
          <w:p w:rsidR="00B40966" w:rsidRDefault="00B40966">
            <w:pPr>
              <w:pStyle w:val="TableColHd"/>
            </w:pPr>
            <w:r>
              <w:t>circum-</w:t>
            </w:r>
            <w:r>
              <w:br/>
              <w:t>ference</w:t>
            </w:r>
            <w:r>
              <w:br/>
              <w:t>of rope</w:t>
            </w:r>
          </w:p>
        </w:tc>
        <w:tc>
          <w:tcPr>
            <w:tcW w:w="924" w:type="dxa"/>
            <w:tcBorders>
              <w:right w:val="single" w:sz="6" w:space="0" w:color="auto"/>
            </w:tcBorders>
            <w:vAlign w:val="bottom"/>
          </w:tcPr>
          <w:p w:rsidR="00B40966" w:rsidRDefault="00B40966">
            <w:pPr>
              <w:pStyle w:val="TableColHd"/>
            </w:pPr>
            <w:r>
              <w:t>approx.</w:t>
            </w:r>
            <w:r>
              <w:br/>
              <w:t>diameter</w:t>
            </w:r>
            <w:r>
              <w:br/>
              <w:t>of rope</w:t>
            </w:r>
          </w:p>
        </w:tc>
        <w:tc>
          <w:tcPr>
            <w:tcW w:w="1520" w:type="dxa"/>
            <w:gridSpan w:val="5"/>
            <w:vAlign w:val="bottom"/>
          </w:tcPr>
          <w:p w:rsidR="00B40966" w:rsidRDefault="00B40966">
            <w:pPr>
              <w:pStyle w:val="TableColHd"/>
            </w:pPr>
            <w:r>
              <w:t>safe load for 1 single fall (part) of rope</w:t>
            </w:r>
          </w:p>
        </w:tc>
        <w:tc>
          <w:tcPr>
            <w:tcW w:w="1320" w:type="dxa"/>
            <w:gridSpan w:val="5"/>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2"/>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B40966" w:rsidRDefault="00DA6E8C">
            <w:pPr>
              <w:rPr>
                <w:color w:val="000000"/>
                <w:sz w:val="18"/>
              </w:rPr>
            </w:pPr>
            <w:r>
              <w:rPr>
                <w:noProof/>
                <w:color w:val="000000"/>
                <w:sz w:val="20"/>
                <w:lang w:eastAsia="en-AU"/>
              </w:rPr>
              <w:drawing>
                <wp:inline distT="0" distB="0" distL="0" distR="0">
                  <wp:extent cx="790575" cy="5238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cantSplit/>
          <w:trHeight w:val="220"/>
          <w:tblHeader/>
        </w:trPr>
        <w:tc>
          <w:tcPr>
            <w:tcW w:w="98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3"/>
            <w:tcBorders>
              <w:top w:val="single" w:sz="6" w:space="0" w:color="auto"/>
              <w:bottom w:val="single" w:sz="6" w:space="0" w:color="auto"/>
            </w:tcBorders>
            <w:vAlign w:val="bottom"/>
          </w:tcPr>
          <w:p w:rsidR="00B40966" w:rsidRDefault="00B40966">
            <w:pPr>
              <w:pStyle w:val="TableColHd"/>
              <w:spacing w:after="0"/>
              <w:jc w:val="center"/>
            </w:pPr>
            <w:r>
              <w:t>tons</w:t>
            </w:r>
          </w:p>
        </w:tc>
        <w:tc>
          <w:tcPr>
            <w:tcW w:w="848"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gridSpan w:val="3"/>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32"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8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6"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3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826"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68"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948" w:type="dxa"/>
            <w:gridSpan w:val="3"/>
            <w:tcBorders>
              <w:top w:val="single" w:sz="6" w:space="0" w:color="auto"/>
              <w:right w:val="single" w:sz="6" w:space="0" w:color="auto"/>
            </w:tcBorders>
          </w:tcPr>
          <w:p w:rsidR="00B40966" w:rsidRDefault="00B40966">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B40966" w:rsidRDefault="00B40966">
            <w:pPr>
              <w:pStyle w:val="TableText"/>
              <w:jc w:val="center"/>
              <w:rPr>
                <w:sz w:val="20"/>
              </w:rPr>
            </w:pPr>
            <w:r>
              <w:rPr>
                <w:sz w:val="20"/>
              </w:rPr>
              <w:t>0</w:t>
            </w:r>
          </w:p>
        </w:tc>
        <w:tc>
          <w:tcPr>
            <w:tcW w:w="840" w:type="dxa"/>
            <w:tcBorders>
              <w:top w:val="single" w:sz="6" w:space="0" w:color="auto"/>
            </w:tcBorders>
          </w:tcPr>
          <w:p w:rsidR="00B40966" w:rsidRDefault="00B40966">
            <w:pPr>
              <w:pStyle w:val="TableText"/>
              <w:jc w:val="center"/>
              <w:rPr>
                <w:sz w:val="20"/>
              </w:rPr>
            </w:pPr>
            <w:r>
              <w:rPr>
                <w:sz w:val="20"/>
              </w:rPr>
              <w:t>3</w:t>
            </w:r>
          </w:p>
        </w:tc>
        <w:tc>
          <w:tcPr>
            <w:tcW w:w="600"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692" w:type="dxa"/>
            <w:tcBorders>
              <w:top w:val="single" w:sz="6" w:space="0" w:color="auto"/>
            </w:tcBorders>
          </w:tcPr>
          <w:p w:rsidR="00B40966" w:rsidRDefault="00B40966">
            <w:pPr>
              <w:pStyle w:val="TableText"/>
              <w:jc w:val="center"/>
              <w:rPr>
                <w:sz w:val="20"/>
              </w:rPr>
            </w:pPr>
            <w:r>
              <w:rPr>
                <w:sz w:val="20"/>
              </w:rPr>
              <w:t>6</w:t>
            </w:r>
          </w:p>
        </w:tc>
        <w:tc>
          <w:tcPr>
            <w:tcW w:w="780" w:type="dxa"/>
            <w:gridSpan w:val="3"/>
            <w:tcBorders>
              <w:top w:val="single" w:sz="6" w:space="0" w:color="auto"/>
              <w:left w:val="single" w:sz="6" w:space="0" w:color="auto"/>
            </w:tcBorders>
          </w:tcPr>
          <w:p w:rsidR="00B40966" w:rsidRDefault="00B40966">
            <w:pPr>
              <w:pStyle w:val="TableText"/>
              <w:jc w:val="center"/>
              <w:rPr>
                <w:sz w:val="20"/>
              </w:rPr>
            </w:pPr>
            <w:r>
              <w:rPr>
                <w:sz w:val="20"/>
              </w:rPr>
              <w:t>0</w:t>
            </w:r>
          </w:p>
        </w:tc>
        <w:tc>
          <w:tcPr>
            <w:tcW w:w="832" w:type="dxa"/>
            <w:tcBorders>
              <w:top w:val="single" w:sz="6" w:space="0" w:color="auto"/>
            </w:tcBorders>
          </w:tcPr>
          <w:p w:rsidR="00B40966" w:rsidRDefault="00B40966">
            <w:pPr>
              <w:pStyle w:val="TableText"/>
              <w:jc w:val="center"/>
              <w:rPr>
                <w:sz w:val="20"/>
              </w:rPr>
            </w:pPr>
            <w:r>
              <w:rPr>
                <w:sz w:val="20"/>
              </w:rPr>
              <w:t>5</w:t>
            </w:r>
          </w:p>
        </w:tc>
        <w:tc>
          <w:tcPr>
            <w:tcW w:w="768"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80" w:type="dxa"/>
            <w:tcBorders>
              <w:top w:val="single" w:sz="6" w:space="0" w:color="auto"/>
            </w:tcBorders>
          </w:tcPr>
          <w:p w:rsidR="00B40966" w:rsidRDefault="00B40966">
            <w:pPr>
              <w:pStyle w:val="TableText"/>
              <w:jc w:val="center"/>
              <w:rPr>
                <w:sz w:val="20"/>
              </w:rPr>
            </w:pPr>
            <w:r>
              <w:rPr>
                <w:sz w:val="20"/>
              </w:rPr>
              <w:t>4</w:t>
            </w:r>
          </w:p>
        </w:tc>
        <w:tc>
          <w:tcPr>
            <w:tcW w:w="766"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34" w:type="dxa"/>
            <w:tcBorders>
              <w:top w:val="single" w:sz="6" w:space="0" w:color="auto"/>
              <w:right w:val="single" w:sz="6" w:space="0" w:color="auto"/>
            </w:tcBorders>
          </w:tcPr>
          <w:p w:rsidR="00B40966" w:rsidRDefault="00B40966">
            <w:pPr>
              <w:pStyle w:val="TableText"/>
              <w:jc w:val="center"/>
              <w:rPr>
                <w:sz w:val="20"/>
              </w:rPr>
            </w:pPr>
            <w:r>
              <w:rPr>
                <w:sz w:val="20"/>
              </w:rPr>
              <w:t>3</w:t>
            </w:r>
          </w:p>
        </w:tc>
        <w:tc>
          <w:tcPr>
            <w:tcW w:w="826" w:type="dxa"/>
            <w:tcBorders>
              <w:top w:val="single" w:sz="6" w:space="0" w:color="auto"/>
            </w:tcBorders>
          </w:tcPr>
          <w:p w:rsidR="00B40966" w:rsidRDefault="00B40966">
            <w:pPr>
              <w:pStyle w:val="TableText"/>
              <w:jc w:val="center"/>
              <w:rPr>
                <w:sz w:val="20"/>
              </w:rPr>
            </w:pPr>
            <w:r>
              <w:rPr>
                <w:sz w:val="20"/>
              </w:rPr>
              <w:t>0</w:t>
            </w:r>
          </w:p>
        </w:tc>
        <w:tc>
          <w:tcPr>
            <w:tcW w:w="650" w:type="dxa"/>
            <w:tcBorders>
              <w:top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 xml:space="preserve">/4 </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w:t>
            </w:r>
            <w:r>
              <w:rPr>
                <w:sz w:val="20"/>
              </w:rPr>
              <w:t xml:space="preserve">/4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4</w:t>
            </w:r>
            <w:r>
              <w:rPr>
                <w:position w:val="4"/>
                <w:sz w:val="20"/>
              </w:rPr>
              <w:t>1</w:t>
            </w: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692" w:type="dxa"/>
          </w:tcPr>
          <w:p w:rsidR="00B40966" w:rsidRDefault="00B40966">
            <w:pPr>
              <w:pStyle w:val="TableText"/>
              <w:jc w:val="center"/>
              <w:rPr>
                <w:sz w:val="20"/>
              </w:rPr>
            </w:pPr>
            <w:r>
              <w:rPr>
                <w:sz w:val="20"/>
              </w:rPr>
              <w:t>8</w:t>
            </w:r>
            <w:r>
              <w:rPr>
                <w:position w:val="4"/>
                <w:sz w:val="20"/>
              </w:rPr>
              <w:t>1</w:t>
            </w:r>
            <w:r>
              <w:rPr>
                <w:sz w:val="20"/>
              </w:rPr>
              <w:t>/2</w:t>
            </w:r>
          </w:p>
        </w:tc>
        <w:tc>
          <w:tcPr>
            <w:tcW w:w="780" w:type="dxa"/>
            <w:gridSpan w:val="3"/>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6</w:t>
            </w:r>
            <w:r>
              <w:rPr>
                <w:position w:val="4"/>
                <w:sz w:val="20"/>
              </w:rPr>
              <w:t>1</w:t>
            </w:r>
            <w:r>
              <w:rPr>
                <w:sz w:val="20"/>
              </w:rPr>
              <w:t>/2</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4</w:t>
            </w:r>
            <w:r>
              <w:rPr>
                <w:position w:val="4"/>
                <w:sz w:val="20"/>
              </w:rPr>
              <w:t>1</w:t>
            </w:r>
            <w:r>
              <w:rPr>
                <w:sz w:val="20"/>
              </w:rPr>
              <w:t>/2</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2</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948" w:type="dxa"/>
            <w:gridSpan w:val="3"/>
            <w:tcBorders>
              <w:right w:val="single" w:sz="6" w:space="0" w:color="auto"/>
            </w:tcBorders>
          </w:tcPr>
          <w:p w:rsidR="00B40966" w:rsidRDefault="00B40966">
            <w:pPr>
              <w:pStyle w:val="TableText"/>
              <w:jc w:val="center"/>
              <w:rPr>
                <w:sz w:val="20"/>
              </w:rPr>
            </w:pPr>
            <w:r>
              <w:rPr>
                <w:position w:val="4"/>
                <w:sz w:val="20"/>
              </w:rPr>
              <w:t>9</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6</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692" w:type="dxa"/>
          </w:tcPr>
          <w:p w:rsidR="00B40966" w:rsidRDefault="00B40966">
            <w:pPr>
              <w:pStyle w:val="TableText"/>
              <w:jc w:val="center"/>
              <w:rPr>
                <w:sz w:val="20"/>
              </w:rPr>
            </w:pPr>
            <w:r>
              <w:rPr>
                <w:sz w:val="20"/>
              </w:rPr>
              <w:t>11</w:t>
            </w:r>
            <w:r>
              <w:rPr>
                <w:position w:val="4"/>
                <w:sz w:val="20"/>
              </w:rPr>
              <w:t>1</w:t>
            </w:r>
            <w:r>
              <w:rPr>
                <w:sz w:val="20"/>
              </w:rPr>
              <w:t>/2</w:t>
            </w:r>
          </w:p>
        </w:tc>
        <w:tc>
          <w:tcPr>
            <w:tcW w:w="780" w:type="dxa"/>
            <w:gridSpan w:val="3"/>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10</w:t>
            </w:r>
            <w:r>
              <w:rPr>
                <w:position w:val="4"/>
                <w:sz w:val="20"/>
              </w:rPr>
              <w:t>1</w:t>
            </w:r>
            <w:r>
              <w:rPr>
                <w:sz w:val="20"/>
              </w:rPr>
              <w:t>/2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8</w:t>
            </w:r>
            <w:r>
              <w:rPr>
                <w:position w:val="4"/>
                <w:sz w:val="20"/>
              </w:rPr>
              <w:t>1</w:t>
            </w:r>
            <w:r>
              <w:rPr>
                <w:sz w:val="20"/>
              </w:rPr>
              <w:t>/2</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6</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3</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8</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692" w:type="dxa"/>
          </w:tcPr>
          <w:p w:rsidR="00B40966" w:rsidRDefault="00B40966">
            <w:pPr>
              <w:pStyle w:val="TableText"/>
              <w:jc w:val="center"/>
              <w:rPr>
                <w:sz w:val="20"/>
              </w:rPr>
            </w:pPr>
            <w:r>
              <w:rPr>
                <w:sz w:val="20"/>
              </w:rPr>
              <w:t>15</w:t>
            </w:r>
            <w:r>
              <w:rPr>
                <w:position w:val="4"/>
                <w:sz w:val="20"/>
              </w:rPr>
              <w:t>1</w:t>
            </w:r>
            <w:r>
              <w:rPr>
                <w:sz w:val="20"/>
              </w:rPr>
              <w:t>/2</w:t>
            </w:r>
          </w:p>
        </w:tc>
        <w:tc>
          <w:tcPr>
            <w:tcW w:w="780" w:type="dxa"/>
            <w:gridSpan w:val="3"/>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14</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11</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8</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692" w:type="dxa"/>
          </w:tcPr>
          <w:p w:rsidR="00B40966" w:rsidRDefault="00B40966">
            <w:pPr>
              <w:pStyle w:val="TableText"/>
              <w:jc w:val="center"/>
              <w:rPr>
                <w:sz w:val="20"/>
              </w:rPr>
            </w:pPr>
            <w:r>
              <w:rPr>
                <w:sz w:val="20"/>
              </w:rPr>
              <w:t>18</w:t>
            </w:r>
            <w:r>
              <w:rPr>
                <w:position w:val="4"/>
                <w:sz w:val="20"/>
              </w:rPr>
              <w:t>1</w:t>
            </w:r>
            <w:r>
              <w:rPr>
                <w:sz w:val="20"/>
              </w:rPr>
              <w:t>/2</w:t>
            </w:r>
          </w:p>
        </w:tc>
        <w:tc>
          <w:tcPr>
            <w:tcW w:w="780" w:type="dxa"/>
            <w:gridSpan w:val="3"/>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13</w:t>
            </w:r>
            <w:r>
              <w:rPr>
                <w:position w:val="4"/>
                <w:sz w:val="20"/>
              </w:rPr>
              <w:t>1</w:t>
            </w:r>
            <w:r>
              <w:rPr>
                <w:sz w:val="20"/>
              </w:rPr>
              <w:t>/2</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9</w:t>
            </w:r>
            <w:r>
              <w:rPr>
                <w:position w:val="4"/>
                <w:sz w:val="20"/>
              </w:rPr>
              <w:t>1</w:t>
            </w:r>
            <w:r>
              <w:rPr>
                <w:sz w:val="20"/>
              </w:rPr>
              <w:t>/2</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5</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12</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692" w:type="dxa"/>
          </w:tcPr>
          <w:p w:rsidR="00B40966" w:rsidRDefault="00B40966">
            <w:pPr>
              <w:pStyle w:val="TableText"/>
              <w:jc w:val="center"/>
              <w:rPr>
                <w:sz w:val="20"/>
              </w:rPr>
            </w:pPr>
            <w:r>
              <w:rPr>
                <w:sz w:val="20"/>
              </w:rPr>
              <w:t>3</w:t>
            </w:r>
          </w:p>
        </w:tc>
        <w:tc>
          <w:tcPr>
            <w:tcW w:w="780" w:type="dxa"/>
            <w:gridSpan w:val="3"/>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17</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12</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6</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14</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692" w:type="dxa"/>
          </w:tcPr>
          <w:p w:rsidR="00B40966" w:rsidRDefault="00B40966">
            <w:pPr>
              <w:pStyle w:val="TableText"/>
              <w:jc w:val="center"/>
              <w:rPr>
                <w:sz w:val="20"/>
              </w:rPr>
            </w:pPr>
            <w:r>
              <w:rPr>
                <w:sz w:val="20"/>
              </w:rPr>
              <w:t>7</w:t>
            </w:r>
          </w:p>
        </w:tc>
        <w:tc>
          <w:tcPr>
            <w:tcW w:w="780" w:type="dxa"/>
            <w:gridSpan w:val="3"/>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4</w:t>
            </w:r>
          </w:p>
        </w:tc>
        <w:tc>
          <w:tcPr>
            <w:tcW w:w="768" w:type="dxa"/>
            <w:tcBorders>
              <w:left w:val="single" w:sz="6" w:space="0" w:color="auto"/>
            </w:tcBorders>
          </w:tcPr>
          <w:p w:rsidR="00B40966" w:rsidRDefault="00B40966">
            <w:pPr>
              <w:pStyle w:val="TableText"/>
              <w:jc w:val="center"/>
              <w:rPr>
                <w:sz w:val="20"/>
              </w:rPr>
            </w:pPr>
            <w:r>
              <w:rPr>
                <w:sz w:val="20"/>
              </w:rPr>
              <w:t>0</w:t>
            </w:r>
          </w:p>
        </w:tc>
        <w:tc>
          <w:tcPr>
            <w:tcW w:w="780" w:type="dxa"/>
          </w:tcPr>
          <w:p w:rsidR="00B40966" w:rsidRDefault="00B40966">
            <w:pPr>
              <w:pStyle w:val="TableText"/>
              <w:jc w:val="center"/>
              <w:rPr>
                <w:sz w:val="20"/>
              </w:rPr>
            </w:pPr>
            <w:r>
              <w:rPr>
                <w:sz w:val="20"/>
              </w:rPr>
              <w:t>19</w:t>
            </w:r>
            <w:r>
              <w:rPr>
                <w:position w:val="4"/>
                <w:sz w:val="20"/>
              </w:rPr>
              <w:t>1</w:t>
            </w:r>
            <w:r>
              <w:rPr>
                <w:sz w:val="20"/>
              </w:rPr>
              <w:t>/2</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14</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7</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17</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692" w:type="dxa"/>
          </w:tcPr>
          <w:p w:rsidR="00B40966" w:rsidRDefault="00B40966">
            <w:pPr>
              <w:pStyle w:val="TableText"/>
              <w:jc w:val="center"/>
              <w:rPr>
                <w:sz w:val="20"/>
              </w:rPr>
            </w:pPr>
            <w:r>
              <w:rPr>
                <w:sz w:val="20"/>
              </w:rPr>
              <w:t>13</w:t>
            </w:r>
          </w:p>
        </w:tc>
        <w:tc>
          <w:tcPr>
            <w:tcW w:w="780" w:type="dxa"/>
            <w:gridSpan w:val="3"/>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9</w:t>
            </w:r>
          </w:p>
        </w:tc>
        <w:tc>
          <w:tcPr>
            <w:tcW w:w="768" w:type="dxa"/>
            <w:tcBorders>
              <w:left w:val="single" w:sz="6" w:space="0" w:color="auto"/>
            </w:tcBorders>
          </w:tcPr>
          <w:p w:rsidR="00B40966" w:rsidRDefault="00B40966">
            <w:pPr>
              <w:pStyle w:val="TableText"/>
              <w:jc w:val="center"/>
              <w:rPr>
                <w:sz w:val="20"/>
              </w:rPr>
            </w:pPr>
            <w:r>
              <w:rPr>
                <w:sz w:val="20"/>
              </w:rPr>
              <w:t>1</w:t>
            </w:r>
          </w:p>
        </w:tc>
        <w:tc>
          <w:tcPr>
            <w:tcW w:w="780" w:type="dxa"/>
          </w:tcPr>
          <w:p w:rsidR="00B40966" w:rsidRDefault="00B40966">
            <w:pPr>
              <w:pStyle w:val="TableText"/>
              <w:jc w:val="center"/>
              <w:rPr>
                <w:sz w:val="20"/>
              </w:rPr>
            </w:pPr>
            <w:r>
              <w:rPr>
                <w:sz w:val="20"/>
              </w:rPr>
              <w:t>4</w:t>
            </w:r>
          </w:p>
        </w:tc>
        <w:tc>
          <w:tcPr>
            <w:tcW w:w="766" w:type="dxa"/>
            <w:tcBorders>
              <w:left w:val="single" w:sz="6" w:space="0" w:color="auto"/>
            </w:tcBorders>
          </w:tcPr>
          <w:p w:rsidR="00B40966" w:rsidRDefault="00B40966">
            <w:pPr>
              <w:pStyle w:val="TableText"/>
              <w:jc w:val="center"/>
              <w:rPr>
                <w:sz w:val="20"/>
              </w:rPr>
            </w:pPr>
            <w:r>
              <w:rPr>
                <w:sz w:val="20"/>
              </w:rPr>
              <w:t>0</w:t>
            </w:r>
          </w:p>
        </w:tc>
        <w:tc>
          <w:tcPr>
            <w:tcW w:w="734" w:type="dxa"/>
            <w:tcBorders>
              <w:right w:val="single" w:sz="6" w:space="0" w:color="auto"/>
            </w:tcBorders>
          </w:tcPr>
          <w:p w:rsidR="00B40966" w:rsidRDefault="00B40966">
            <w:pPr>
              <w:pStyle w:val="TableText"/>
              <w:jc w:val="center"/>
              <w:rPr>
                <w:sz w:val="20"/>
              </w:rPr>
            </w:pPr>
            <w:r>
              <w:rPr>
                <w:sz w:val="20"/>
              </w:rPr>
              <w:t>17</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8</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0</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692" w:type="dxa"/>
          </w:tcPr>
          <w:p w:rsidR="00B40966" w:rsidRDefault="00B40966">
            <w:pPr>
              <w:pStyle w:val="TableText"/>
              <w:jc w:val="center"/>
              <w:rPr>
                <w:sz w:val="20"/>
              </w:rPr>
            </w:pPr>
            <w:r>
              <w:rPr>
                <w:sz w:val="20"/>
              </w:rPr>
              <w:t>19</w:t>
            </w:r>
          </w:p>
        </w:tc>
        <w:tc>
          <w:tcPr>
            <w:tcW w:w="780" w:type="dxa"/>
            <w:gridSpan w:val="3"/>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15</w:t>
            </w:r>
          </w:p>
        </w:tc>
        <w:tc>
          <w:tcPr>
            <w:tcW w:w="768" w:type="dxa"/>
            <w:tcBorders>
              <w:left w:val="single" w:sz="6" w:space="0" w:color="auto"/>
            </w:tcBorders>
          </w:tcPr>
          <w:p w:rsidR="00B40966" w:rsidRDefault="00B40966">
            <w:pPr>
              <w:pStyle w:val="TableText"/>
              <w:jc w:val="center"/>
              <w:rPr>
                <w:sz w:val="20"/>
              </w:rPr>
            </w:pPr>
            <w:r>
              <w:rPr>
                <w:sz w:val="20"/>
              </w:rPr>
              <w:t>1</w:t>
            </w:r>
          </w:p>
        </w:tc>
        <w:tc>
          <w:tcPr>
            <w:tcW w:w="780" w:type="dxa"/>
          </w:tcPr>
          <w:p w:rsidR="00B40966" w:rsidRDefault="00B40966">
            <w:pPr>
              <w:pStyle w:val="TableText"/>
              <w:jc w:val="center"/>
              <w:rPr>
                <w:sz w:val="20"/>
              </w:rPr>
            </w:pPr>
            <w:r>
              <w:rPr>
                <w:sz w:val="20"/>
              </w:rPr>
              <w:t>8</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0</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10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3</w:t>
            </w:r>
          </w:p>
        </w:tc>
        <w:tc>
          <w:tcPr>
            <w:tcW w:w="600" w:type="dxa"/>
            <w:gridSpan w:val="2"/>
            <w:tcBorders>
              <w:left w:val="single" w:sz="6" w:space="0" w:color="auto"/>
            </w:tcBorders>
          </w:tcPr>
          <w:p w:rsidR="00B40966" w:rsidRDefault="00B40966">
            <w:pPr>
              <w:pStyle w:val="TableText"/>
              <w:jc w:val="center"/>
              <w:rPr>
                <w:sz w:val="20"/>
              </w:rPr>
            </w:pPr>
            <w:r>
              <w:rPr>
                <w:sz w:val="20"/>
              </w:rPr>
              <w:t>2</w:t>
            </w:r>
          </w:p>
        </w:tc>
        <w:tc>
          <w:tcPr>
            <w:tcW w:w="692" w:type="dxa"/>
          </w:tcPr>
          <w:p w:rsidR="00B40966" w:rsidRDefault="00B40966">
            <w:pPr>
              <w:pStyle w:val="TableText"/>
              <w:jc w:val="center"/>
              <w:rPr>
                <w:sz w:val="20"/>
              </w:rPr>
            </w:pPr>
            <w:r>
              <w:rPr>
                <w:sz w:val="20"/>
              </w:rPr>
              <w:t>4</w:t>
            </w:r>
          </w:p>
        </w:tc>
        <w:tc>
          <w:tcPr>
            <w:tcW w:w="780" w:type="dxa"/>
            <w:gridSpan w:val="3"/>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0</w:t>
            </w:r>
          </w:p>
        </w:tc>
        <w:tc>
          <w:tcPr>
            <w:tcW w:w="768" w:type="dxa"/>
            <w:tcBorders>
              <w:left w:val="single" w:sz="6" w:space="0" w:color="auto"/>
            </w:tcBorders>
          </w:tcPr>
          <w:p w:rsidR="00B40966" w:rsidRDefault="00B40966">
            <w:pPr>
              <w:pStyle w:val="TableText"/>
              <w:jc w:val="center"/>
              <w:rPr>
                <w:sz w:val="20"/>
              </w:rPr>
            </w:pPr>
            <w:r>
              <w:rPr>
                <w:sz w:val="20"/>
              </w:rPr>
              <w:t>1</w:t>
            </w:r>
          </w:p>
        </w:tc>
        <w:tc>
          <w:tcPr>
            <w:tcW w:w="780" w:type="dxa"/>
          </w:tcPr>
          <w:p w:rsidR="00B40966" w:rsidRDefault="00B40966">
            <w:pPr>
              <w:pStyle w:val="TableText"/>
              <w:jc w:val="center"/>
              <w:rPr>
                <w:sz w:val="20"/>
              </w:rPr>
            </w:pPr>
            <w:r>
              <w:rPr>
                <w:sz w:val="20"/>
              </w:rPr>
              <w:t>12</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3</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12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7</w:t>
            </w:r>
          </w:p>
        </w:tc>
        <w:tc>
          <w:tcPr>
            <w:tcW w:w="600" w:type="dxa"/>
            <w:gridSpan w:val="2"/>
            <w:tcBorders>
              <w:left w:val="single" w:sz="6" w:space="0" w:color="auto"/>
            </w:tcBorders>
          </w:tcPr>
          <w:p w:rsidR="00B40966" w:rsidRDefault="00B40966">
            <w:pPr>
              <w:pStyle w:val="TableText"/>
              <w:jc w:val="center"/>
              <w:rPr>
                <w:sz w:val="20"/>
              </w:rPr>
            </w:pPr>
            <w:r>
              <w:rPr>
                <w:sz w:val="20"/>
              </w:rPr>
              <w:t>2</w:t>
            </w:r>
          </w:p>
        </w:tc>
        <w:tc>
          <w:tcPr>
            <w:tcW w:w="692" w:type="dxa"/>
          </w:tcPr>
          <w:p w:rsidR="00B40966" w:rsidRDefault="00B40966">
            <w:pPr>
              <w:pStyle w:val="TableText"/>
              <w:jc w:val="center"/>
              <w:rPr>
                <w:sz w:val="20"/>
              </w:rPr>
            </w:pPr>
            <w:r>
              <w:rPr>
                <w:sz w:val="20"/>
              </w:rPr>
              <w:t>12</w:t>
            </w:r>
          </w:p>
        </w:tc>
        <w:tc>
          <w:tcPr>
            <w:tcW w:w="780" w:type="dxa"/>
            <w:gridSpan w:val="3"/>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1</w:t>
            </w:r>
          </w:p>
        </w:tc>
        <w:tc>
          <w:tcPr>
            <w:tcW w:w="780" w:type="dxa"/>
          </w:tcPr>
          <w:p w:rsidR="00B40966" w:rsidRDefault="00B40966">
            <w:pPr>
              <w:pStyle w:val="TableText"/>
              <w:jc w:val="center"/>
              <w:rPr>
                <w:sz w:val="20"/>
              </w:rPr>
            </w:pPr>
            <w:r>
              <w:rPr>
                <w:sz w:val="20"/>
              </w:rPr>
              <w:t>18</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7</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14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p>
        </w:tc>
        <w:tc>
          <w:tcPr>
            <w:tcW w:w="948" w:type="dxa"/>
            <w:gridSpan w:val="3"/>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11</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692" w:type="dxa"/>
          </w:tcPr>
          <w:p w:rsidR="00B40966" w:rsidRDefault="00B40966">
            <w:pPr>
              <w:pStyle w:val="TableText"/>
              <w:jc w:val="center"/>
              <w:rPr>
                <w:sz w:val="20"/>
              </w:rPr>
            </w:pPr>
            <w:r>
              <w:rPr>
                <w:sz w:val="20"/>
              </w:rPr>
              <w:t>0</w:t>
            </w:r>
          </w:p>
        </w:tc>
        <w:tc>
          <w:tcPr>
            <w:tcW w:w="780" w:type="dxa"/>
            <w:gridSpan w:val="3"/>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14</w:t>
            </w:r>
          </w:p>
        </w:tc>
        <w:tc>
          <w:tcPr>
            <w:tcW w:w="768" w:type="dxa"/>
            <w:tcBorders>
              <w:left w:val="single" w:sz="6" w:space="0" w:color="auto"/>
            </w:tcBorders>
          </w:tcPr>
          <w:p w:rsidR="00B40966" w:rsidRDefault="00B40966">
            <w:pPr>
              <w:pStyle w:val="TableText"/>
              <w:jc w:val="center"/>
              <w:rPr>
                <w:sz w:val="20"/>
              </w:rPr>
            </w:pPr>
            <w:r>
              <w:rPr>
                <w:sz w:val="20"/>
              </w:rPr>
              <w:t>2</w:t>
            </w:r>
          </w:p>
        </w:tc>
        <w:tc>
          <w:tcPr>
            <w:tcW w:w="780" w:type="dxa"/>
          </w:tcPr>
          <w:p w:rsidR="00B40966" w:rsidRDefault="00B40966">
            <w:pPr>
              <w:pStyle w:val="TableText"/>
              <w:jc w:val="center"/>
              <w:rPr>
                <w:sz w:val="20"/>
              </w:rPr>
            </w:pPr>
            <w:r>
              <w:rPr>
                <w:sz w:val="20"/>
              </w:rPr>
              <w:t>4</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11</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16</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48" w:type="dxa"/>
            <w:gridSpan w:val="3"/>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15</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692" w:type="dxa"/>
          </w:tcPr>
          <w:p w:rsidR="00B40966" w:rsidRDefault="00B40966">
            <w:pPr>
              <w:pStyle w:val="TableText"/>
              <w:jc w:val="center"/>
              <w:rPr>
                <w:sz w:val="20"/>
              </w:rPr>
            </w:pPr>
            <w:r>
              <w:rPr>
                <w:sz w:val="20"/>
              </w:rPr>
              <w:t>7</w:t>
            </w:r>
          </w:p>
        </w:tc>
        <w:tc>
          <w:tcPr>
            <w:tcW w:w="780" w:type="dxa"/>
            <w:gridSpan w:val="3"/>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0</w:t>
            </w:r>
          </w:p>
        </w:tc>
        <w:tc>
          <w:tcPr>
            <w:tcW w:w="768" w:type="dxa"/>
            <w:tcBorders>
              <w:left w:val="single" w:sz="6" w:space="0" w:color="auto"/>
            </w:tcBorders>
          </w:tcPr>
          <w:p w:rsidR="00B40966" w:rsidRDefault="00B40966">
            <w:pPr>
              <w:pStyle w:val="TableText"/>
              <w:jc w:val="center"/>
              <w:rPr>
                <w:sz w:val="20"/>
              </w:rPr>
            </w:pPr>
            <w:r>
              <w:rPr>
                <w:sz w:val="20"/>
              </w:rPr>
              <w:t>2</w:t>
            </w:r>
          </w:p>
        </w:tc>
        <w:tc>
          <w:tcPr>
            <w:tcW w:w="780" w:type="dxa"/>
          </w:tcPr>
          <w:p w:rsidR="00B40966" w:rsidRDefault="00B40966">
            <w:pPr>
              <w:pStyle w:val="TableText"/>
              <w:jc w:val="center"/>
              <w:rPr>
                <w:sz w:val="20"/>
              </w:rPr>
            </w:pPr>
            <w:r>
              <w:rPr>
                <w:sz w:val="20"/>
              </w:rPr>
              <w:t>9</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15</w:t>
            </w:r>
          </w:p>
        </w:tc>
        <w:tc>
          <w:tcPr>
            <w:tcW w:w="826" w:type="dxa"/>
          </w:tcPr>
          <w:p w:rsidR="00B40966" w:rsidRDefault="00B40966">
            <w:pPr>
              <w:pStyle w:val="TableText"/>
              <w:jc w:val="center"/>
              <w:rPr>
                <w:sz w:val="20"/>
              </w:rPr>
            </w:pPr>
            <w:r>
              <w:rPr>
                <w:sz w:val="20"/>
              </w:rPr>
              <w:t>0</w:t>
            </w:r>
          </w:p>
        </w:tc>
        <w:tc>
          <w:tcPr>
            <w:tcW w:w="650" w:type="dxa"/>
          </w:tcPr>
          <w:p w:rsidR="00B40966" w:rsidRDefault="00B40966">
            <w:pPr>
              <w:pStyle w:val="TableText"/>
              <w:jc w:val="center"/>
              <w:rPr>
                <w:sz w:val="20"/>
              </w:rPr>
            </w:pPr>
            <w:r>
              <w:rPr>
                <w:sz w:val="20"/>
              </w:rPr>
              <w:t>18</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48" w:type="dxa"/>
            <w:gridSpan w:val="3"/>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19</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692" w:type="dxa"/>
          </w:tcPr>
          <w:p w:rsidR="00B40966" w:rsidRDefault="00B40966">
            <w:pPr>
              <w:pStyle w:val="TableText"/>
              <w:jc w:val="center"/>
              <w:rPr>
                <w:sz w:val="20"/>
              </w:rPr>
            </w:pPr>
            <w:r>
              <w:rPr>
                <w:sz w:val="20"/>
              </w:rPr>
              <w:t>15</w:t>
            </w:r>
          </w:p>
        </w:tc>
        <w:tc>
          <w:tcPr>
            <w:tcW w:w="780" w:type="dxa"/>
            <w:gridSpan w:val="3"/>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2</w:t>
            </w:r>
          </w:p>
        </w:tc>
        <w:tc>
          <w:tcPr>
            <w:tcW w:w="780" w:type="dxa"/>
          </w:tcPr>
          <w:p w:rsidR="00B40966" w:rsidRDefault="00B40966">
            <w:pPr>
              <w:pStyle w:val="TableText"/>
              <w:jc w:val="center"/>
              <w:rPr>
                <w:sz w:val="20"/>
              </w:rPr>
            </w:pPr>
            <w:r>
              <w:rPr>
                <w:sz w:val="20"/>
              </w:rPr>
              <w:t>15</w:t>
            </w:r>
          </w:p>
        </w:tc>
        <w:tc>
          <w:tcPr>
            <w:tcW w:w="766" w:type="dxa"/>
            <w:tcBorders>
              <w:left w:val="single" w:sz="6" w:space="0" w:color="auto"/>
            </w:tcBorders>
          </w:tcPr>
          <w:p w:rsidR="00B40966" w:rsidRDefault="00B40966">
            <w:pPr>
              <w:pStyle w:val="TableText"/>
              <w:jc w:val="center"/>
              <w:rPr>
                <w:sz w:val="20"/>
              </w:rPr>
            </w:pPr>
            <w:r>
              <w:rPr>
                <w:sz w:val="20"/>
              </w:rPr>
              <w:t>1</w:t>
            </w:r>
          </w:p>
        </w:tc>
        <w:tc>
          <w:tcPr>
            <w:tcW w:w="734" w:type="dxa"/>
            <w:tcBorders>
              <w:right w:val="single" w:sz="6" w:space="0" w:color="auto"/>
            </w:tcBorders>
          </w:tcPr>
          <w:p w:rsidR="00B40966" w:rsidRDefault="00B40966">
            <w:pPr>
              <w:pStyle w:val="TableText"/>
              <w:jc w:val="center"/>
              <w:rPr>
                <w:sz w:val="20"/>
              </w:rPr>
            </w:pPr>
            <w:r>
              <w:rPr>
                <w:sz w:val="20"/>
              </w:rPr>
              <w:t>19</w:t>
            </w:r>
          </w:p>
        </w:tc>
        <w:tc>
          <w:tcPr>
            <w:tcW w:w="826" w:type="dxa"/>
          </w:tcPr>
          <w:p w:rsidR="00B40966" w:rsidRDefault="00B40966">
            <w:pPr>
              <w:pStyle w:val="TableText"/>
              <w:jc w:val="center"/>
              <w:rPr>
                <w:sz w:val="20"/>
              </w:rPr>
            </w:pPr>
            <w:r>
              <w:rPr>
                <w:sz w:val="20"/>
              </w:rPr>
              <w:t>1</w:t>
            </w:r>
          </w:p>
        </w:tc>
        <w:tc>
          <w:tcPr>
            <w:tcW w:w="650" w:type="dxa"/>
          </w:tcPr>
          <w:p w:rsidR="00B40966" w:rsidRDefault="00B40966">
            <w:pPr>
              <w:pStyle w:val="TableText"/>
              <w:jc w:val="center"/>
              <w:rPr>
                <w:sz w:val="20"/>
              </w:rPr>
            </w:pPr>
            <w:r>
              <w:rPr>
                <w:sz w:val="20"/>
              </w:rPr>
              <w:t>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48" w:type="dxa"/>
            <w:gridSpan w:val="3"/>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4</w:t>
            </w:r>
          </w:p>
        </w:tc>
        <w:tc>
          <w:tcPr>
            <w:tcW w:w="600" w:type="dxa"/>
            <w:gridSpan w:val="2"/>
            <w:tcBorders>
              <w:left w:val="single" w:sz="6" w:space="0" w:color="auto"/>
            </w:tcBorders>
          </w:tcPr>
          <w:p w:rsidR="00B40966" w:rsidRDefault="00B40966">
            <w:pPr>
              <w:pStyle w:val="TableText"/>
              <w:jc w:val="center"/>
              <w:rPr>
                <w:sz w:val="20"/>
              </w:rPr>
            </w:pPr>
            <w:r>
              <w:rPr>
                <w:sz w:val="20"/>
              </w:rPr>
              <w:t>4</w:t>
            </w:r>
          </w:p>
        </w:tc>
        <w:tc>
          <w:tcPr>
            <w:tcW w:w="692" w:type="dxa"/>
          </w:tcPr>
          <w:p w:rsidR="00B40966" w:rsidRDefault="00B40966">
            <w:pPr>
              <w:pStyle w:val="TableText"/>
              <w:jc w:val="center"/>
              <w:rPr>
                <w:sz w:val="20"/>
              </w:rPr>
            </w:pPr>
            <w:r>
              <w:rPr>
                <w:sz w:val="20"/>
              </w:rPr>
              <w:t>5</w:t>
            </w:r>
          </w:p>
        </w:tc>
        <w:tc>
          <w:tcPr>
            <w:tcW w:w="780" w:type="dxa"/>
            <w:gridSpan w:val="3"/>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16</w:t>
            </w:r>
          </w:p>
        </w:tc>
        <w:tc>
          <w:tcPr>
            <w:tcW w:w="768" w:type="dxa"/>
            <w:tcBorders>
              <w:left w:val="single" w:sz="6" w:space="0" w:color="auto"/>
            </w:tcBorders>
          </w:tcPr>
          <w:p w:rsidR="00B40966" w:rsidRDefault="00B40966">
            <w:pPr>
              <w:pStyle w:val="TableText"/>
              <w:jc w:val="center"/>
              <w:rPr>
                <w:sz w:val="20"/>
              </w:rPr>
            </w:pPr>
            <w:r>
              <w:rPr>
                <w:sz w:val="20"/>
              </w:rPr>
              <w:t>3</w:t>
            </w:r>
          </w:p>
        </w:tc>
        <w:tc>
          <w:tcPr>
            <w:tcW w:w="780" w:type="dxa"/>
          </w:tcPr>
          <w:p w:rsidR="00B40966" w:rsidRDefault="00B40966">
            <w:pPr>
              <w:pStyle w:val="TableText"/>
              <w:jc w:val="center"/>
              <w:rPr>
                <w:sz w:val="20"/>
              </w:rPr>
            </w:pPr>
            <w:r>
              <w:rPr>
                <w:sz w:val="20"/>
              </w:rPr>
              <w:t>2</w:t>
            </w:r>
          </w:p>
        </w:tc>
        <w:tc>
          <w:tcPr>
            <w:tcW w:w="766" w:type="dxa"/>
            <w:tcBorders>
              <w:left w:val="single" w:sz="6" w:space="0" w:color="auto"/>
            </w:tcBorders>
          </w:tcPr>
          <w:p w:rsidR="00B40966" w:rsidRDefault="00B40966">
            <w:pPr>
              <w:pStyle w:val="TableText"/>
              <w:jc w:val="center"/>
              <w:rPr>
                <w:sz w:val="20"/>
              </w:rPr>
            </w:pPr>
            <w:r>
              <w:rPr>
                <w:sz w:val="20"/>
              </w:rPr>
              <w:t>2</w:t>
            </w:r>
          </w:p>
        </w:tc>
        <w:tc>
          <w:tcPr>
            <w:tcW w:w="734" w:type="dxa"/>
            <w:tcBorders>
              <w:right w:val="single" w:sz="6" w:space="0" w:color="auto"/>
            </w:tcBorders>
          </w:tcPr>
          <w:p w:rsidR="00B40966" w:rsidRDefault="00B40966">
            <w:pPr>
              <w:pStyle w:val="TableText"/>
              <w:jc w:val="center"/>
              <w:rPr>
                <w:sz w:val="20"/>
              </w:rPr>
            </w:pPr>
            <w:r>
              <w:rPr>
                <w:sz w:val="20"/>
              </w:rPr>
              <w:t>4</w:t>
            </w:r>
          </w:p>
        </w:tc>
        <w:tc>
          <w:tcPr>
            <w:tcW w:w="826" w:type="dxa"/>
          </w:tcPr>
          <w:p w:rsidR="00B40966" w:rsidRDefault="00B40966">
            <w:pPr>
              <w:pStyle w:val="TableText"/>
              <w:jc w:val="center"/>
              <w:rPr>
                <w:sz w:val="20"/>
              </w:rPr>
            </w:pPr>
            <w:r>
              <w:rPr>
                <w:sz w:val="20"/>
              </w:rPr>
              <w:t>1</w:t>
            </w:r>
          </w:p>
        </w:tc>
        <w:tc>
          <w:tcPr>
            <w:tcW w:w="650" w:type="dxa"/>
          </w:tcPr>
          <w:p w:rsidR="00B40966" w:rsidRDefault="00B40966">
            <w:pPr>
              <w:pStyle w:val="TableText"/>
              <w:jc w:val="center"/>
              <w:rPr>
                <w:sz w:val="20"/>
              </w:rPr>
            </w:pPr>
            <w:r>
              <w:rPr>
                <w:sz w:val="20"/>
              </w:rPr>
              <w:t>3</w:t>
            </w:r>
          </w:p>
        </w:tc>
      </w:tr>
      <w:tr w:rsidR="00B40966">
        <w:trPr>
          <w:cantSplit/>
          <w:trHeight w:val="200"/>
        </w:trPr>
        <w:tc>
          <w:tcPr>
            <w:tcW w:w="968" w:type="dxa"/>
          </w:tcPr>
          <w:p w:rsidR="00B40966" w:rsidRDefault="00B40966">
            <w:pPr>
              <w:pStyle w:val="TableText"/>
              <w:jc w:val="center"/>
              <w:rPr>
                <w:sz w:val="20"/>
              </w:rPr>
            </w:pPr>
            <w:r>
              <w:rPr>
                <w:sz w:val="20"/>
              </w:rPr>
              <w:t>2</w:t>
            </w:r>
            <w:r>
              <w:rPr>
                <w:position w:val="4"/>
                <w:sz w:val="20"/>
              </w:rPr>
              <w:t>1</w:t>
            </w:r>
            <w:r>
              <w:rPr>
                <w:sz w:val="20"/>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7</w:t>
            </w:r>
          </w:p>
        </w:tc>
        <w:tc>
          <w:tcPr>
            <w:tcW w:w="600" w:type="dxa"/>
            <w:gridSpan w:val="2"/>
            <w:tcBorders>
              <w:left w:val="single" w:sz="6" w:space="0" w:color="auto"/>
            </w:tcBorders>
          </w:tcPr>
          <w:p w:rsidR="00B40966" w:rsidRDefault="00B40966">
            <w:pPr>
              <w:pStyle w:val="TableText"/>
              <w:jc w:val="center"/>
              <w:rPr>
                <w:sz w:val="20"/>
              </w:rPr>
            </w:pPr>
            <w:r>
              <w:rPr>
                <w:sz w:val="20"/>
              </w:rPr>
              <w:t>4</w:t>
            </w:r>
          </w:p>
        </w:tc>
        <w:tc>
          <w:tcPr>
            <w:tcW w:w="692" w:type="dxa"/>
          </w:tcPr>
          <w:p w:rsidR="00B40966" w:rsidRDefault="00B40966">
            <w:pPr>
              <w:pStyle w:val="TableText"/>
              <w:jc w:val="center"/>
              <w:rPr>
                <w:sz w:val="20"/>
              </w:rPr>
            </w:pPr>
            <w:r>
              <w:rPr>
                <w:sz w:val="20"/>
              </w:rPr>
              <w:t>11</w:t>
            </w:r>
          </w:p>
        </w:tc>
        <w:tc>
          <w:tcPr>
            <w:tcW w:w="780" w:type="dxa"/>
            <w:gridSpan w:val="3"/>
            <w:tcBorders>
              <w:left w:val="single" w:sz="6" w:space="0" w:color="auto"/>
            </w:tcBorders>
          </w:tcPr>
          <w:p w:rsidR="00B40966" w:rsidRDefault="00B40966">
            <w:pPr>
              <w:pStyle w:val="TableText"/>
              <w:jc w:val="center"/>
              <w:rPr>
                <w:sz w:val="20"/>
              </w:rPr>
            </w:pPr>
            <w:r>
              <w:rPr>
                <w:sz w:val="20"/>
              </w:rPr>
              <w:t>4</w:t>
            </w:r>
          </w:p>
        </w:tc>
        <w:tc>
          <w:tcPr>
            <w:tcW w:w="832" w:type="dxa"/>
          </w:tcPr>
          <w:p w:rsidR="00B40966" w:rsidRDefault="00B40966">
            <w:pPr>
              <w:pStyle w:val="TableText"/>
              <w:jc w:val="center"/>
              <w:rPr>
                <w:sz w:val="20"/>
              </w:rPr>
            </w:pPr>
            <w:r>
              <w:rPr>
                <w:sz w:val="20"/>
              </w:rPr>
              <w:t>1</w:t>
            </w:r>
          </w:p>
        </w:tc>
        <w:tc>
          <w:tcPr>
            <w:tcW w:w="768" w:type="dxa"/>
            <w:tcBorders>
              <w:left w:val="single" w:sz="6" w:space="0" w:color="auto"/>
            </w:tcBorders>
          </w:tcPr>
          <w:p w:rsidR="00B40966" w:rsidRDefault="00B40966">
            <w:pPr>
              <w:pStyle w:val="TableText"/>
              <w:jc w:val="center"/>
              <w:rPr>
                <w:sz w:val="20"/>
              </w:rPr>
            </w:pPr>
            <w:r>
              <w:rPr>
                <w:sz w:val="20"/>
              </w:rPr>
              <w:t>3</w:t>
            </w:r>
          </w:p>
        </w:tc>
        <w:tc>
          <w:tcPr>
            <w:tcW w:w="780" w:type="dxa"/>
          </w:tcPr>
          <w:p w:rsidR="00B40966" w:rsidRDefault="00B40966">
            <w:pPr>
              <w:pStyle w:val="TableText"/>
              <w:jc w:val="center"/>
              <w:rPr>
                <w:sz w:val="20"/>
              </w:rPr>
            </w:pPr>
            <w:r>
              <w:rPr>
                <w:sz w:val="20"/>
              </w:rPr>
              <w:t>7</w:t>
            </w:r>
          </w:p>
        </w:tc>
        <w:tc>
          <w:tcPr>
            <w:tcW w:w="766" w:type="dxa"/>
            <w:tcBorders>
              <w:left w:val="single" w:sz="6" w:space="0" w:color="auto"/>
            </w:tcBorders>
          </w:tcPr>
          <w:p w:rsidR="00B40966" w:rsidRDefault="00B40966">
            <w:pPr>
              <w:pStyle w:val="TableText"/>
              <w:jc w:val="center"/>
              <w:rPr>
                <w:sz w:val="20"/>
              </w:rPr>
            </w:pPr>
            <w:r>
              <w:rPr>
                <w:sz w:val="20"/>
              </w:rPr>
              <w:t>2</w:t>
            </w:r>
          </w:p>
        </w:tc>
        <w:tc>
          <w:tcPr>
            <w:tcW w:w="734" w:type="dxa"/>
          </w:tcPr>
          <w:p w:rsidR="00B40966" w:rsidRDefault="00B40966">
            <w:pPr>
              <w:pStyle w:val="TableText"/>
              <w:jc w:val="center"/>
              <w:rPr>
                <w:sz w:val="20"/>
              </w:rPr>
            </w:pPr>
            <w:r>
              <w:rPr>
                <w:sz w:val="20"/>
              </w:rPr>
              <w:t>7</w:t>
            </w:r>
          </w:p>
        </w:tc>
        <w:tc>
          <w:tcPr>
            <w:tcW w:w="826" w:type="dxa"/>
            <w:tcBorders>
              <w:left w:val="single" w:sz="6" w:space="0" w:color="auto"/>
            </w:tcBorders>
          </w:tcPr>
          <w:p w:rsidR="00B40966" w:rsidRDefault="00B40966">
            <w:pPr>
              <w:pStyle w:val="TableText"/>
              <w:jc w:val="center"/>
              <w:rPr>
                <w:sz w:val="20"/>
              </w:rPr>
            </w:pPr>
            <w:r>
              <w:rPr>
                <w:sz w:val="20"/>
              </w:rPr>
              <w:t>1</w:t>
            </w:r>
          </w:p>
        </w:tc>
        <w:tc>
          <w:tcPr>
            <w:tcW w:w="650" w:type="dxa"/>
          </w:tcPr>
          <w:p w:rsidR="00B40966" w:rsidRDefault="00B40966">
            <w:pPr>
              <w:pStyle w:val="TableText"/>
              <w:jc w:val="center"/>
              <w:rPr>
                <w:sz w:val="20"/>
              </w:rPr>
            </w:pPr>
            <w:r>
              <w:rPr>
                <w:sz w:val="20"/>
              </w:rPr>
              <w:t>5</w:t>
            </w:r>
          </w:p>
        </w:tc>
      </w:tr>
      <w:tr w:rsidR="00B40966">
        <w:trPr>
          <w:cantSplit/>
          <w:trHeight w:val="200"/>
        </w:trPr>
        <w:tc>
          <w:tcPr>
            <w:tcW w:w="968" w:type="dxa"/>
          </w:tcPr>
          <w:p w:rsidR="00B40966" w:rsidRDefault="00B40966">
            <w:pPr>
              <w:pStyle w:val="TableText"/>
              <w:jc w:val="center"/>
              <w:rPr>
                <w:sz w:val="20"/>
              </w:rPr>
            </w:pPr>
            <w:r>
              <w:rPr>
                <w:sz w:val="20"/>
              </w:rPr>
              <w:t>2</w:t>
            </w:r>
            <w:r>
              <w:rPr>
                <w:position w:val="4"/>
                <w:sz w:val="20"/>
              </w:rPr>
              <w:t>3</w:t>
            </w:r>
            <w:r>
              <w:rPr>
                <w:sz w:val="20"/>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17</w:t>
            </w:r>
          </w:p>
        </w:tc>
        <w:tc>
          <w:tcPr>
            <w:tcW w:w="600" w:type="dxa"/>
            <w:gridSpan w:val="2"/>
            <w:tcBorders>
              <w:left w:val="single" w:sz="6" w:space="0" w:color="auto"/>
            </w:tcBorders>
          </w:tcPr>
          <w:p w:rsidR="00B40966" w:rsidRDefault="00B40966">
            <w:pPr>
              <w:pStyle w:val="TableText"/>
              <w:jc w:val="center"/>
              <w:rPr>
                <w:sz w:val="20"/>
              </w:rPr>
            </w:pPr>
            <w:r>
              <w:rPr>
                <w:sz w:val="20"/>
              </w:rPr>
              <w:t>5</w:t>
            </w:r>
          </w:p>
        </w:tc>
        <w:tc>
          <w:tcPr>
            <w:tcW w:w="692" w:type="dxa"/>
          </w:tcPr>
          <w:p w:rsidR="00B40966" w:rsidRDefault="00B40966">
            <w:pPr>
              <w:pStyle w:val="TableText"/>
              <w:jc w:val="center"/>
              <w:rPr>
                <w:sz w:val="20"/>
              </w:rPr>
            </w:pPr>
            <w:r>
              <w:rPr>
                <w:sz w:val="20"/>
              </w:rPr>
              <w:t>10</w:t>
            </w:r>
          </w:p>
        </w:tc>
        <w:tc>
          <w:tcPr>
            <w:tcW w:w="780" w:type="dxa"/>
            <w:gridSpan w:val="3"/>
            <w:tcBorders>
              <w:left w:val="single" w:sz="6" w:space="0" w:color="auto"/>
            </w:tcBorders>
          </w:tcPr>
          <w:p w:rsidR="00B40966" w:rsidRDefault="00B40966">
            <w:pPr>
              <w:pStyle w:val="TableText"/>
              <w:jc w:val="center"/>
              <w:rPr>
                <w:sz w:val="20"/>
              </w:rPr>
            </w:pPr>
            <w:r>
              <w:rPr>
                <w:sz w:val="20"/>
              </w:rPr>
              <w:t>4</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4</w:t>
            </w:r>
          </w:p>
        </w:tc>
        <w:tc>
          <w:tcPr>
            <w:tcW w:w="780" w:type="dxa"/>
          </w:tcPr>
          <w:p w:rsidR="00B40966" w:rsidRDefault="00B40966">
            <w:pPr>
              <w:pStyle w:val="TableText"/>
              <w:jc w:val="center"/>
              <w:rPr>
                <w:sz w:val="20"/>
              </w:rPr>
            </w:pPr>
            <w:r>
              <w:rPr>
                <w:sz w:val="20"/>
              </w:rPr>
              <w:t>1</w:t>
            </w:r>
          </w:p>
        </w:tc>
        <w:tc>
          <w:tcPr>
            <w:tcW w:w="766" w:type="dxa"/>
            <w:tcBorders>
              <w:left w:val="single" w:sz="6" w:space="0" w:color="auto"/>
            </w:tcBorders>
          </w:tcPr>
          <w:p w:rsidR="00B40966" w:rsidRDefault="00B40966">
            <w:pPr>
              <w:pStyle w:val="TableText"/>
              <w:jc w:val="center"/>
              <w:rPr>
                <w:sz w:val="20"/>
              </w:rPr>
            </w:pPr>
            <w:r>
              <w:rPr>
                <w:sz w:val="20"/>
              </w:rPr>
              <w:t>2</w:t>
            </w:r>
          </w:p>
        </w:tc>
        <w:tc>
          <w:tcPr>
            <w:tcW w:w="734" w:type="dxa"/>
          </w:tcPr>
          <w:p w:rsidR="00B40966" w:rsidRDefault="00B40966">
            <w:pPr>
              <w:pStyle w:val="TableText"/>
              <w:jc w:val="center"/>
              <w:rPr>
                <w:sz w:val="20"/>
              </w:rPr>
            </w:pPr>
            <w:r>
              <w:rPr>
                <w:sz w:val="20"/>
              </w:rPr>
              <w:t>17</w:t>
            </w:r>
          </w:p>
        </w:tc>
        <w:tc>
          <w:tcPr>
            <w:tcW w:w="826" w:type="dxa"/>
            <w:tcBorders>
              <w:left w:val="single" w:sz="6" w:space="0" w:color="auto"/>
            </w:tcBorders>
          </w:tcPr>
          <w:p w:rsidR="00B40966" w:rsidRDefault="00B40966">
            <w:pPr>
              <w:pStyle w:val="TableText"/>
              <w:jc w:val="center"/>
              <w:rPr>
                <w:sz w:val="20"/>
              </w:rPr>
            </w:pPr>
            <w:r>
              <w:rPr>
                <w:sz w:val="20"/>
              </w:rPr>
              <w:t>1</w:t>
            </w:r>
          </w:p>
        </w:tc>
        <w:tc>
          <w:tcPr>
            <w:tcW w:w="650" w:type="dxa"/>
          </w:tcPr>
          <w:p w:rsidR="00B40966" w:rsidRDefault="00B40966">
            <w:pPr>
              <w:pStyle w:val="TableText"/>
              <w:jc w:val="center"/>
              <w:rPr>
                <w:sz w:val="20"/>
              </w:rPr>
            </w:pPr>
            <w:r>
              <w:rPr>
                <w:sz w:val="20"/>
              </w:rPr>
              <w:t>9</w:t>
            </w:r>
          </w:p>
        </w:tc>
      </w:tr>
      <w:tr w:rsidR="00B40966">
        <w:trPr>
          <w:cantSplit/>
          <w:trHeight w:val="200"/>
        </w:trPr>
        <w:tc>
          <w:tcPr>
            <w:tcW w:w="968" w:type="dxa"/>
          </w:tcPr>
          <w:p w:rsidR="00B40966" w:rsidRDefault="00B40966">
            <w:pPr>
              <w:pStyle w:val="TableText"/>
              <w:jc w:val="center"/>
              <w:rPr>
                <w:sz w:val="20"/>
              </w:rPr>
            </w:pPr>
            <w:r>
              <w:rPr>
                <w:sz w:val="20"/>
              </w:rPr>
              <w:t>3</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B40966" w:rsidRDefault="00B40966">
            <w:pPr>
              <w:pStyle w:val="TableText"/>
              <w:jc w:val="center"/>
              <w:rPr>
                <w:sz w:val="20"/>
              </w:rPr>
            </w:pPr>
            <w:r>
              <w:rPr>
                <w:sz w:val="20"/>
              </w:rPr>
              <w:t>3</w:t>
            </w:r>
          </w:p>
        </w:tc>
        <w:tc>
          <w:tcPr>
            <w:tcW w:w="840" w:type="dxa"/>
          </w:tcPr>
          <w:p w:rsidR="00B40966" w:rsidRDefault="00B40966">
            <w:pPr>
              <w:pStyle w:val="TableText"/>
              <w:jc w:val="center"/>
              <w:rPr>
                <w:sz w:val="20"/>
              </w:rPr>
            </w:pPr>
            <w:r>
              <w:rPr>
                <w:sz w:val="20"/>
              </w:rPr>
              <w:t>10</w:t>
            </w:r>
          </w:p>
        </w:tc>
        <w:tc>
          <w:tcPr>
            <w:tcW w:w="600" w:type="dxa"/>
            <w:gridSpan w:val="2"/>
            <w:tcBorders>
              <w:left w:val="single" w:sz="6" w:space="0" w:color="auto"/>
            </w:tcBorders>
          </w:tcPr>
          <w:p w:rsidR="00B40966" w:rsidRDefault="00B40966">
            <w:pPr>
              <w:pStyle w:val="TableText"/>
              <w:jc w:val="center"/>
              <w:rPr>
                <w:sz w:val="20"/>
              </w:rPr>
            </w:pPr>
            <w:r>
              <w:rPr>
                <w:sz w:val="20"/>
              </w:rPr>
              <w:t>6</w:t>
            </w:r>
          </w:p>
        </w:tc>
        <w:tc>
          <w:tcPr>
            <w:tcW w:w="692" w:type="dxa"/>
          </w:tcPr>
          <w:p w:rsidR="00B40966" w:rsidRDefault="00B40966">
            <w:pPr>
              <w:pStyle w:val="TableText"/>
              <w:jc w:val="center"/>
              <w:rPr>
                <w:sz w:val="20"/>
              </w:rPr>
            </w:pPr>
            <w:r>
              <w:rPr>
                <w:sz w:val="20"/>
              </w:rPr>
              <w:t>15</w:t>
            </w:r>
          </w:p>
        </w:tc>
        <w:tc>
          <w:tcPr>
            <w:tcW w:w="780" w:type="dxa"/>
            <w:gridSpan w:val="3"/>
            <w:tcBorders>
              <w:left w:val="single" w:sz="6" w:space="0" w:color="auto"/>
            </w:tcBorders>
          </w:tcPr>
          <w:p w:rsidR="00B40966" w:rsidRDefault="00B40966">
            <w:pPr>
              <w:pStyle w:val="TableText"/>
              <w:jc w:val="center"/>
              <w:rPr>
                <w:sz w:val="20"/>
              </w:rPr>
            </w:pPr>
            <w:r>
              <w:rPr>
                <w:sz w:val="20"/>
              </w:rPr>
              <w:t>6</w:t>
            </w:r>
          </w:p>
        </w:tc>
        <w:tc>
          <w:tcPr>
            <w:tcW w:w="832" w:type="dxa"/>
          </w:tcPr>
          <w:p w:rsidR="00B40966" w:rsidRDefault="00B40966">
            <w:pPr>
              <w:pStyle w:val="TableText"/>
              <w:jc w:val="center"/>
              <w:rPr>
                <w:sz w:val="20"/>
              </w:rPr>
            </w:pPr>
            <w:r>
              <w:rPr>
                <w:sz w:val="20"/>
              </w:rPr>
              <w:t>1</w:t>
            </w:r>
          </w:p>
        </w:tc>
        <w:tc>
          <w:tcPr>
            <w:tcW w:w="768" w:type="dxa"/>
            <w:tcBorders>
              <w:left w:val="single" w:sz="6" w:space="0" w:color="auto"/>
            </w:tcBorders>
          </w:tcPr>
          <w:p w:rsidR="00B40966" w:rsidRDefault="00B40966">
            <w:pPr>
              <w:pStyle w:val="TableText"/>
              <w:jc w:val="center"/>
              <w:rPr>
                <w:sz w:val="20"/>
              </w:rPr>
            </w:pPr>
            <w:r>
              <w:rPr>
                <w:sz w:val="20"/>
              </w:rPr>
              <w:t>4</w:t>
            </w:r>
          </w:p>
        </w:tc>
        <w:tc>
          <w:tcPr>
            <w:tcW w:w="780" w:type="dxa"/>
          </w:tcPr>
          <w:p w:rsidR="00B40966" w:rsidRDefault="00B40966">
            <w:pPr>
              <w:pStyle w:val="TableText"/>
              <w:jc w:val="center"/>
              <w:rPr>
                <w:sz w:val="20"/>
              </w:rPr>
            </w:pPr>
            <w:r>
              <w:rPr>
                <w:sz w:val="20"/>
              </w:rPr>
              <w:t>19</w:t>
            </w:r>
          </w:p>
        </w:tc>
        <w:tc>
          <w:tcPr>
            <w:tcW w:w="766" w:type="dxa"/>
            <w:tcBorders>
              <w:left w:val="single" w:sz="6" w:space="0" w:color="auto"/>
            </w:tcBorders>
          </w:tcPr>
          <w:p w:rsidR="00B40966" w:rsidRDefault="00B40966">
            <w:pPr>
              <w:pStyle w:val="TableText"/>
              <w:jc w:val="center"/>
              <w:rPr>
                <w:sz w:val="20"/>
              </w:rPr>
            </w:pPr>
            <w:r>
              <w:rPr>
                <w:sz w:val="20"/>
              </w:rPr>
              <w:t>3</w:t>
            </w:r>
          </w:p>
        </w:tc>
        <w:tc>
          <w:tcPr>
            <w:tcW w:w="734" w:type="dxa"/>
          </w:tcPr>
          <w:p w:rsidR="00B40966" w:rsidRDefault="00B40966">
            <w:pPr>
              <w:pStyle w:val="TableText"/>
              <w:jc w:val="center"/>
              <w:rPr>
                <w:sz w:val="20"/>
              </w:rPr>
            </w:pPr>
            <w:r>
              <w:rPr>
                <w:sz w:val="20"/>
              </w:rPr>
              <w:t>10</w:t>
            </w:r>
          </w:p>
        </w:tc>
        <w:tc>
          <w:tcPr>
            <w:tcW w:w="826" w:type="dxa"/>
            <w:tcBorders>
              <w:left w:val="single" w:sz="6" w:space="0" w:color="auto"/>
            </w:tcBorders>
          </w:tcPr>
          <w:p w:rsidR="00B40966" w:rsidRDefault="00B40966">
            <w:pPr>
              <w:pStyle w:val="TableText"/>
              <w:jc w:val="center"/>
              <w:rPr>
                <w:sz w:val="20"/>
              </w:rPr>
            </w:pPr>
            <w:r>
              <w:rPr>
                <w:sz w:val="20"/>
              </w:rPr>
              <w:t>1</w:t>
            </w:r>
          </w:p>
        </w:tc>
        <w:tc>
          <w:tcPr>
            <w:tcW w:w="650" w:type="dxa"/>
          </w:tcPr>
          <w:p w:rsidR="00B40966" w:rsidRDefault="00B40966">
            <w:pPr>
              <w:pStyle w:val="TableText"/>
              <w:jc w:val="center"/>
              <w:rPr>
                <w:sz w:val="20"/>
              </w:rPr>
            </w:pPr>
            <w:r>
              <w:rPr>
                <w:sz w:val="20"/>
              </w:rPr>
              <w:t>16</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B40966" w:rsidRDefault="00B40966">
            <w:pPr>
              <w:pStyle w:val="TableText"/>
              <w:jc w:val="center"/>
              <w:rPr>
                <w:sz w:val="20"/>
              </w:rPr>
            </w:pPr>
            <w:r>
              <w:rPr>
                <w:sz w:val="20"/>
              </w:rPr>
              <w:t>4</w:t>
            </w:r>
          </w:p>
        </w:tc>
        <w:tc>
          <w:tcPr>
            <w:tcW w:w="840" w:type="dxa"/>
          </w:tcPr>
          <w:p w:rsidR="00B40966" w:rsidRDefault="00B40966">
            <w:pPr>
              <w:pStyle w:val="TableText"/>
              <w:jc w:val="center"/>
              <w:rPr>
                <w:sz w:val="20"/>
              </w:rPr>
            </w:pPr>
            <w:r>
              <w:rPr>
                <w:sz w:val="20"/>
              </w:rPr>
              <w:t>4</w:t>
            </w:r>
          </w:p>
        </w:tc>
        <w:tc>
          <w:tcPr>
            <w:tcW w:w="600" w:type="dxa"/>
            <w:gridSpan w:val="2"/>
            <w:tcBorders>
              <w:left w:val="single" w:sz="6" w:space="0" w:color="auto"/>
            </w:tcBorders>
          </w:tcPr>
          <w:p w:rsidR="00B40966" w:rsidRDefault="00B40966">
            <w:pPr>
              <w:pStyle w:val="TableText"/>
              <w:jc w:val="center"/>
              <w:rPr>
                <w:sz w:val="20"/>
              </w:rPr>
            </w:pPr>
            <w:r>
              <w:rPr>
                <w:sz w:val="20"/>
              </w:rPr>
              <w:t>8</w:t>
            </w:r>
          </w:p>
        </w:tc>
        <w:tc>
          <w:tcPr>
            <w:tcW w:w="692" w:type="dxa"/>
          </w:tcPr>
          <w:p w:rsidR="00B40966" w:rsidRDefault="00B40966">
            <w:pPr>
              <w:pStyle w:val="TableText"/>
              <w:jc w:val="center"/>
              <w:rPr>
                <w:sz w:val="20"/>
              </w:rPr>
            </w:pPr>
            <w:r>
              <w:rPr>
                <w:sz w:val="20"/>
              </w:rPr>
              <w:t>2</w:t>
            </w:r>
          </w:p>
        </w:tc>
        <w:tc>
          <w:tcPr>
            <w:tcW w:w="780" w:type="dxa"/>
            <w:gridSpan w:val="3"/>
            <w:tcBorders>
              <w:left w:val="single" w:sz="6" w:space="0" w:color="auto"/>
            </w:tcBorders>
          </w:tcPr>
          <w:p w:rsidR="00B40966" w:rsidRDefault="00B40966">
            <w:pPr>
              <w:pStyle w:val="TableText"/>
              <w:jc w:val="center"/>
              <w:rPr>
                <w:sz w:val="20"/>
              </w:rPr>
            </w:pPr>
            <w:r>
              <w:rPr>
                <w:sz w:val="20"/>
              </w:rPr>
              <w:t>7</w:t>
            </w:r>
          </w:p>
        </w:tc>
        <w:tc>
          <w:tcPr>
            <w:tcW w:w="832" w:type="dxa"/>
          </w:tcPr>
          <w:p w:rsidR="00B40966" w:rsidRDefault="00B40966">
            <w:pPr>
              <w:pStyle w:val="TableText"/>
              <w:jc w:val="center"/>
              <w:rPr>
                <w:sz w:val="20"/>
              </w:rPr>
            </w:pPr>
            <w:r>
              <w:rPr>
                <w:sz w:val="20"/>
              </w:rPr>
              <w:t>6</w:t>
            </w:r>
          </w:p>
        </w:tc>
        <w:tc>
          <w:tcPr>
            <w:tcW w:w="768" w:type="dxa"/>
            <w:tcBorders>
              <w:left w:val="single" w:sz="6" w:space="0" w:color="auto"/>
            </w:tcBorders>
          </w:tcPr>
          <w:p w:rsidR="00B40966" w:rsidRDefault="00B40966">
            <w:pPr>
              <w:pStyle w:val="TableText"/>
              <w:jc w:val="center"/>
              <w:rPr>
                <w:sz w:val="20"/>
              </w:rPr>
            </w:pPr>
            <w:r>
              <w:rPr>
                <w:sz w:val="20"/>
              </w:rPr>
              <w:t>5</w:t>
            </w:r>
          </w:p>
        </w:tc>
        <w:tc>
          <w:tcPr>
            <w:tcW w:w="780" w:type="dxa"/>
          </w:tcPr>
          <w:p w:rsidR="00B40966" w:rsidRDefault="00B40966">
            <w:pPr>
              <w:pStyle w:val="TableText"/>
              <w:jc w:val="center"/>
              <w:rPr>
                <w:sz w:val="20"/>
              </w:rPr>
            </w:pPr>
            <w:r>
              <w:rPr>
                <w:sz w:val="20"/>
              </w:rPr>
              <w:t>19</w:t>
            </w:r>
          </w:p>
        </w:tc>
        <w:tc>
          <w:tcPr>
            <w:tcW w:w="766" w:type="dxa"/>
            <w:tcBorders>
              <w:left w:val="single" w:sz="6" w:space="0" w:color="auto"/>
            </w:tcBorders>
          </w:tcPr>
          <w:p w:rsidR="00B40966" w:rsidRDefault="00B40966">
            <w:pPr>
              <w:pStyle w:val="TableText"/>
              <w:jc w:val="center"/>
              <w:rPr>
                <w:sz w:val="20"/>
              </w:rPr>
            </w:pPr>
            <w:r>
              <w:rPr>
                <w:sz w:val="20"/>
              </w:rPr>
              <w:t>4</w:t>
            </w:r>
          </w:p>
        </w:tc>
        <w:tc>
          <w:tcPr>
            <w:tcW w:w="734" w:type="dxa"/>
          </w:tcPr>
          <w:p w:rsidR="00B40966" w:rsidRDefault="00B40966">
            <w:pPr>
              <w:pStyle w:val="TableText"/>
              <w:jc w:val="center"/>
              <w:rPr>
                <w:sz w:val="20"/>
              </w:rPr>
            </w:pPr>
            <w:r>
              <w:rPr>
                <w:sz w:val="20"/>
              </w:rPr>
              <w:t>4</w:t>
            </w:r>
          </w:p>
        </w:tc>
        <w:tc>
          <w:tcPr>
            <w:tcW w:w="826" w:type="dxa"/>
            <w:tcBorders>
              <w:left w:val="single" w:sz="6" w:space="0" w:color="auto"/>
            </w:tcBorders>
          </w:tcPr>
          <w:p w:rsidR="00B40966" w:rsidRDefault="00B40966">
            <w:pPr>
              <w:pStyle w:val="TableText"/>
              <w:jc w:val="center"/>
              <w:rPr>
                <w:sz w:val="20"/>
              </w:rPr>
            </w:pPr>
            <w:r>
              <w:rPr>
                <w:sz w:val="20"/>
              </w:rPr>
              <w:t>2</w:t>
            </w:r>
          </w:p>
        </w:tc>
        <w:tc>
          <w:tcPr>
            <w:tcW w:w="650" w:type="dxa"/>
          </w:tcPr>
          <w:p w:rsidR="00B40966" w:rsidRDefault="00B40966">
            <w:pPr>
              <w:pStyle w:val="TableText"/>
              <w:jc w:val="center"/>
              <w:rPr>
                <w:sz w:val="20"/>
              </w:rPr>
            </w:pPr>
            <w:r>
              <w:rPr>
                <w:sz w:val="20"/>
              </w:rPr>
              <w:t>4</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0</w:t>
            </w:r>
          </w:p>
        </w:tc>
        <w:tc>
          <w:tcPr>
            <w:tcW w:w="600" w:type="dxa"/>
            <w:gridSpan w:val="2"/>
            <w:tcBorders>
              <w:left w:val="single" w:sz="6" w:space="0" w:color="auto"/>
            </w:tcBorders>
          </w:tcPr>
          <w:p w:rsidR="00B40966" w:rsidRDefault="00B40966">
            <w:pPr>
              <w:pStyle w:val="TableText"/>
              <w:jc w:val="center"/>
              <w:rPr>
                <w:sz w:val="20"/>
              </w:rPr>
            </w:pPr>
            <w:r>
              <w:rPr>
                <w:sz w:val="20"/>
              </w:rPr>
              <w:t>9</w:t>
            </w:r>
          </w:p>
        </w:tc>
        <w:tc>
          <w:tcPr>
            <w:tcW w:w="692" w:type="dxa"/>
          </w:tcPr>
          <w:p w:rsidR="00B40966" w:rsidRDefault="00B40966">
            <w:pPr>
              <w:pStyle w:val="TableText"/>
              <w:jc w:val="center"/>
              <w:rPr>
                <w:sz w:val="20"/>
              </w:rPr>
            </w:pPr>
            <w:r>
              <w:rPr>
                <w:sz w:val="20"/>
              </w:rPr>
              <w:t>13</w:t>
            </w:r>
          </w:p>
        </w:tc>
        <w:tc>
          <w:tcPr>
            <w:tcW w:w="780" w:type="dxa"/>
            <w:gridSpan w:val="3"/>
            <w:tcBorders>
              <w:left w:val="single" w:sz="6" w:space="0" w:color="auto"/>
            </w:tcBorders>
          </w:tcPr>
          <w:p w:rsidR="00B40966" w:rsidRDefault="00B40966">
            <w:pPr>
              <w:pStyle w:val="TableText"/>
              <w:jc w:val="center"/>
              <w:rPr>
                <w:sz w:val="20"/>
              </w:rPr>
            </w:pPr>
            <w:r>
              <w:rPr>
                <w:sz w:val="20"/>
              </w:rPr>
              <w:t>8</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7</w:t>
            </w:r>
          </w:p>
        </w:tc>
        <w:tc>
          <w:tcPr>
            <w:tcW w:w="780" w:type="dxa"/>
          </w:tcPr>
          <w:p w:rsidR="00B40966" w:rsidRDefault="00B40966">
            <w:pPr>
              <w:pStyle w:val="TableText"/>
              <w:jc w:val="center"/>
              <w:rPr>
                <w:sz w:val="20"/>
              </w:rPr>
            </w:pPr>
            <w:r>
              <w:rPr>
                <w:sz w:val="20"/>
              </w:rPr>
              <w:t>1</w:t>
            </w:r>
          </w:p>
        </w:tc>
        <w:tc>
          <w:tcPr>
            <w:tcW w:w="766" w:type="dxa"/>
            <w:tcBorders>
              <w:left w:val="single" w:sz="6" w:space="0" w:color="auto"/>
            </w:tcBorders>
          </w:tcPr>
          <w:p w:rsidR="00B40966" w:rsidRDefault="00B40966">
            <w:pPr>
              <w:pStyle w:val="TableText"/>
              <w:jc w:val="center"/>
              <w:rPr>
                <w:sz w:val="20"/>
              </w:rPr>
            </w:pPr>
            <w:r>
              <w:rPr>
                <w:sz w:val="20"/>
              </w:rPr>
              <w:t>5</w:t>
            </w:r>
          </w:p>
        </w:tc>
        <w:tc>
          <w:tcPr>
            <w:tcW w:w="734" w:type="dxa"/>
          </w:tcPr>
          <w:p w:rsidR="00B40966" w:rsidRDefault="00B40966">
            <w:pPr>
              <w:pStyle w:val="TableText"/>
              <w:jc w:val="center"/>
              <w:rPr>
                <w:sz w:val="20"/>
              </w:rPr>
            </w:pPr>
            <w:r>
              <w:rPr>
                <w:sz w:val="20"/>
              </w:rPr>
              <w:t>0</w:t>
            </w:r>
          </w:p>
        </w:tc>
        <w:tc>
          <w:tcPr>
            <w:tcW w:w="826" w:type="dxa"/>
            <w:tcBorders>
              <w:left w:val="single" w:sz="6" w:space="0" w:color="auto"/>
            </w:tcBorders>
          </w:tcPr>
          <w:p w:rsidR="00B40966" w:rsidRDefault="00B40966">
            <w:pPr>
              <w:pStyle w:val="TableText"/>
              <w:jc w:val="center"/>
              <w:rPr>
                <w:sz w:val="20"/>
              </w:rPr>
            </w:pPr>
            <w:r>
              <w:rPr>
                <w:sz w:val="20"/>
              </w:rPr>
              <w:t>2</w:t>
            </w:r>
          </w:p>
        </w:tc>
        <w:tc>
          <w:tcPr>
            <w:tcW w:w="650" w:type="dxa"/>
          </w:tcPr>
          <w:p w:rsidR="00B40966" w:rsidRDefault="00B40966">
            <w:pPr>
              <w:pStyle w:val="TableText"/>
              <w:jc w:val="center"/>
              <w:rPr>
                <w:sz w:val="20"/>
              </w:rPr>
            </w:pPr>
            <w:r>
              <w:rPr>
                <w:sz w:val="20"/>
              </w:rPr>
              <w:t>12</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13</w:t>
            </w:r>
          </w:p>
        </w:tc>
        <w:tc>
          <w:tcPr>
            <w:tcW w:w="600" w:type="dxa"/>
            <w:gridSpan w:val="2"/>
            <w:tcBorders>
              <w:left w:val="single" w:sz="6" w:space="0" w:color="auto"/>
            </w:tcBorders>
          </w:tcPr>
          <w:p w:rsidR="00B40966" w:rsidRDefault="00B40966">
            <w:pPr>
              <w:pStyle w:val="TableText"/>
              <w:jc w:val="center"/>
              <w:rPr>
                <w:sz w:val="20"/>
              </w:rPr>
            </w:pPr>
            <w:r>
              <w:rPr>
                <w:sz w:val="20"/>
              </w:rPr>
              <w:t>11</w:t>
            </w:r>
          </w:p>
        </w:tc>
        <w:tc>
          <w:tcPr>
            <w:tcW w:w="692" w:type="dxa"/>
          </w:tcPr>
          <w:p w:rsidR="00B40966" w:rsidRDefault="00B40966">
            <w:pPr>
              <w:pStyle w:val="TableText"/>
              <w:jc w:val="center"/>
              <w:rPr>
                <w:sz w:val="20"/>
              </w:rPr>
            </w:pPr>
            <w:r>
              <w:rPr>
                <w:sz w:val="20"/>
              </w:rPr>
              <w:t>0</w:t>
            </w:r>
          </w:p>
        </w:tc>
        <w:tc>
          <w:tcPr>
            <w:tcW w:w="780" w:type="dxa"/>
            <w:gridSpan w:val="3"/>
            <w:tcBorders>
              <w:left w:val="single" w:sz="6" w:space="0" w:color="auto"/>
            </w:tcBorders>
          </w:tcPr>
          <w:p w:rsidR="00B40966" w:rsidRDefault="00B40966">
            <w:pPr>
              <w:pStyle w:val="TableText"/>
              <w:jc w:val="center"/>
              <w:rPr>
                <w:sz w:val="20"/>
              </w:rPr>
            </w:pPr>
            <w:r>
              <w:rPr>
                <w:sz w:val="20"/>
              </w:rPr>
              <w:t>9</w:t>
            </w:r>
          </w:p>
        </w:tc>
        <w:tc>
          <w:tcPr>
            <w:tcW w:w="832" w:type="dxa"/>
          </w:tcPr>
          <w:p w:rsidR="00B40966" w:rsidRDefault="00B40966">
            <w:pPr>
              <w:pStyle w:val="TableText"/>
              <w:jc w:val="center"/>
              <w:rPr>
                <w:sz w:val="20"/>
              </w:rPr>
            </w:pPr>
            <w:r>
              <w:rPr>
                <w:sz w:val="20"/>
              </w:rPr>
              <w:t>16</w:t>
            </w:r>
          </w:p>
        </w:tc>
        <w:tc>
          <w:tcPr>
            <w:tcW w:w="768" w:type="dxa"/>
            <w:tcBorders>
              <w:left w:val="single" w:sz="6" w:space="0" w:color="auto"/>
            </w:tcBorders>
          </w:tcPr>
          <w:p w:rsidR="00B40966" w:rsidRDefault="00B40966">
            <w:pPr>
              <w:pStyle w:val="TableText"/>
              <w:jc w:val="center"/>
              <w:rPr>
                <w:sz w:val="20"/>
              </w:rPr>
            </w:pPr>
            <w:r>
              <w:rPr>
                <w:sz w:val="20"/>
              </w:rPr>
              <w:t>8</w:t>
            </w:r>
          </w:p>
        </w:tc>
        <w:tc>
          <w:tcPr>
            <w:tcW w:w="780" w:type="dxa"/>
          </w:tcPr>
          <w:p w:rsidR="00B40966" w:rsidRDefault="00B40966">
            <w:pPr>
              <w:pStyle w:val="TableText"/>
              <w:jc w:val="center"/>
              <w:rPr>
                <w:sz w:val="20"/>
              </w:rPr>
            </w:pPr>
            <w:r>
              <w:rPr>
                <w:sz w:val="20"/>
              </w:rPr>
              <w:t>0</w:t>
            </w:r>
          </w:p>
        </w:tc>
        <w:tc>
          <w:tcPr>
            <w:tcW w:w="766" w:type="dxa"/>
            <w:tcBorders>
              <w:left w:val="single" w:sz="6" w:space="0" w:color="auto"/>
            </w:tcBorders>
          </w:tcPr>
          <w:p w:rsidR="00B40966" w:rsidRDefault="00B40966">
            <w:pPr>
              <w:pStyle w:val="TableText"/>
              <w:jc w:val="center"/>
              <w:rPr>
                <w:sz w:val="20"/>
              </w:rPr>
            </w:pPr>
            <w:r>
              <w:rPr>
                <w:sz w:val="20"/>
              </w:rPr>
              <w:t>5</w:t>
            </w:r>
          </w:p>
        </w:tc>
        <w:tc>
          <w:tcPr>
            <w:tcW w:w="734" w:type="dxa"/>
          </w:tcPr>
          <w:p w:rsidR="00B40966" w:rsidRDefault="00B40966">
            <w:pPr>
              <w:pStyle w:val="TableText"/>
              <w:jc w:val="center"/>
              <w:rPr>
                <w:sz w:val="20"/>
              </w:rPr>
            </w:pPr>
            <w:r>
              <w:rPr>
                <w:sz w:val="20"/>
              </w:rPr>
              <w:t>13</w:t>
            </w:r>
          </w:p>
        </w:tc>
        <w:tc>
          <w:tcPr>
            <w:tcW w:w="826" w:type="dxa"/>
            <w:tcBorders>
              <w:left w:val="single" w:sz="6" w:space="0" w:color="auto"/>
            </w:tcBorders>
          </w:tcPr>
          <w:p w:rsidR="00B40966" w:rsidRDefault="00B40966">
            <w:pPr>
              <w:pStyle w:val="TableText"/>
              <w:jc w:val="center"/>
              <w:rPr>
                <w:sz w:val="20"/>
              </w:rPr>
            </w:pPr>
            <w:r>
              <w:rPr>
                <w:sz w:val="20"/>
              </w:rPr>
              <w:t>2</w:t>
            </w:r>
          </w:p>
        </w:tc>
        <w:tc>
          <w:tcPr>
            <w:tcW w:w="650" w:type="dxa"/>
          </w:tcPr>
          <w:p w:rsidR="00B40966" w:rsidRDefault="00B40966">
            <w:pPr>
              <w:pStyle w:val="TableText"/>
              <w:jc w:val="center"/>
              <w:rPr>
                <w:sz w:val="20"/>
              </w:rPr>
            </w:pPr>
            <w:r>
              <w:rPr>
                <w:sz w:val="20"/>
              </w:rPr>
              <w:t>19</w:t>
            </w:r>
          </w:p>
        </w:tc>
      </w:tr>
      <w:tr w:rsidR="00B40966">
        <w:trPr>
          <w:cantSplit/>
          <w:trHeight w:val="200"/>
        </w:trPr>
        <w:tc>
          <w:tcPr>
            <w:tcW w:w="968" w:type="dxa"/>
          </w:tcPr>
          <w:p w:rsidR="00B40966" w:rsidRDefault="00B40966">
            <w:pPr>
              <w:pStyle w:val="TableText"/>
              <w:jc w:val="center"/>
              <w:rPr>
                <w:sz w:val="20"/>
              </w:rPr>
            </w:pPr>
            <w:r>
              <w:rPr>
                <w:sz w:val="20"/>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B40966" w:rsidRDefault="00B40966">
            <w:pPr>
              <w:pStyle w:val="TableText"/>
              <w:jc w:val="center"/>
              <w:rPr>
                <w:sz w:val="20"/>
              </w:rPr>
            </w:pPr>
            <w:r>
              <w:rPr>
                <w:sz w:val="20"/>
              </w:rPr>
              <w:t>6</w:t>
            </w:r>
          </w:p>
        </w:tc>
        <w:tc>
          <w:tcPr>
            <w:tcW w:w="840" w:type="dxa"/>
          </w:tcPr>
          <w:p w:rsidR="00B40966" w:rsidRDefault="00B40966">
            <w:pPr>
              <w:pStyle w:val="TableText"/>
              <w:jc w:val="center"/>
              <w:rPr>
                <w:sz w:val="20"/>
              </w:rPr>
            </w:pPr>
            <w:r>
              <w:rPr>
                <w:sz w:val="20"/>
              </w:rPr>
              <w:t>8</w:t>
            </w:r>
          </w:p>
        </w:tc>
        <w:tc>
          <w:tcPr>
            <w:tcW w:w="600" w:type="dxa"/>
            <w:gridSpan w:val="2"/>
            <w:tcBorders>
              <w:left w:val="single" w:sz="6" w:space="0" w:color="auto"/>
            </w:tcBorders>
          </w:tcPr>
          <w:p w:rsidR="00B40966" w:rsidRDefault="00B40966">
            <w:pPr>
              <w:pStyle w:val="TableText"/>
              <w:jc w:val="center"/>
              <w:rPr>
                <w:sz w:val="20"/>
              </w:rPr>
            </w:pPr>
            <w:r>
              <w:rPr>
                <w:sz w:val="20"/>
              </w:rPr>
              <w:t>12</w:t>
            </w:r>
          </w:p>
        </w:tc>
        <w:tc>
          <w:tcPr>
            <w:tcW w:w="692" w:type="dxa"/>
          </w:tcPr>
          <w:p w:rsidR="00B40966" w:rsidRDefault="00B40966">
            <w:pPr>
              <w:pStyle w:val="TableText"/>
              <w:jc w:val="center"/>
              <w:rPr>
                <w:sz w:val="20"/>
              </w:rPr>
            </w:pPr>
            <w:r>
              <w:rPr>
                <w:sz w:val="20"/>
              </w:rPr>
              <w:t>8</w:t>
            </w:r>
          </w:p>
        </w:tc>
        <w:tc>
          <w:tcPr>
            <w:tcW w:w="780" w:type="dxa"/>
            <w:gridSpan w:val="3"/>
            <w:tcBorders>
              <w:left w:val="single" w:sz="6" w:space="0" w:color="auto"/>
            </w:tcBorders>
          </w:tcPr>
          <w:p w:rsidR="00B40966" w:rsidRDefault="00B40966">
            <w:pPr>
              <w:pStyle w:val="TableText"/>
              <w:jc w:val="center"/>
              <w:rPr>
                <w:sz w:val="20"/>
              </w:rPr>
            </w:pPr>
            <w:r>
              <w:rPr>
                <w:sz w:val="20"/>
              </w:rPr>
              <w:t>11</w:t>
            </w:r>
          </w:p>
        </w:tc>
        <w:tc>
          <w:tcPr>
            <w:tcW w:w="832" w:type="dxa"/>
          </w:tcPr>
          <w:p w:rsidR="00B40966" w:rsidRDefault="00B40966">
            <w:pPr>
              <w:pStyle w:val="TableText"/>
              <w:jc w:val="center"/>
              <w:rPr>
                <w:sz w:val="20"/>
              </w:rPr>
            </w:pPr>
            <w:r>
              <w:rPr>
                <w:sz w:val="20"/>
              </w:rPr>
              <w:t>2</w:t>
            </w:r>
          </w:p>
        </w:tc>
        <w:tc>
          <w:tcPr>
            <w:tcW w:w="768" w:type="dxa"/>
            <w:tcBorders>
              <w:left w:val="single" w:sz="6" w:space="0" w:color="auto"/>
            </w:tcBorders>
          </w:tcPr>
          <w:p w:rsidR="00B40966" w:rsidRDefault="00B40966">
            <w:pPr>
              <w:pStyle w:val="TableText"/>
              <w:jc w:val="center"/>
              <w:rPr>
                <w:sz w:val="20"/>
              </w:rPr>
            </w:pPr>
            <w:r>
              <w:rPr>
                <w:sz w:val="20"/>
              </w:rPr>
              <w:t>9</w:t>
            </w:r>
          </w:p>
        </w:tc>
        <w:tc>
          <w:tcPr>
            <w:tcW w:w="780" w:type="dxa"/>
          </w:tcPr>
          <w:p w:rsidR="00B40966" w:rsidRDefault="00B40966">
            <w:pPr>
              <w:pStyle w:val="TableText"/>
              <w:jc w:val="center"/>
              <w:rPr>
                <w:sz w:val="20"/>
              </w:rPr>
            </w:pPr>
            <w:r>
              <w:rPr>
                <w:sz w:val="20"/>
              </w:rPr>
              <w:t>1</w:t>
            </w:r>
          </w:p>
        </w:tc>
        <w:tc>
          <w:tcPr>
            <w:tcW w:w="766" w:type="dxa"/>
            <w:tcBorders>
              <w:left w:val="single" w:sz="6" w:space="0" w:color="auto"/>
            </w:tcBorders>
          </w:tcPr>
          <w:p w:rsidR="00B40966" w:rsidRDefault="00B40966">
            <w:pPr>
              <w:pStyle w:val="TableText"/>
              <w:jc w:val="center"/>
              <w:rPr>
                <w:sz w:val="20"/>
              </w:rPr>
            </w:pPr>
            <w:r>
              <w:rPr>
                <w:sz w:val="20"/>
              </w:rPr>
              <w:t>6</w:t>
            </w:r>
          </w:p>
        </w:tc>
        <w:tc>
          <w:tcPr>
            <w:tcW w:w="734" w:type="dxa"/>
          </w:tcPr>
          <w:p w:rsidR="00B40966" w:rsidRDefault="00B40966">
            <w:pPr>
              <w:pStyle w:val="TableText"/>
              <w:jc w:val="center"/>
              <w:rPr>
                <w:sz w:val="20"/>
              </w:rPr>
            </w:pPr>
            <w:r>
              <w:rPr>
                <w:sz w:val="20"/>
              </w:rPr>
              <w:t>8</w:t>
            </w:r>
          </w:p>
        </w:tc>
        <w:tc>
          <w:tcPr>
            <w:tcW w:w="826" w:type="dxa"/>
            <w:tcBorders>
              <w:left w:val="single" w:sz="6" w:space="0" w:color="auto"/>
            </w:tcBorders>
          </w:tcPr>
          <w:p w:rsidR="00B40966" w:rsidRDefault="00B40966">
            <w:pPr>
              <w:pStyle w:val="TableText"/>
              <w:jc w:val="center"/>
              <w:rPr>
                <w:sz w:val="20"/>
              </w:rPr>
            </w:pPr>
            <w:r>
              <w:rPr>
                <w:sz w:val="20"/>
              </w:rPr>
              <w:t>3</w:t>
            </w:r>
          </w:p>
        </w:tc>
        <w:tc>
          <w:tcPr>
            <w:tcW w:w="650" w:type="dxa"/>
          </w:tcPr>
          <w:p w:rsidR="00B40966" w:rsidRDefault="00B40966">
            <w:pPr>
              <w:pStyle w:val="TableText"/>
              <w:jc w:val="center"/>
              <w:rPr>
                <w:sz w:val="20"/>
              </w:rPr>
            </w:pPr>
            <w:r>
              <w:rPr>
                <w:sz w:val="20"/>
              </w:rPr>
              <w:t>6</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B40966" w:rsidRDefault="00B40966">
            <w:pPr>
              <w:pStyle w:val="TableText"/>
              <w:jc w:val="center"/>
              <w:rPr>
                <w:sz w:val="20"/>
              </w:rPr>
            </w:pPr>
            <w:r>
              <w:rPr>
                <w:sz w:val="20"/>
              </w:rPr>
              <w:t>7</w:t>
            </w:r>
          </w:p>
        </w:tc>
        <w:tc>
          <w:tcPr>
            <w:tcW w:w="840" w:type="dxa"/>
          </w:tcPr>
          <w:p w:rsidR="00B40966" w:rsidRDefault="00B40966">
            <w:pPr>
              <w:pStyle w:val="TableText"/>
              <w:jc w:val="center"/>
              <w:rPr>
                <w:sz w:val="20"/>
              </w:rPr>
            </w:pPr>
            <w:r>
              <w:rPr>
                <w:sz w:val="20"/>
              </w:rPr>
              <w:t>3</w:t>
            </w:r>
          </w:p>
        </w:tc>
        <w:tc>
          <w:tcPr>
            <w:tcW w:w="600" w:type="dxa"/>
            <w:gridSpan w:val="2"/>
            <w:tcBorders>
              <w:left w:val="single" w:sz="6" w:space="0" w:color="auto"/>
            </w:tcBorders>
          </w:tcPr>
          <w:p w:rsidR="00B40966" w:rsidRDefault="00B40966">
            <w:pPr>
              <w:pStyle w:val="TableText"/>
              <w:jc w:val="center"/>
              <w:rPr>
                <w:sz w:val="20"/>
              </w:rPr>
            </w:pPr>
            <w:r>
              <w:rPr>
                <w:sz w:val="20"/>
              </w:rPr>
              <w:t>13</w:t>
            </w:r>
          </w:p>
        </w:tc>
        <w:tc>
          <w:tcPr>
            <w:tcW w:w="692" w:type="dxa"/>
          </w:tcPr>
          <w:p w:rsidR="00B40966" w:rsidRDefault="00B40966">
            <w:pPr>
              <w:pStyle w:val="TableText"/>
              <w:jc w:val="center"/>
              <w:rPr>
                <w:sz w:val="20"/>
              </w:rPr>
            </w:pPr>
            <w:r>
              <w:rPr>
                <w:sz w:val="20"/>
              </w:rPr>
              <w:t>16</w:t>
            </w:r>
          </w:p>
        </w:tc>
        <w:tc>
          <w:tcPr>
            <w:tcW w:w="780" w:type="dxa"/>
            <w:gridSpan w:val="3"/>
            <w:tcBorders>
              <w:left w:val="single" w:sz="6" w:space="0" w:color="auto"/>
            </w:tcBorders>
          </w:tcPr>
          <w:p w:rsidR="00B40966" w:rsidRDefault="00B40966">
            <w:pPr>
              <w:pStyle w:val="TableText"/>
              <w:jc w:val="center"/>
              <w:rPr>
                <w:sz w:val="20"/>
              </w:rPr>
            </w:pPr>
            <w:r>
              <w:rPr>
                <w:sz w:val="20"/>
              </w:rPr>
              <w:t>12</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10</w:t>
            </w:r>
          </w:p>
        </w:tc>
        <w:tc>
          <w:tcPr>
            <w:tcW w:w="780" w:type="dxa"/>
          </w:tcPr>
          <w:p w:rsidR="00B40966" w:rsidRDefault="00B40966">
            <w:pPr>
              <w:pStyle w:val="TableText"/>
              <w:jc w:val="center"/>
              <w:rPr>
                <w:sz w:val="20"/>
              </w:rPr>
            </w:pPr>
            <w:r>
              <w:rPr>
                <w:sz w:val="20"/>
              </w:rPr>
              <w:t>2</w:t>
            </w:r>
          </w:p>
        </w:tc>
        <w:tc>
          <w:tcPr>
            <w:tcW w:w="766" w:type="dxa"/>
            <w:tcBorders>
              <w:left w:val="single" w:sz="6" w:space="0" w:color="auto"/>
            </w:tcBorders>
          </w:tcPr>
          <w:p w:rsidR="00B40966" w:rsidRDefault="00B40966">
            <w:pPr>
              <w:pStyle w:val="TableText"/>
              <w:jc w:val="center"/>
              <w:rPr>
                <w:sz w:val="20"/>
              </w:rPr>
            </w:pPr>
            <w:r>
              <w:rPr>
                <w:sz w:val="20"/>
              </w:rPr>
              <w:t>7</w:t>
            </w:r>
          </w:p>
        </w:tc>
        <w:tc>
          <w:tcPr>
            <w:tcW w:w="734" w:type="dxa"/>
          </w:tcPr>
          <w:p w:rsidR="00B40966" w:rsidRDefault="00B40966">
            <w:pPr>
              <w:pStyle w:val="TableText"/>
              <w:jc w:val="center"/>
              <w:rPr>
                <w:sz w:val="20"/>
              </w:rPr>
            </w:pPr>
            <w:r>
              <w:rPr>
                <w:sz w:val="20"/>
              </w:rPr>
              <w:t>3</w:t>
            </w:r>
          </w:p>
        </w:tc>
        <w:tc>
          <w:tcPr>
            <w:tcW w:w="826" w:type="dxa"/>
            <w:tcBorders>
              <w:left w:val="single" w:sz="6" w:space="0" w:color="auto"/>
            </w:tcBorders>
          </w:tcPr>
          <w:p w:rsidR="00B40966" w:rsidRDefault="00B40966">
            <w:pPr>
              <w:pStyle w:val="TableText"/>
              <w:jc w:val="center"/>
              <w:rPr>
                <w:sz w:val="20"/>
              </w:rPr>
            </w:pPr>
            <w:r>
              <w:rPr>
                <w:sz w:val="20"/>
              </w:rPr>
              <w:t>3</w:t>
            </w:r>
          </w:p>
        </w:tc>
        <w:tc>
          <w:tcPr>
            <w:tcW w:w="650" w:type="dxa"/>
          </w:tcPr>
          <w:p w:rsidR="00B40966" w:rsidRDefault="00B40966">
            <w:pPr>
              <w:pStyle w:val="TableText"/>
              <w:jc w:val="center"/>
              <w:rPr>
                <w:sz w:val="20"/>
              </w:rPr>
            </w:pPr>
            <w:r>
              <w:rPr>
                <w:sz w:val="20"/>
              </w:rPr>
              <w:t>14</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B40966" w:rsidRDefault="00B40966">
            <w:pPr>
              <w:pStyle w:val="TableText"/>
              <w:jc w:val="center"/>
              <w:rPr>
                <w:sz w:val="20"/>
              </w:rPr>
            </w:pPr>
            <w:r>
              <w:rPr>
                <w:sz w:val="20"/>
              </w:rPr>
              <w:t>8</w:t>
            </w:r>
          </w:p>
        </w:tc>
        <w:tc>
          <w:tcPr>
            <w:tcW w:w="840" w:type="dxa"/>
          </w:tcPr>
          <w:p w:rsidR="00B40966" w:rsidRDefault="00B40966">
            <w:pPr>
              <w:pStyle w:val="TableText"/>
              <w:jc w:val="center"/>
              <w:rPr>
                <w:sz w:val="20"/>
              </w:rPr>
            </w:pP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15</w:t>
            </w:r>
          </w:p>
        </w:tc>
        <w:tc>
          <w:tcPr>
            <w:tcW w:w="692" w:type="dxa"/>
          </w:tcPr>
          <w:p w:rsidR="00B40966" w:rsidRDefault="00B40966">
            <w:pPr>
              <w:pStyle w:val="TableText"/>
              <w:jc w:val="center"/>
              <w:rPr>
                <w:sz w:val="20"/>
              </w:rPr>
            </w:pPr>
            <w:r>
              <w:rPr>
                <w:sz w:val="20"/>
              </w:rPr>
              <w:t>13</w:t>
            </w:r>
          </w:p>
        </w:tc>
        <w:tc>
          <w:tcPr>
            <w:tcW w:w="780" w:type="dxa"/>
            <w:gridSpan w:val="3"/>
            <w:tcBorders>
              <w:left w:val="single" w:sz="6" w:space="0" w:color="auto"/>
            </w:tcBorders>
          </w:tcPr>
          <w:p w:rsidR="00B40966" w:rsidRDefault="00B40966">
            <w:pPr>
              <w:pStyle w:val="TableText"/>
              <w:jc w:val="center"/>
              <w:rPr>
                <w:sz w:val="20"/>
              </w:rPr>
            </w:pPr>
            <w:r>
              <w:rPr>
                <w:sz w:val="20"/>
              </w:rPr>
              <w:t>14</w:t>
            </w:r>
          </w:p>
        </w:tc>
        <w:tc>
          <w:tcPr>
            <w:tcW w:w="832" w:type="dxa"/>
          </w:tcPr>
          <w:p w:rsidR="00B40966" w:rsidRDefault="00B40966">
            <w:pPr>
              <w:pStyle w:val="TableText"/>
              <w:jc w:val="center"/>
              <w:rPr>
                <w:sz w:val="20"/>
              </w:rPr>
            </w:pPr>
            <w:r>
              <w:rPr>
                <w:sz w:val="20"/>
              </w:rPr>
              <w:t>1</w:t>
            </w:r>
          </w:p>
        </w:tc>
        <w:tc>
          <w:tcPr>
            <w:tcW w:w="768" w:type="dxa"/>
            <w:tcBorders>
              <w:left w:val="single" w:sz="6" w:space="0" w:color="auto"/>
            </w:tcBorders>
          </w:tcPr>
          <w:p w:rsidR="00B40966" w:rsidRDefault="00B40966">
            <w:pPr>
              <w:pStyle w:val="TableText"/>
              <w:jc w:val="center"/>
              <w:rPr>
                <w:sz w:val="20"/>
              </w:rPr>
            </w:pPr>
            <w:r>
              <w:rPr>
                <w:sz w:val="20"/>
              </w:rPr>
              <w:t>11</w:t>
            </w:r>
          </w:p>
        </w:tc>
        <w:tc>
          <w:tcPr>
            <w:tcW w:w="780" w:type="dxa"/>
          </w:tcPr>
          <w:p w:rsidR="00B40966" w:rsidRDefault="00B40966">
            <w:pPr>
              <w:pStyle w:val="TableText"/>
              <w:jc w:val="center"/>
              <w:rPr>
                <w:sz w:val="20"/>
              </w:rPr>
            </w:pPr>
            <w:r>
              <w:rPr>
                <w:sz w:val="20"/>
              </w:rPr>
              <w:t>9</w:t>
            </w:r>
          </w:p>
        </w:tc>
        <w:tc>
          <w:tcPr>
            <w:tcW w:w="766" w:type="dxa"/>
            <w:tcBorders>
              <w:left w:val="single" w:sz="6" w:space="0" w:color="auto"/>
            </w:tcBorders>
          </w:tcPr>
          <w:p w:rsidR="00B40966" w:rsidRDefault="00B40966">
            <w:pPr>
              <w:pStyle w:val="TableText"/>
              <w:jc w:val="center"/>
              <w:rPr>
                <w:sz w:val="20"/>
              </w:rPr>
            </w:pPr>
            <w:r>
              <w:rPr>
                <w:sz w:val="20"/>
              </w:rPr>
              <w:t>8</w:t>
            </w:r>
          </w:p>
        </w:tc>
        <w:tc>
          <w:tcPr>
            <w:tcW w:w="734" w:type="dxa"/>
          </w:tcPr>
          <w:p w:rsidR="00B40966" w:rsidRDefault="00B40966">
            <w:pPr>
              <w:pStyle w:val="TableText"/>
              <w:jc w:val="center"/>
              <w:rPr>
                <w:sz w:val="20"/>
              </w:rPr>
            </w:pPr>
            <w:r>
              <w:rPr>
                <w:sz w:val="20"/>
              </w:rPr>
              <w:t>2</w:t>
            </w:r>
          </w:p>
        </w:tc>
        <w:tc>
          <w:tcPr>
            <w:tcW w:w="826" w:type="dxa"/>
            <w:tcBorders>
              <w:left w:val="single" w:sz="6" w:space="0" w:color="auto"/>
            </w:tcBorders>
          </w:tcPr>
          <w:p w:rsidR="00B40966" w:rsidRDefault="00B40966">
            <w:pPr>
              <w:pStyle w:val="TableText"/>
              <w:jc w:val="center"/>
              <w:rPr>
                <w:sz w:val="20"/>
              </w:rPr>
            </w:pPr>
            <w:r>
              <w:rPr>
                <w:sz w:val="20"/>
              </w:rPr>
              <w:t>4</w:t>
            </w:r>
          </w:p>
        </w:tc>
        <w:tc>
          <w:tcPr>
            <w:tcW w:w="650" w:type="dxa"/>
          </w:tcPr>
          <w:p w:rsidR="00B40966" w:rsidRDefault="00B40966">
            <w:pPr>
              <w:pStyle w:val="TableText"/>
              <w:jc w:val="center"/>
              <w:rPr>
                <w:sz w:val="20"/>
              </w:rPr>
            </w:pPr>
            <w:r>
              <w:rPr>
                <w:sz w:val="20"/>
              </w:rPr>
              <w:t>4</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B40966" w:rsidRDefault="00B40966">
            <w:pPr>
              <w:pStyle w:val="TableText"/>
              <w:jc w:val="center"/>
              <w:rPr>
                <w:sz w:val="20"/>
              </w:rPr>
            </w:pPr>
            <w:r>
              <w:rPr>
                <w:sz w:val="20"/>
              </w:rPr>
              <w:t>9</w:t>
            </w:r>
          </w:p>
        </w:tc>
        <w:tc>
          <w:tcPr>
            <w:tcW w:w="840" w:type="dxa"/>
          </w:tcPr>
          <w:p w:rsidR="00B40966" w:rsidRDefault="00B40966">
            <w:pPr>
              <w:pStyle w:val="TableText"/>
              <w:jc w:val="center"/>
              <w:rPr>
                <w:sz w:val="20"/>
              </w:rPr>
            </w:pPr>
            <w:r>
              <w:rPr>
                <w:sz w:val="20"/>
              </w:rPr>
              <w:t>0</w:t>
            </w:r>
          </w:p>
        </w:tc>
        <w:tc>
          <w:tcPr>
            <w:tcW w:w="600" w:type="dxa"/>
            <w:gridSpan w:val="2"/>
            <w:tcBorders>
              <w:left w:val="single" w:sz="6" w:space="0" w:color="auto"/>
            </w:tcBorders>
          </w:tcPr>
          <w:p w:rsidR="00B40966" w:rsidRDefault="00B40966">
            <w:pPr>
              <w:pStyle w:val="TableText"/>
              <w:jc w:val="center"/>
              <w:rPr>
                <w:sz w:val="20"/>
              </w:rPr>
            </w:pPr>
            <w:r>
              <w:rPr>
                <w:sz w:val="20"/>
              </w:rPr>
              <w:t>17</w:t>
            </w:r>
          </w:p>
        </w:tc>
        <w:tc>
          <w:tcPr>
            <w:tcW w:w="692" w:type="dxa"/>
          </w:tcPr>
          <w:p w:rsidR="00B40966" w:rsidRDefault="00B40966">
            <w:pPr>
              <w:pStyle w:val="TableText"/>
              <w:jc w:val="center"/>
              <w:rPr>
                <w:sz w:val="20"/>
              </w:rPr>
            </w:pPr>
            <w:r>
              <w:rPr>
                <w:sz w:val="20"/>
              </w:rPr>
              <w:t>8</w:t>
            </w:r>
          </w:p>
        </w:tc>
        <w:tc>
          <w:tcPr>
            <w:tcW w:w="780" w:type="dxa"/>
            <w:gridSpan w:val="3"/>
            <w:tcBorders>
              <w:left w:val="single" w:sz="6" w:space="0" w:color="auto"/>
            </w:tcBorders>
          </w:tcPr>
          <w:p w:rsidR="00B40966" w:rsidRDefault="00B40966">
            <w:pPr>
              <w:pStyle w:val="TableText"/>
              <w:jc w:val="center"/>
              <w:rPr>
                <w:sz w:val="20"/>
              </w:rPr>
            </w:pPr>
            <w:r>
              <w:rPr>
                <w:sz w:val="20"/>
              </w:rPr>
              <w:t>15</w:t>
            </w:r>
          </w:p>
        </w:tc>
        <w:tc>
          <w:tcPr>
            <w:tcW w:w="832" w:type="dxa"/>
          </w:tcPr>
          <w:p w:rsidR="00B40966" w:rsidRDefault="00B40966">
            <w:pPr>
              <w:pStyle w:val="TableText"/>
              <w:jc w:val="center"/>
              <w:rPr>
                <w:sz w:val="20"/>
              </w:rPr>
            </w:pPr>
            <w:r>
              <w:rPr>
                <w:sz w:val="20"/>
              </w:rPr>
              <w:t>12</w:t>
            </w:r>
          </w:p>
        </w:tc>
        <w:tc>
          <w:tcPr>
            <w:tcW w:w="768" w:type="dxa"/>
            <w:tcBorders>
              <w:left w:val="single" w:sz="6" w:space="0" w:color="auto"/>
            </w:tcBorders>
          </w:tcPr>
          <w:p w:rsidR="00B40966" w:rsidRDefault="00B40966">
            <w:pPr>
              <w:pStyle w:val="TableText"/>
              <w:jc w:val="center"/>
              <w:rPr>
                <w:sz w:val="20"/>
              </w:rPr>
            </w:pPr>
            <w:r>
              <w:rPr>
                <w:sz w:val="20"/>
              </w:rPr>
              <w:t>12</w:t>
            </w:r>
          </w:p>
        </w:tc>
        <w:tc>
          <w:tcPr>
            <w:tcW w:w="780" w:type="dxa"/>
          </w:tcPr>
          <w:p w:rsidR="00B40966" w:rsidRDefault="00B40966">
            <w:pPr>
              <w:pStyle w:val="TableText"/>
              <w:jc w:val="center"/>
              <w:rPr>
                <w:sz w:val="20"/>
              </w:rPr>
            </w:pPr>
            <w:r>
              <w:rPr>
                <w:sz w:val="20"/>
              </w:rPr>
              <w:t>14</w:t>
            </w:r>
          </w:p>
        </w:tc>
        <w:tc>
          <w:tcPr>
            <w:tcW w:w="766" w:type="dxa"/>
            <w:tcBorders>
              <w:left w:val="single" w:sz="6" w:space="0" w:color="auto"/>
            </w:tcBorders>
          </w:tcPr>
          <w:p w:rsidR="00B40966" w:rsidRDefault="00B40966">
            <w:pPr>
              <w:pStyle w:val="TableText"/>
              <w:jc w:val="center"/>
              <w:rPr>
                <w:sz w:val="20"/>
              </w:rPr>
            </w:pPr>
            <w:r>
              <w:rPr>
                <w:sz w:val="20"/>
              </w:rPr>
              <w:t>9</w:t>
            </w:r>
          </w:p>
        </w:tc>
        <w:tc>
          <w:tcPr>
            <w:tcW w:w="734" w:type="dxa"/>
          </w:tcPr>
          <w:p w:rsidR="00B40966" w:rsidRDefault="00B40966">
            <w:pPr>
              <w:pStyle w:val="TableText"/>
              <w:jc w:val="center"/>
              <w:rPr>
                <w:sz w:val="20"/>
              </w:rPr>
            </w:pPr>
            <w:r>
              <w:rPr>
                <w:sz w:val="20"/>
              </w:rPr>
              <w:t>0</w:t>
            </w:r>
          </w:p>
        </w:tc>
        <w:tc>
          <w:tcPr>
            <w:tcW w:w="826" w:type="dxa"/>
            <w:tcBorders>
              <w:left w:val="single" w:sz="6" w:space="0" w:color="auto"/>
            </w:tcBorders>
          </w:tcPr>
          <w:p w:rsidR="00B40966" w:rsidRDefault="00B40966">
            <w:pPr>
              <w:pStyle w:val="TableText"/>
              <w:jc w:val="center"/>
              <w:rPr>
                <w:sz w:val="20"/>
              </w:rPr>
            </w:pPr>
            <w:r>
              <w:rPr>
                <w:sz w:val="20"/>
              </w:rPr>
              <w:t>4</w:t>
            </w:r>
          </w:p>
        </w:tc>
        <w:tc>
          <w:tcPr>
            <w:tcW w:w="650" w:type="dxa"/>
          </w:tcPr>
          <w:p w:rsidR="00B40966" w:rsidRDefault="00B40966">
            <w:pPr>
              <w:pStyle w:val="TableText"/>
              <w:jc w:val="center"/>
              <w:rPr>
                <w:sz w:val="20"/>
              </w:rPr>
            </w:pPr>
            <w:r>
              <w:rPr>
                <w:sz w:val="20"/>
              </w:rPr>
              <w:t>13</w:t>
            </w:r>
          </w:p>
        </w:tc>
      </w:tr>
      <w:tr w:rsidR="00B40966">
        <w:trPr>
          <w:cantSplit/>
          <w:trHeight w:val="200"/>
        </w:trPr>
        <w:tc>
          <w:tcPr>
            <w:tcW w:w="968" w:type="dxa"/>
          </w:tcPr>
          <w:p w:rsidR="00B40966" w:rsidRDefault="00B40966">
            <w:pPr>
              <w:pStyle w:val="TableText"/>
              <w:jc w:val="center"/>
              <w:rPr>
                <w:sz w:val="20"/>
              </w:rPr>
            </w:pPr>
            <w:r>
              <w:rPr>
                <w:sz w:val="20"/>
              </w:rPr>
              <w:t>5</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B40966" w:rsidRDefault="00B40966">
            <w:pPr>
              <w:pStyle w:val="TableText"/>
              <w:jc w:val="center"/>
              <w:rPr>
                <w:sz w:val="20"/>
              </w:rPr>
            </w:pPr>
            <w:r>
              <w:rPr>
                <w:sz w:val="20"/>
              </w:rPr>
              <w:t>9</w:t>
            </w:r>
          </w:p>
        </w:tc>
        <w:tc>
          <w:tcPr>
            <w:tcW w:w="840" w:type="dxa"/>
          </w:tcPr>
          <w:p w:rsidR="00B40966" w:rsidRDefault="00B40966">
            <w:pPr>
              <w:pStyle w:val="TableText"/>
              <w:jc w:val="center"/>
              <w:rPr>
                <w:sz w:val="20"/>
              </w:rPr>
            </w:pPr>
            <w:r>
              <w:rPr>
                <w:sz w:val="20"/>
              </w:rPr>
              <w:t>19</w:t>
            </w:r>
          </w:p>
        </w:tc>
        <w:tc>
          <w:tcPr>
            <w:tcW w:w="600" w:type="dxa"/>
            <w:gridSpan w:val="2"/>
            <w:tcBorders>
              <w:left w:val="single" w:sz="6" w:space="0" w:color="auto"/>
            </w:tcBorders>
          </w:tcPr>
          <w:p w:rsidR="00B40966" w:rsidRDefault="00B40966">
            <w:pPr>
              <w:pStyle w:val="TableText"/>
              <w:jc w:val="center"/>
              <w:rPr>
                <w:sz w:val="20"/>
              </w:rPr>
            </w:pPr>
            <w:r>
              <w:rPr>
                <w:sz w:val="20"/>
              </w:rPr>
              <w:t>19</w:t>
            </w:r>
          </w:p>
        </w:tc>
        <w:tc>
          <w:tcPr>
            <w:tcW w:w="692" w:type="dxa"/>
          </w:tcPr>
          <w:p w:rsidR="00B40966" w:rsidRDefault="00B40966">
            <w:pPr>
              <w:pStyle w:val="TableText"/>
              <w:jc w:val="center"/>
              <w:rPr>
                <w:sz w:val="20"/>
              </w:rPr>
            </w:pPr>
            <w:r>
              <w:rPr>
                <w:sz w:val="20"/>
              </w:rPr>
              <w:t>4</w:t>
            </w:r>
          </w:p>
        </w:tc>
        <w:tc>
          <w:tcPr>
            <w:tcW w:w="780" w:type="dxa"/>
            <w:gridSpan w:val="3"/>
            <w:tcBorders>
              <w:left w:val="single" w:sz="6" w:space="0" w:color="auto"/>
            </w:tcBorders>
          </w:tcPr>
          <w:p w:rsidR="00B40966" w:rsidRDefault="00B40966">
            <w:pPr>
              <w:pStyle w:val="TableText"/>
              <w:jc w:val="center"/>
              <w:rPr>
                <w:sz w:val="20"/>
              </w:rPr>
            </w:pPr>
            <w:r>
              <w:rPr>
                <w:sz w:val="20"/>
              </w:rPr>
              <w:t>17</w:t>
            </w:r>
          </w:p>
        </w:tc>
        <w:tc>
          <w:tcPr>
            <w:tcW w:w="832" w:type="dxa"/>
          </w:tcPr>
          <w:p w:rsidR="00B40966" w:rsidRDefault="00B40966">
            <w:pPr>
              <w:pStyle w:val="TableText"/>
              <w:jc w:val="center"/>
              <w:rPr>
                <w:sz w:val="20"/>
              </w:rPr>
            </w:pPr>
            <w:r>
              <w:rPr>
                <w:sz w:val="20"/>
              </w:rPr>
              <w:t>5</w:t>
            </w:r>
          </w:p>
        </w:tc>
        <w:tc>
          <w:tcPr>
            <w:tcW w:w="768" w:type="dxa"/>
            <w:tcBorders>
              <w:left w:val="single" w:sz="6" w:space="0" w:color="auto"/>
            </w:tcBorders>
          </w:tcPr>
          <w:p w:rsidR="00B40966" w:rsidRDefault="00B40966">
            <w:pPr>
              <w:pStyle w:val="TableText"/>
              <w:jc w:val="center"/>
              <w:rPr>
                <w:sz w:val="20"/>
              </w:rPr>
            </w:pPr>
            <w:r>
              <w:rPr>
                <w:sz w:val="20"/>
              </w:rPr>
              <w:t>14</w:t>
            </w:r>
          </w:p>
        </w:tc>
        <w:tc>
          <w:tcPr>
            <w:tcW w:w="780" w:type="dxa"/>
          </w:tcPr>
          <w:p w:rsidR="00B40966" w:rsidRDefault="00B40966">
            <w:pPr>
              <w:pStyle w:val="TableText"/>
              <w:jc w:val="center"/>
              <w:rPr>
                <w:sz w:val="20"/>
              </w:rPr>
            </w:pPr>
            <w:r>
              <w:rPr>
                <w:sz w:val="20"/>
              </w:rPr>
              <w:t>1</w:t>
            </w:r>
          </w:p>
        </w:tc>
        <w:tc>
          <w:tcPr>
            <w:tcW w:w="766" w:type="dxa"/>
            <w:tcBorders>
              <w:left w:val="single" w:sz="6" w:space="0" w:color="auto"/>
            </w:tcBorders>
          </w:tcPr>
          <w:p w:rsidR="00B40966" w:rsidRDefault="00B40966">
            <w:pPr>
              <w:pStyle w:val="TableText"/>
              <w:jc w:val="center"/>
              <w:rPr>
                <w:sz w:val="20"/>
              </w:rPr>
            </w:pPr>
            <w:r>
              <w:rPr>
                <w:sz w:val="20"/>
              </w:rPr>
              <w:t>9</w:t>
            </w:r>
          </w:p>
        </w:tc>
        <w:tc>
          <w:tcPr>
            <w:tcW w:w="734" w:type="dxa"/>
          </w:tcPr>
          <w:p w:rsidR="00B40966" w:rsidRDefault="00B40966">
            <w:pPr>
              <w:pStyle w:val="TableText"/>
              <w:jc w:val="center"/>
              <w:rPr>
                <w:sz w:val="20"/>
              </w:rPr>
            </w:pPr>
            <w:r>
              <w:rPr>
                <w:sz w:val="20"/>
              </w:rPr>
              <w:t>19</w:t>
            </w:r>
          </w:p>
        </w:tc>
        <w:tc>
          <w:tcPr>
            <w:tcW w:w="826" w:type="dxa"/>
            <w:tcBorders>
              <w:left w:val="single" w:sz="6" w:space="0" w:color="auto"/>
            </w:tcBorders>
          </w:tcPr>
          <w:p w:rsidR="00B40966" w:rsidRDefault="00B40966">
            <w:pPr>
              <w:pStyle w:val="TableText"/>
              <w:jc w:val="center"/>
              <w:rPr>
                <w:sz w:val="20"/>
              </w:rPr>
            </w:pPr>
            <w:r>
              <w:rPr>
                <w:sz w:val="20"/>
              </w:rPr>
              <w:t>5</w:t>
            </w:r>
          </w:p>
        </w:tc>
        <w:tc>
          <w:tcPr>
            <w:tcW w:w="650" w:type="dxa"/>
          </w:tcPr>
          <w:p w:rsidR="00B40966" w:rsidRDefault="00B40966">
            <w:pPr>
              <w:pStyle w:val="TableText"/>
              <w:jc w:val="center"/>
              <w:rPr>
                <w:sz w:val="20"/>
              </w:rPr>
            </w:pPr>
            <w:r>
              <w:rPr>
                <w:sz w:val="20"/>
              </w:rPr>
              <w:t>3</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B40966" w:rsidRDefault="00B40966">
            <w:pPr>
              <w:pStyle w:val="TableText"/>
              <w:jc w:val="center"/>
              <w:rPr>
                <w:sz w:val="20"/>
              </w:rPr>
            </w:pPr>
            <w:r>
              <w:rPr>
                <w:sz w:val="20"/>
              </w:rPr>
              <w:t>11</w:t>
            </w:r>
          </w:p>
        </w:tc>
        <w:tc>
          <w:tcPr>
            <w:tcW w:w="840" w:type="dxa"/>
          </w:tcPr>
          <w:p w:rsidR="00B40966" w:rsidRDefault="00B40966">
            <w:pPr>
              <w:pStyle w:val="TableText"/>
              <w:jc w:val="center"/>
              <w:rPr>
                <w:sz w:val="20"/>
              </w:rPr>
            </w:pP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21</w:t>
            </w:r>
          </w:p>
        </w:tc>
        <w:tc>
          <w:tcPr>
            <w:tcW w:w="692" w:type="dxa"/>
          </w:tcPr>
          <w:p w:rsidR="00B40966" w:rsidRDefault="00B40966">
            <w:pPr>
              <w:pStyle w:val="TableText"/>
              <w:jc w:val="center"/>
              <w:rPr>
                <w:sz w:val="20"/>
              </w:rPr>
            </w:pPr>
            <w:r>
              <w:rPr>
                <w:sz w:val="20"/>
              </w:rPr>
              <w:t>9</w:t>
            </w:r>
          </w:p>
        </w:tc>
        <w:tc>
          <w:tcPr>
            <w:tcW w:w="780" w:type="dxa"/>
            <w:gridSpan w:val="3"/>
            <w:tcBorders>
              <w:left w:val="single" w:sz="6" w:space="0" w:color="auto"/>
            </w:tcBorders>
          </w:tcPr>
          <w:p w:rsidR="00B40966" w:rsidRDefault="00B40966">
            <w:pPr>
              <w:pStyle w:val="TableText"/>
              <w:jc w:val="center"/>
              <w:rPr>
                <w:sz w:val="20"/>
              </w:rPr>
            </w:pPr>
            <w:r>
              <w:rPr>
                <w:sz w:val="20"/>
              </w:rPr>
              <w:t>19</w:t>
            </w:r>
          </w:p>
        </w:tc>
        <w:tc>
          <w:tcPr>
            <w:tcW w:w="832" w:type="dxa"/>
          </w:tcPr>
          <w:p w:rsidR="00B40966" w:rsidRDefault="00B40966">
            <w:pPr>
              <w:pStyle w:val="TableText"/>
              <w:jc w:val="center"/>
              <w:rPr>
                <w:sz w:val="20"/>
              </w:rPr>
            </w:pPr>
            <w:r>
              <w:rPr>
                <w:sz w:val="20"/>
              </w:rPr>
              <w:t>4</w:t>
            </w:r>
          </w:p>
        </w:tc>
        <w:tc>
          <w:tcPr>
            <w:tcW w:w="768" w:type="dxa"/>
            <w:tcBorders>
              <w:left w:val="single" w:sz="6" w:space="0" w:color="auto"/>
            </w:tcBorders>
          </w:tcPr>
          <w:p w:rsidR="00B40966" w:rsidRDefault="00B40966">
            <w:pPr>
              <w:pStyle w:val="TableText"/>
              <w:jc w:val="center"/>
              <w:rPr>
                <w:sz w:val="20"/>
              </w:rPr>
            </w:pPr>
            <w:r>
              <w:rPr>
                <w:sz w:val="20"/>
              </w:rPr>
              <w:t>15</w:t>
            </w:r>
          </w:p>
        </w:tc>
        <w:tc>
          <w:tcPr>
            <w:tcW w:w="780" w:type="dxa"/>
          </w:tcPr>
          <w:p w:rsidR="00B40966" w:rsidRDefault="00B40966">
            <w:pPr>
              <w:pStyle w:val="TableText"/>
              <w:jc w:val="center"/>
              <w:rPr>
                <w:sz w:val="20"/>
              </w:rPr>
            </w:pPr>
            <w:r>
              <w:rPr>
                <w:sz w:val="20"/>
              </w:rPr>
              <w:t>14</w:t>
            </w:r>
          </w:p>
        </w:tc>
        <w:tc>
          <w:tcPr>
            <w:tcW w:w="766" w:type="dxa"/>
            <w:tcBorders>
              <w:left w:val="single" w:sz="6" w:space="0" w:color="auto"/>
            </w:tcBorders>
          </w:tcPr>
          <w:p w:rsidR="00B40966" w:rsidRDefault="00B40966">
            <w:pPr>
              <w:pStyle w:val="TableText"/>
              <w:jc w:val="center"/>
              <w:rPr>
                <w:sz w:val="20"/>
              </w:rPr>
            </w:pPr>
            <w:r>
              <w:rPr>
                <w:sz w:val="20"/>
              </w:rPr>
              <w:t>11</w:t>
            </w:r>
          </w:p>
        </w:tc>
        <w:tc>
          <w:tcPr>
            <w:tcW w:w="734" w:type="dxa"/>
          </w:tcPr>
          <w:p w:rsidR="00B40966" w:rsidRDefault="00B40966">
            <w:pPr>
              <w:pStyle w:val="TableText"/>
              <w:jc w:val="center"/>
              <w:rPr>
                <w:sz w:val="20"/>
              </w:rPr>
            </w:pPr>
            <w:r>
              <w:rPr>
                <w:sz w:val="20"/>
              </w:rPr>
              <w:t>2</w:t>
            </w:r>
          </w:p>
        </w:tc>
        <w:tc>
          <w:tcPr>
            <w:tcW w:w="826" w:type="dxa"/>
            <w:tcBorders>
              <w:left w:val="single" w:sz="6" w:space="0" w:color="auto"/>
            </w:tcBorders>
          </w:tcPr>
          <w:p w:rsidR="00B40966" w:rsidRDefault="00B40966">
            <w:pPr>
              <w:pStyle w:val="TableText"/>
              <w:jc w:val="center"/>
              <w:rPr>
                <w:sz w:val="20"/>
              </w:rPr>
            </w:pPr>
            <w:r>
              <w:rPr>
                <w:sz w:val="20"/>
              </w:rPr>
              <w:t>5</w:t>
            </w:r>
          </w:p>
        </w:tc>
        <w:tc>
          <w:tcPr>
            <w:tcW w:w="650" w:type="dxa"/>
          </w:tcPr>
          <w:p w:rsidR="00B40966" w:rsidRDefault="00B40966">
            <w:pPr>
              <w:pStyle w:val="TableText"/>
              <w:jc w:val="center"/>
              <w:rPr>
                <w:sz w:val="20"/>
              </w:rPr>
            </w:pPr>
            <w:r>
              <w:rPr>
                <w:sz w:val="20"/>
              </w:rPr>
              <w:t>15</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B40966" w:rsidRDefault="00B40966">
            <w:pPr>
              <w:pStyle w:val="TableText"/>
              <w:jc w:val="center"/>
              <w:rPr>
                <w:sz w:val="20"/>
              </w:rPr>
            </w:pPr>
            <w:r>
              <w:rPr>
                <w:sz w:val="20"/>
              </w:rPr>
              <w:t>12</w:t>
            </w:r>
          </w:p>
        </w:tc>
        <w:tc>
          <w:tcPr>
            <w:tcW w:w="840" w:type="dxa"/>
          </w:tcPr>
          <w:p w:rsidR="00B40966" w:rsidRDefault="00B40966">
            <w:pPr>
              <w:pStyle w:val="TableText"/>
              <w:jc w:val="center"/>
              <w:rPr>
                <w:sz w:val="20"/>
              </w:rPr>
            </w:pP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23</w:t>
            </w:r>
          </w:p>
        </w:tc>
        <w:tc>
          <w:tcPr>
            <w:tcW w:w="692" w:type="dxa"/>
          </w:tcPr>
          <w:p w:rsidR="00B40966" w:rsidRDefault="00B40966">
            <w:pPr>
              <w:pStyle w:val="TableText"/>
              <w:jc w:val="center"/>
              <w:rPr>
                <w:sz w:val="20"/>
              </w:rPr>
            </w:pPr>
            <w:r>
              <w:rPr>
                <w:sz w:val="20"/>
              </w:rPr>
              <w:t>7</w:t>
            </w:r>
          </w:p>
        </w:tc>
        <w:tc>
          <w:tcPr>
            <w:tcW w:w="780" w:type="dxa"/>
            <w:gridSpan w:val="3"/>
            <w:tcBorders>
              <w:left w:val="single" w:sz="6" w:space="0" w:color="auto"/>
            </w:tcBorders>
          </w:tcPr>
          <w:p w:rsidR="00B40966" w:rsidRDefault="00B40966">
            <w:pPr>
              <w:pStyle w:val="TableText"/>
              <w:jc w:val="center"/>
              <w:rPr>
                <w:sz w:val="20"/>
              </w:rPr>
            </w:pPr>
            <w:r>
              <w:rPr>
                <w:sz w:val="20"/>
              </w:rPr>
              <w:t>20</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17</w:t>
            </w:r>
          </w:p>
        </w:tc>
        <w:tc>
          <w:tcPr>
            <w:tcW w:w="780" w:type="dxa"/>
          </w:tcPr>
          <w:p w:rsidR="00B40966" w:rsidRDefault="00B40966">
            <w:pPr>
              <w:pStyle w:val="TableText"/>
              <w:jc w:val="center"/>
              <w:rPr>
                <w:sz w:val="20"/>
              </w:rPr>
            </w:pPr>
            <w:r>
              <w:rPr>
                <w:sz w:val="20"/>
              </w:rPr>
              <w:t>2</w:t>
            </w:r>
          </w:p>
        </w:tc>
        <w:tc>
          <w:tcPr>
            <w:tcW w:w="766" w:type="dxa"/>
            <w:tcBorders>
              <w:left w:val="single" w:sz="6" w:space="0" w:color="auto"/>
            </w:tcBorders>
          </w:tcPr>
          <w:p w:rsidR="00B40966" w:rsidRDefault="00B40966">
            <w:pPr>
              <w:pStyle w:val="TableText"/>
              <w:jc w:val="center"/>
              <w:rPr>
                <w:sz w:val="20"/>
              </w:rPr>
            </w:pPr>
            <w:r>
              <w:rPr>
                <w:sz w:val="20"/>
              </w:rPr>
              <w:t>12</w:t>
            </w:r>
          </w:p>
        </w:tc>
        <w:tc>
          <w:tcPr>
            <w:tcW w:w="734" w:type="dxa"/>
          </w:tcPr>
          <w:p w:rsidR="00B40966" w:rsidRDefault="00B40966">
            <w:pPr>
              <w:pStyle w:val="TableText"/>
              <w:jc w:val="center"/>
              <w:rPr>
                <w:sz w:val="20"/>
              </w:rPr>
            </w:pPr>
            <w:r>
              <w:rPr>
                <w:sz w:val="20"/>
              </w:rPr>
              <w:t>2</w:t>
            </w:r>
          </w:p>
        </w:tc>
        <w:tc>
          <w:tcPr>
            <w:tcW w:w="826" w:type="dxa"/>
            <w:tcBorders>
              <w:left w:val="single" w:sz="6" w:space="0" w:color="auto"/>
            </w:tcBorders>
          </w:tcPr>
          <w:p w:rsidR="00B40966" w:rsidRDefault="00B40966">
            <w:pPr>
              <w:pStyle w:val="TableText"/>
              <w:jc w:val="center"/>
              <w:rPr>
                <w:sz w:val="20"/>
              </w:rPr>
            </w:pPr>
            <w:r>
              <w:rPr>
                <w:sz w:val="20"/>
              </w:rPr>
              <w:t>6</w:t>
            </w:r>
          </w:p>
        </w:tc>
        <w:tc>
          <w:tcPr>
            <w:tcW w:w="650" w:type="dxa"/>
          </w:tcPr>
          <w:p w:rsidR="00B40966" w:rsidRDefault="00B40966">
            <w:pPr>
              <w:pStyle w:val="TableText"/>
              <w:jc w:val="center"/>
              <w:rPr>
                <w:sz w:val="20"/>
              </w:rPr>
            </w:pPr>
            <w:r>
              <w:rPr>
                <w:sz w:val="20"/>
              </w:rPr>
              <w:t>5</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48" w:type="dxa"/>
            <w:gridSpan w:val="3"/>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B40966" w:rsidRDefault="00B40966">
            <w:pPr>
              <w:pStyle w:val="TableText"/>
              <w:jc w:val="center"/>
              <w:rPr>
                <w:sz w:val="20"/>
              </w:rPr>
            </w:pPr>
            <w:r>
              <w:rPr>
                <w:sz w:val="20"/>
              </w:rPr>
              <w:t>13</w:t>
            </w:r>
          </w:p>
        </w:tc>
        <w:tc>
          <w:tcPr>
            <w:tcW w:w="840" w:type="dxa"/>
          </w:tcPr>
          <w:p w:rsidR="00B40966" w:rsidRDefault="00B40966">
            <w:pPr>
              <w:pStyle w:val="TableText"/>
              <w:jc w:val="center"/>
              <w:rPr>
                <w:sz w:val="20"/>
              </w:rPr>
            </w:pPr>
            <w:r>
              <w:rPr>
                <w:sz w:val="20"/>
              </w:rPr>
              <w:t>4</w:t>
            </w:r>
          </w:p>
        </w:tc>
        <w:tc>
          <w:tcPr>
            <w:tcW w:w="600" w:type="dxa"/>
            <w:gridSpan w:val="2"/>
            <w:tcBorders>
              <w:left w:val="single" w:sz="6" w:space="0" w:color="auto"/>
            </w:tcBorders>
          </w:tcPr>
          <w:p w:rsidR="00B40966" w:rsidRDefault="00B40966">
            <w:pPr>
              <w:pStyle w:val="TableText"/>
              <w:jc w:val="center"/>
              <w:rPr>
                <w:sz w:val="20"/>
              </w:rPr>
            </w:pPr>
            <w:r>
              <w:rPr>
                <w:sz w:val="20"/>
              </w:rPr>
              <w:t>25</w:t>
            </w:r>
          </w:p>
        </w:tc>
        <w:tc>
          <w:tcPr>
            <w:tcW w:w="692" w:type="dxa"/>
          </w:tcPr>
          <w:p w:rsidR="00B40966" w:rsidRDefault="00B40966">
            <w:pPr>
              <w:pStyle w:val="TableText"/>
              <w:jc w:val="center"/>
              <w:rPr>
                <w:sz w:val="20"/>
              </w:rPr>
            </w:pPr>
            <w:r>
              <w:rPr>
                <w:sz w:val="20"/>
              </w:rPr>
              <w:t>10</w:t>
            </w:r>
          </w:p>
        </w:tc>
        <w:tc>
          <w:tcPr>
            <w:tcW w:w="780" w:type="dxa"/>
            <w:gridSpan w:val="3"/>
            <w:tcBorders>
              <w:left w:val="single" w:sz="6" w:space="0" w:color="auto"/>
            </w:tcBorders>
          </w:tcPr>
          <w:p w:rsidR="00B40966" w:rsidRDefault="00B40966">
            <w:pPr>
              <w:pStyle w:val="TableText"/>
              <w:jc w:val="center"/>
              <w:rPr>
                <w:sz w:val="20"/>
              </w:rPr>
            </w:pPr>
            <w:r>
              <w:rPr>
                <w:sz w:val="20"/>
              </w:rPr>
              <w:t>22</w:t>
            </w:r>
          </w:p>
        </w:tc>
        <w:tc>
          <w:tcPr>
            <w:tcW w:w="832" w:type="dxa"/>
          </w:tcPr>
          <w:p w:rsidR="00B40966" w:rsidRDefault="00B40966">
            <w:pPr>
              <w:pStyle w:val="TableText"/>
              <w:jc w:val="center"/>
              <w:rPr>
                <w:sz w:val="20"/>
              </w:rPr>
            </w:pPr>
            <w:r>
              <w:rPr>
                <w:sz w:val="20"/>
              </w:rPr>
              <w:t>17</w:t>
            </w:r>
          </w:p>
        </w:tc>
        <w:tc>
          <w:tcPr>
            <w:tcW w:w="768" w:type="dxa"/>
            <w:tcBorders>
              <w:left w:val="single" w:sz="6" w:space="0" w:color="auto"/>
            </w:tcBorders>
          </w:tcPr>
          <w:p w:rsidR="00B40966" w:rsidRDefault="00B40966">
            <w:pPr>
              <w:pStyle w:val="TableText"/>
              <w:jc w:val="center"/>
              <w:rPr>
                <w:sz w:val="20"/>
              </w:rPr>
            </w:pPr>
            <w:r>
              <w:rPr>
                <w:sz w:val="20"/>
              </w:rPr>
              <w:t>18</w:t>
            </w:r>
          </w:p>
        </w:tc>
        <w:tc>
          <w:tcPr>
            <w:tcW w:w="780" w:type="dxa"/>
          </w:tcPr>
          <w:p w:rsidR="00B40966" w:rsidRDefault="00B40966">
            <w:pPr>
              <w:pStyle w:val="TableText"/>
              <w:jc w:val="center"/>
              <w:rPr>
                <w:sz w:val="20"/>
              </w:rPr>
            </w:pPr>
            <w:r>
              <w:rPr>
                <w:sz w:val="20"/>
              </w:rPr>
              <w:t>14</w:t>
            </w:r>
          </w:p>
        </w:tc>
        <w:tc>
          <w:tcPr>
            <w:tcW w:w="766" w:type="dxa"/>
            <w:tcBorders>
              <w:left w:val="single" w:sz="6" w:space="0" w:color="auto"/>
            </w:tcBorders>
          </w:tcPr>
          <w:p w:rsidR="00B40966" w:rsidRDefault="00B40966">
            <w:pPr>
              <w:pStyle w:val="TableText"/>
              <w:jc w:val="center"/>
              <w:rPr>
                <w:sz w:val="20"/>
              </w:rPr>
            </w:pPr>
            <w:r>
              <w:rPr>
                <w:sz w:val="20"/>
              </w:rPr>
              <w:t>13</w:t>
            </w:r>
          </w:p>
        </w:tc>
        <w:tc>
          <w:tcPr>
            <w:tcW w:w="734" w:type="dxa"/>
          </w:tcPr>
          <w:p w:rsidR="00B40966" w:rsidRDefault="00B40966">
            <w:pPr>
              <w:pStyle w:val="TableText"/>
              <w:jc w:val="center"/>
              <w:rPr>
                <w:sz w:val="20"/>
              </w:rPr>
            </w:pPr>
            <w:r>
              <w:rPr>
                <w:sz w:val="20"/>
              </w:rPr>
              <w:t>4</w:t>
            </w:r>
          </w:p>
        </w:tc>
        <w:tc>
          <w:tcPr>
            <w:tcW w:w="826" w:type="dxa"/>
            <w:tcBorders>
              <w:left w:val="single" w:sz="6" w:space="0" w:color="auto"/>
            </w:tcBorders>
          </w:tcPr>
          <w:p w:rsidR="00B40966" w:rsidRDefault="00B40966">
            <w:pPr>
              <w:pStyle w:val="TableText"/>
              <w:jc w:val="center"/>
              <w:rPr>
                <w:sz w:val="20"/>
              </w:rPr>
            </w:pPr>
            <w:r>
              <w:rPr>
                <w:sz w:val="20"/>
              </w:rPr>
              <w:t>6</w:t>
            </w:r>
          </w:p>
        </w:tc>
        <w:tc>
          <w:tcPr>
            <w:tcW w:w="650" w:type="dxa"/>
          </w:tcPr>
          <w:p w:rsidR="00B40966" w:rsidRDefault="00B40966">
            <w:pPr>
              <w:pStyle w:val="TableText"/>
              <w:jc w:val="center"/>
              <w:rPr>
                <w:sz w:val="20"/>
              </w:rPr>
            </w:pPr>
            <w:r>
              <w:rPr>
                <w:sz w:val="20"/>
              </w:rPr>
              <w:t>17</w:t>
            </w:r>
          </w:p>
        </w:tc>
      </w:tr>
      <w:tr w:rsidR="00B40966">
        <w:trPr>
          <w:cantSplit/>
          <w:trHeight w:val="200"/>
        </w:trPr>
        <w:tc>
          <w:tcPr>
            <w:tcW w:w="968" w:type="dxa"/>
            <w:tcBorders>
              <w:bottom w:val="single" w:sz="6" w:space="0" w:color="auto"/>
            </w:tcBorders>
          </w:tcPr>
          <w:p w:rsidR="00B40966" w:rsidRDefault="00B40966">
            <w:pPr>
              <w:pStyle w:val="TableText"/>
              <w:jc w:val="center"/>
              <w:rPr>
                <w:sz w:val="20"/>
              </w:rPr>
            </w:pPr>
            <w:r>
              <w:rPr>
                <w:sz w:val="20"/>
              </w:rPr>
              <w:t>6</w:t>
            </w:r>
          </w:p>
        </w:tc>
        <w:tc>
          <w:tcPr>
            <w:tcW w:w="948" w:type="dxa"/>
            <w:gridSpan w:val="3"/>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B40966" w:rsidRDefault="00B40966">
            <w:pPr>
              <w:pStyle w:val="TableText"/>
              <w:jc w:val="center"/>
              <w:rPr>
                <w:sz w:val="20"/>
              </w:rPr>
            </w:pPr>
            <w:r>
              <w:rPr>
                <w:sz w:val="20"/>
              </w:rPr>
              <w:t>14</w:t>
            </w:r>
          </w:p>
        </w:tc>
        <w:tc>
          <w:tcPr>
            <w:tcW w:w="840" w:type="dxa"/>
            <w:tcBorders>
              <w:bottom w:val="single" w:sz="6" w:space="0" w:color="auto"/>
            </w:tcBorders>
          </w:tcPr>
          <w:p w:rsidR="00B40966" w:rsidRDefault="00B40966">
            <w:pPr>
              <w:pStyle w:val="TableText"/>
              <w:jc w:val="center"/>
              <w:rPr>
                <w:sz w:val="20"/>
              </w:rPr>
            </w:pPr>
            <w:r>
              <w:rPr>
                <w:sz w:val="20"/>
              </w:rPr>
              <w:t>10</w:t>
            </w:r>
          </w:p>
        </w:tc>
        <w:tc>
          <w:tcPr>
            <w:tcW w:w="600" w:type="dxa"/>
            <w:gridSpan w:val="2"/>
            <w:tcBorders>
              <w:left w:val="single" w:sz="6" w:space="0" w:color="auto"/>
              <w:bottom w:val="single" w:sz="6" w:space="0" w:color="auto"/>
            </w:tcBorders>
          </w:tcPr>
          <w:p w:rsidR="00B40966" w:rsidRDefault="00B40966">
            <w:pPr>
              <w:pStyle w:val="TableText"/>
              <w:jc w:val="center"/>
              <w:rPr>
                <w:sz w:val="20"/>
              </w:rPr>
            </w:pPr>
            <w:r>
              <w:rPr>
                <w:sz w:val="20"/>
              </w:rPr>
              <w:t>28</w:t>
            </w:r>
          </w:p>
        </w:tc>
        <w:tc>
          <w:tcPr>
            <w:tcW w:w="692" w:type="dxa"/>
            <w:tcBorders>
              <w:bottom w:val="single" w:sz="6" w:space="0" w:color="auto"/>
            </w:tcBorders>
          </w:tcPr>
          <w:p w:rsidR="00B40966" w:rsidRDefault="00B40966">
            <w:pPr>
              <w:pStyle w:val="TableText"/>
              <w:jc w:val="center"/>
              <w:rPr>
                <w:sz w:val="20"/>
              </w:rPr>
            </w:pPr>
            <w:r>
              <w:rPr>
                <w:sz w:val="20"/>
              </w:rPr>
              <w:t>0</w:t>
            </w:r>
          </w:p>
        </w:tc>
        <w:tc>
          <w:tcPr>
            <w:tcW w:w="780" w:type="dxa"/>
            <w:gridSpan w:val="3"/>
            <w:tcBorders>
              <w:left w:val="single" w:sz="6" w:space="0" w:color="auto"/>
              <w:bottom w:val="single" w:sz="6" w:space="0" w:color="auto"/>
            </w:tcBorders>
          </w:tcPr>
          <w:p w:rsidR="00B40966" w:rsidRDefault="00B40966">
            <w:pPr>
              <w:pStyle w:val="TableText"/>
              <w:jc w:val="center"/>
              <w:rPr>
                <w:sz w:val="20"/>
              </w:rPr>
            </w:pPr>
            <w:r>
              <w:rPr>
                <w:sz w:val="20"/>
              </w:rPr>
              <w:t>25</w:t>
            </w:r>
          </w:p>
        </w:tc>
        <w:tc>
          <w:tcPr>
            <w:tcW w:w="832" w:type="dxa"/>
            <w:tcBorders>
              <w:bottom w:val="single" w:sz="6" w:space="0" w:color="auto"/>
            </w:tcBorders>
          </w:tcPr>
          <w:p w:rsidR="00B40966" w:rsidRDefault="00B40966">
            <w:pPr>
              <w:pStyle w:val="TableText"/>
              <w:jc w:val="center"/>
              <w:rPr>
                <w:sz w:val="20"/>
              </w:rPr>
            </w:pPr>
            <w:r>
              <w:rPr>
                <w:sz w:val="20"/>
              </w:rPr>
              <w:t>2</w:t>
            </w:r>
          </w:p>
        </w:tc>
        <w:tc>
          <w:tcPr>
            <w:tcW w:w="768" w:type="dxa"/>
            <w:tcBorders>
              <w:left w:val="single" w:sz="6" w:space="0" w:color="auto"/>
              <w:bottom w:val="single" w:sz="6" w:space="0" w:color="auto"/>
            </w:tcBorders>
          </w:tcPr>
          <w:p w:rsidR="00B40966" w:rsidRDefault="00B40966">
            <w:pPr>
              <w:pStyle w:val="TableText"/>
              <w:jc w:val="center"/>
              <w:rPr>
                <w:sz w:val="20"/>
              </w:rPr>
            </w:pPr>
            <w:r>
              <w:rPr>
                <w:sz w:val="20"/>
              </w:rPr>
              <w:t>20</w:t>
            </w:r>
          </w:p>
        </w:tc>
        <w:tc>
          <w:tcPr>
            <w:tcW w:w="780" w:type="dxa"/>
            <w:tcBorders>
              <w:bottom w:val="single" w:sz="6" w:space="0" w:color="auto"/>
            </w:tcBorders>
          </w:tcPr>
          <w:p w:rsidR="00B40966" w:rsidRDefault="00B40966">
            <w:pPr>
              <w:pStyle w:val="TableText"/>
              <w:jc w:val="center"/>
              <w:rPr>
                <w:sz w:val="20"/>
              </w:rPr>
            </w:pPr>
            <w:r>
              <w:rPr>
                <w:sz w:val="20"/>
              </w:rPr>
              <w:t>10</w:t>
            </w:r>
          </w:p>
        </w:tc>
        <w:tc>
          <w:tcPr>
            <w:tcW w:w="766" w:type="dxa"/>
            <w:tcBorders>
              <w:left w:val="single" w:sz="6" w:space="0" w:color="auto"/>
              <w:bottom w:val="single" w:sz="6" w:space="0" w:color="auto"/>
            </w:tcBorders>
          </w:tcPr>
          <w:p w:rsidR="00B40966" w:rsidRDefault="00B40966">
            <w:pPr>
              <w:pStyle w:val="TableText"/>
              <w:jc w:val="center"/>
              <w:rPr>
                <w:sz w:val="20"/>
              </w:rPr>
            </w:pPr>
            <w:r>
              <w:rPr>
                <w:sz w:val="20"/>
              </w:rPr>
              <w:t>14</w:t>
            </w:r>
          </w:p>
        </w:tc>
        <w:tc>
          <w:tcPr>
            <w:tcW w:w="734" w:type="dxa"/>
            <w:tcBorders>
              <w:bottom w:val="single" w:sz="6" w:space="0" w:color="auto"/>
            </w:tcBorders>
          </w:tcPr>
          <w:p w:rsidR="00B40966" w:rsidRDefault="00B40966">
            <w:pPr>
              <w:pStyle w:val="TableText"/>
              <w:jc w:val="center"/>
              <w:rPr>
                <w:sz w:val="20"/>
              </w:rPr>
            </w:pPr>
            <w:r>
              <w:rPr>
                <w:sz w:val="20"/>
              </w:rPr>
              <w:t>10</w:t>
            </w:r>
          </w:p>
        </w:tc>
        <w:tc>
          <w:tcPr>
            <w:tcW w:w="826" w:type="dxa"/>
            <w:tcBorders>
              <w:left w:val="single" w:sz="6" w:space="0" w:color="auto"/>
              <w:bottom w:val="single" w:sz="6" w:space="0" w:color="auto"/>
            </w:tcBorders>
          </w:tcPr>
          <w:p w:rsidR="00B40966" w:rsidRDefault="00B40966">
            <w:pPr>
              <w:pStyle w:val="TableText"/>
              <w:jc w:val="center"/>
              <w:rPr>
                <w:sz w:val="20"/>
              </w:rPr>
            </w:pPr>
            <w:r>
              <w:rPr>
                <w:sz w:val="20"/>
              </w:rPr>
              <w:t>7</w:t>
            </w:r>
          </w:p>
        </w:tc>
        <w:tc>
          <w:tcPr>
            <w:tcW w:w="650" w:type="dxa"/>
            <w:tcBorders>
              <w:bottom w:val="single" w:sz="6" w:space="0" w:color="auto"/>
            </w:tcBorders>
          </w:tcPr>
          <w:p w:rsidR="00B40966" w:rsidRDefault="00B40966">
            <w:pPr>
              <w:pStyle w:val="TableText"/>
              <w:jc w:val="center"/>
              <w:rPr>
                <w:sz w:val="20"/>
              </w:rPr>
            </w:pPr>
            <w:r>
              <w:rPr>
                <w:sz w:val="20"/>
              </w:rPr>
              <w:t>10</w:t>
            </w:r>
          </w:p>
        </w:tc>
      </w:tr>
    </w:tbl>
    <w:p w:rsidR="00B40966" w:rsidRDefault="00B40966"/>
    <w:p w:rsidR="00B40966" w:rsidRDefault="00B40966">
      <w:pPr>
        <w:pStyle w:val="TableHd"/>
      </w:pPr>
      <w:r>
        <w:t>Maximum safe working load for steel wire rope—Classification 1</w:t>
      </w:r>
    </w:p>
    <w:p w:rsidR="00B40966" w:rsidRDefault="00B40966">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24"/>
        <w:gridCol w:w="12"/>
        <w:gridCol w:w="567"/>
        <w:gridCol w:w="93"/>
        <w:gridCol w:w="12"/>
        <w:gridCol w:w="840"/>
        <w:gridCol w:w="592"/>
        <w:gridCol w:w="20"/>
        <w:gridCol w:w="696"/>
        <w:gridCol w:w="12"/>
        <w:gridCol w:w="732"/>
        <w:gridCol w:w="20"/>
        <w:gridCol w:w="808"/>
        <w:gridCol w:w="24"/>
        <w:gridCol w:w="761"/>
        <w:gridCol w:w="7"/>
        <w:gridCol w:w="780"/>
        <w:gridCol w:w="760"/>
        <w:gridCol w:w="6"/>
        <w:gridCol w:w="723"/>
        <w:gridCol w:w="11"/>
        <w:gridCol w:w="826"/>
        <w:gridCol w:w="35"/>
        <w:gridCol w:w="619"/>
        <w:gridCol w:w="12"/>
      </w:tblGrid>
      <w:tr w:rsidR="00B40966">
        <w:trPr>
          <w:gridAfter w:val="1"/>
          <w:wAfter w:w="12" w:type="dxa"/>
          <w:cantSplit/>
          <w:tblHeader/>
        </w:trPr>
        <w:tc>
          <w:tcPr>
            <w:tcW w:w="984" w:type="dxa"/>
            <w:tcBorders>
              <w:top w:val="single" w:sz="6" w:space="0" w:color="auto"/>
              <w:right w:val="single" w:sz="6" w:space="0" w:color="auto"/>
            </w:tcBorders>
          </w:tcPr>
          <w:p w:rsidR="00B40966" w:rsidRDefault="00B40966">
            <w:pPr>
              <w:pStyle w:val="TableColHd"/>
              <w:jc w:val="center"/>
            </w:pPr>
          </w:p>
        </w:tc>
        <w:tc>
          <w:tcPr>
            <w:tcW w:w="924" w:type="dxa"/>
            <w:tcBorders>
              <w:top w:val="single" w:sz="6" w:space="0" w:color="auto"/>
              <w:right w:val="single" w:sz="6" w:space="0" w:color="auto"/>
            </w:tcBorders>
          </w:tcPr>
          <w:p w:rsidR="00B40966" w:rsidRDefault="00B40966">
            <w:pPr>
              <w:pStyle w:val="TableColHd"/>
              <w:jc w:val="center"/>
            </w:pPr>
          </w:p>
        </w:tc>
        <w:tc>
          <w:tcPr>
            <w:tcW w:w="579" w:type="dxa"/>
            <w:gridSpan w:val="2"/>
            <w:tcBorders>
              <w:top w:val="single" w:sz="6" w:space="0" w:color="auto"/>
            </w:tcBorders>
          </w:tcPr>
          <w:p w:rsidR="00B40966" w:rsidRDefault="00B40966">
            <w:pPr>
              <w:pStyle w:val="TableColHd"/>
              <w:jc w:val="center"/>
            </w:pPr>
          </w:p>
        </w:tc>
        <w:tc>
          <w:tcPr>
            <w:tcW w:w="941" w:type="dxa"/>
            <w:gridSpan w:val="3"/>
            <w:tcBorders>
              <w:top w:val="single" w:sz="6" w:space="0" w:color="auto"/>
            </w:tcBorders>
          </w:tcPr>
          <w:p w:rsidR="00B40966" w:rsidRDefault="00B40966">
            <w:pPr>
              <w:pStyle w:val="TableColHd"/>
              <w:jc w:val="center"/>
            </w:pPr>
          </w:p>
        </w:tc>
        <w:tc>
          <w:tcPr>
            <w:tcW w:w="7428" w:type="dxa"/>
            <w:gridSpan w:val="18"/>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gridAfter w:val="1"/>
          <w:wAfter w:w="12" w:type="dxa"/>
          <w:cantSplit/>
          <w:tblHeader/>
        </w:trPr>
        <w:tc>
          <w:tcPr>
            <w:tcW w:w="984" w:type="dxa"/>
            <w:tcBorders>
              <w:right w:val="single" w:sz="6" w:space="0" w:color="auto"/>
            </w:tcBorders>
            <w:vAlign w:val="bottom"/>
          </w:tcPr>
          <w:p w:rsidR="00B40966" w:rsidRDefault="00B40966">
            <w:pPr>
              <w:pStyle w:val="TableColHd"/>
            </w:pPr>
            <w:r>
              <w:t>circum-</w:t>
            </w:r>
            <w:r>
              <w:br/>
              <w:t>ference</w:t>
            </w:r>
            <w:r>
              <w:br/>
              <w:t>of rope</w:t>
            </w:r>
          </w:p>
        </w:tc>
        <w:tc>
          <w:tcPr>
            <w:tcW w:w="924" w:type="dxa"/>
            <w:tcBorders>
              <w:right w:val="single" w:sz="6" w:space="0" w:color="auto"/>
            </w:tcBorders>
            <w:vAlign w:val="bottom"/>
          </w:tcPr>
          <w:p w:rsidR="00B40966" w:rsidRDefault="00B40966">
            <w:pPr>
              <w:pStyle w:val="TableColHd"/>
            </w:pPr>
            <w:r>
              <w:t>approx.</w:t>
            </w:r>
            <w:r>
              <w:br/>
              <w:t>diameter</w:t>
            </w:r>
            <w:r>
              <w:br/>
              <w:t>of rope</w:t>
            </w:r>
          </w:p>
        </w:tc>
        <w:tc>
          <w:tcPr>
            <w:tcW w:w="1520" w:type="dxa"/>
            <w:gridSpan w:val="5"/>
            <w:vAlign w:val="bottom"/>
          </w:tcPr>
          <w:p w:rsidR="00B40966" w:rsidRDefault="00B40966">
            <w:pPr>
              <w:pStyle w:val="TableColHd"/>
            </w:pPr>
            <w:r>
              <w:t>safe load for 1 single fall (part) of rope</w:t>
            </w:r>
          </w:p>
        </w:tc>
        <w:tc>
          <w:tcPr>
            <w:tcW w:w="1320" w:type="dxa"/>
            <w:gridSpan w:val="4"/>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4"/>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3"/>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3"/>
          </w:tcPr>
          <w:p w:rsidR="00B40966" w:rsidRDefault="00DA6E8C">
            <w:pPr>
              <w:rPr>
                <w:color w:val="000000"/>
                <w:sz w:val="18"/>
              </w:rPr>
            </w:pPr>
            <w:r>
              <w:rPr>
                <w:noProof/>
                <w:color w:val="000000"/>
                <w:sz w:val="20"/>
                <w:lang w:eastAsia="en-AU"/>
              </w:rPr>
              <w:drawing>
                <wp:inline distT="0" distB="0" distL="0" distR="0">
                  <wp:extent cx="790575" cy="5238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1"/>
          <w:wAfter w:w="8" w:type="dxa"/>
          <w:cantSplit/>
          <w:trHeight w:val="220"/>
          <w:tblHeader/>
        </w:trPr>
        <w:tc>
          <w:tcPr>
            <w:tcW w:w="98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3"/>
            <w:tcBorders>
              <w:top w:val="single" w:sz="6" w:space="0" w:color="auto"/>
              <w:bottom w:val="single" w:sz="6" w:space="0" w:color="auto"/>
            </w:tcBorders>
            <w:vAlign w:val="bottom"/>
          </w:tcPr>
          <w:p w:rsidR="00B40966" w:rsidRDefault="00B40966">
            <w:pPr>
              <w:pStyle w:val="TableColHd"/>
              <w:spacing w:after="0"/>
              <w:jc w:val="center"/>
            </w:pPr>
            <w:r>
              <w:t>tons</w:t>
            </w:r>
          </w:p>
        </w:tc>
        <w:tc>
          <w:tcPr>
            <w:tcW w:w="848"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gridSpan w:val="3"/>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32"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768"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8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826"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80"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936" w:type="dxa"/>
            <w:gridSpan w:val="2"/>
            <w:tcBorders>
              <w:top w:val="single" w:sz="6" w:space="0" w:color="auto"/>
              <w:right w:val="single" w:sz="6" w:space="0" w:color="auto"/>
            </w:tcBorders>
          </w:tcPr>
          <w:p w:rsidR="00B40966" w:rsidRDefault="00B40966">
            <w:pPr>
              <w:pStyle w:val="TableText"/>
              <w:jc w:val="center"/>
              <w:rPr>
                <w:sz w:val="20"/>
              </w:rPr>
            </w:pPr>
            <w:r>
              <w:rPr>
                <w:position w:val="4"/>
                <w:sz w:val="20"/>
              </w:rPr>
              <w:t>3</w:t>
            </w:r>
            <w:r>
              <w:rPr>
                <w:sz w:val="20"/>
              </w:rPr>
              <w:t xml:space="preserve">/16 </w:t>
            </w:r>
          </w:p>
        </w:tc>
        <w:tc>
          <w:tcPr>
            <w:tcW w:w="672" w:type="dxa"/>
            <w:gridSpan w:val="3"/>
            <w:tcBorders>
              <w:top w:val="single" w:sz="6" w:space="0" w:color="auto"/>
            </w:tcBorders>
          </w:tcPr>
          <w:p w:rsidR="00B40966" w:rsidRDefault="00B40966">
            <w:pPr>
              <w:pStyle w:val="TableText"/>
              <w:jc w:val="center"/>
              <w:rPr>
                <w:sz w:val="20"/>
              </w:rPr>
            </w:pPr>
            <w:r>
              <w:rPr>
                <w:sz w:val="20"/>
              </w:rPr>
              <w:t>0</w:t>
            </w:r>
          </w:p>
        </w:tc>
        <w:tc>
          <w:tcPr>
            <w:tcW w:w="840" w:type="dxa"/>
            <w:tcBorders>
              <w:top w:val="single" w:sz="6" w:space="0" w:color="auto"/>
            </w:tcBorders>
          </w:tcPr>
          <w:p w:rsidR="00B40966" w:rsidRDefault="00B40966">
            <w:pPr>
              <w:pStyle w:val="TableText"/>
              <w:jc w:val="center"/>
              <w:rPr>
                <w:sz w:val="20"/>
              </w:rPr>
            </w:pPr>
            <w:r>
              <w:rPr>
                <w:sz w:val="20"/>
              </w:rPr>
              <w:t>3</w:t>
            </w:r>
          </w:p>
        </w:tc>
        <w:tc>
          <w:tcPr>
            <w:tcW w:w="612"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708" w:type="dxa"/>
            <w:gridSpan w:val="2"/>
            <w:tcBorders>
              <w:top w:val="single" w:sz="6" w:space="0" w:color="auto"/>
            </w:tcBorders>
          </w:tcPr>
          <w:p w:rsidR="00B40966" w:rsidRDefault="00B40966">
            <w:pPr>
              <w:pStyle w:val="TableText"/>
              <w:jc w:val="center"/>
              <w:rPr>
                <w:sz w:val="20"/>
              </w:rPr>
            </w:pPr>
            <w:r>
              <w:rPr>
                <w:sz w:val="20"/>
              </w:rPr>
              <w:t>6</w:t>
            </w:r>
          </w:p>
        </w:tc>
        <w:tc>
          <w:tcPr>
            <w:tcW w:w="73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8" w:type="dxa"/>
            <w:gridSpan w:val="2"/>
            <w:tcBorders>
              <w:top w:val="single" w:sz="6" w:space="0" w:color="auto"/>
            </w:tcBorders>
          </w:tcPr>
          <w:p w:rsidR="00B40966" w:rsidRDefault="00B40966">
            <w:pPr>
              <w:pStyle w:val="TableText"/>
              <w:jc w:val="center"/>
              <w:rPr>
                <w:sz w:val="20"/>
              </w:rPr>
            </w:pPr>
            <w:r>
              <w:rPr>
                <w:sz w:val="20"/>
              </w:rPr>
              <w:t>5</w:t>
            </w:r>
          </w:p>
        </w:tc>
        <w:tc>
          <w:tcPr>
            <w:tcW w:w="785"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786" w:type="dxa"/>
            <w:gridSpan w:val="2"/>
            <w:tcBorders>
              <w:top w:val="single" w:sz="6" w:space="0" w:color="auto"/>
            </w:tcBorders>
          </w:tcPr>
          <w:p w:rsidR="00B40966" w:rsidRDefault="00B40966">
            <w:pPr>
              <w:pStyle w:val="TableText"/>
              <w:jc w:val="center"/>
              <w:rPr>
                <w:sz w:val="20"/>
              </w:rPr>
            </w:pPr>
            <w:r>
              <w:rPr>
                <w:sz w:val="20"/>
              </w:rPr>
              <w:t>4</w:t>
            </w:r>
          </w:p>
        </w:tc>
        <w:tc>
          <w:tcPr>
            <w:tcW w:w="76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9" w:type="dxa"/>
            <w:gridSpan w:val="2"/>
            <w:tcBorders>
              <w:top w:val="single" w:sz="6" w:space="0" w:color="auto"/>
              <w:right w:val="single" w:sz="6" w:space="0" w:color="auto"/>
            </w:tcBorders>
          </w:tcPr>
          <w:p w:rsidR="00B40966" w:rsidRDefault="00B40966">
            <w:pPr>
              <w:pStyle w:val="TableText"/>
              <w:jc w:val="center"/>
              <w:rPr>
                <w:sz w:val="20"/>
              </w:rPr>
            </w:pPr>
            <w:r>
              <w:rPr>
                <w:sz w:val="20"/>
              </w:rPr>
              <w:t>3</w:t>
            </w:r>
          </w:p>
        </w:tc>
        <w:tc>
          <w:tcPr>
            <w:tcW w:w="872" w:type="dxa"/>
            <w:gridSpan w:val="3"/>
            <w:tcBorders>
              <w:top w:val="single" w:sz="6" w:space="0" w:color="auto"/>
            </w:tcBorders>
          </w:tcPr>
          <w:p w:rsidR="00B40966" w:rsidRDefault="00B40966">
            <w:pPr>
              <w:pStyle w:val="TableText"/>
              <w:jc w:val="center"/>
              <w:rPr>
                <w:sz w:val="20"/>
              </w:rPr>
            </w:pPr>
            <w:r>
              <w:rPr>
                <w:sz w:val="20"/>
              </w:rPr>
              <w:t>0</w:t>
            </w:r>
          </w:p>
        </w:tc>
        <w:tc>
          <w:tcPr>
            <w:tcW w:w="628" w:type="dxa"/>
            <w:gridSpan w:val="2"/>
            <w:tcBorders>
              <w:top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3</w:t>
            </w:r>
            <w:r>
              <w:rPr>
                <w:sz w:val="20"/>
              </w:rPr>
              <w:t xml:space="preserve">/4 </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w:t>
            </w:r>
            <w:r>
              <w:rPr>
                <w:sz w:val="20"/>
              </w:rPr>
              <w:t xml:space="preserve">/4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4</w:t>
            </w:r>
            <w:r>
              <w:rPr>
                <w:position w:val="4"/>
                <w:sz w:val="20"/>
              </w:rPr>
              <w:t>1</w:t>
            </w:r>
            <w:r>
              <w:rPr>
                <w:sz w:val="20"/>
              </w:rPr>
              <w:t>/2</w:t>
            </w:r>
          </w:p>
        </w:tc>
        <w:tc>
          <w:tcPr>
            <w:tcW w:w="612" w:type="dxa"/>
            <w:gridSpan w:val="2"/>
            <w:tcBorders>
              <w:left w:val="single" w:sz="6" w:space="0" w:color="auto"/>
            </w:tcBorders>
          </w:tcPr>
          <w:p w:rsidR="00B40966" w:rsidRDefault="00B40966">
            <w:pPr>
              <w:pStyle w:val="TableText"/>
              <w:jc w:val="center"/>
              <w:rPr>
                <w:sz w:val="20"/>
              </w:rPr>
            </w:pPr>
            <w:r>
              <w:rPr>
                <w:sz w:val="20"/>
              </w:rPr>
              <w:t>0</w:t>
            </w:r>
          </w:p>
        </w:tc>
        <w:tc>
          <w:tcPr>
            <w:tcW w:w="708" w:type="dxa"/>
            <w:gridSpan w:val="2"/>
          </w:tcPr>
          <w:p w:rsidR="00B40966" w:rsidRDefault="00B40966">
            <w:pPr>
              <w:pStyle w:val="TableText"/>
              <w:jc w:val="center"/>
              <w:rPr>
                <w:sz w:val="20"/>
              </w:rPr>
            </w:pPr>
            <w:r>
              <w:rPr>
                <w:sz w:val="20"/>
              </w:rPr>
              <w:t>8</w:t>
            </w:r>
            <w:r>
              <w:rPr>
                <w:position w:val="4"/>
                <w:sz w:val="20"/>
              </w:rPr>
              <w:t>1</w:t>
            </w:r>
            <w:r>
              <w:rPr>
                <w:sz w:val="20"/>
              </w:rPr>
              <w:t>/2</w:t>
            </w:r>
          </w:p>
        </w:tc>
        <w:tc>
          <w:tcPr>
            <w:tcW w:w="732" w:type="dxa"/>
            <w:tcBorders>
              <w:left w:val="single" w:sz="6" w:space="0" w:color="auto"/>
            </w:tcBorders>
          </w:tcPr>
          <w:p w:rsidR="00B40966" w:rsidRDefault="00B40966">
            <w:pPr>
              <w:pStyle w:val="TableText"/>
              <w:jc w:val="center"/>
              <w:rPr>
                <w:sz w:val="20"/>
              </w:rPr>
            </w:pPr>
            <w:r>
              <w:rPr>
                <w:sz w:val="20"/>
              </w:rPr>
              <w:t>0</w:t>
            </w:r>
          </w:p>
        </w:tc>
        <w:tc>
          <w:tcPr>
            <w:tcW w:w="828" w:type="dxa"/>
            <w:gridSpan w:val="2"/>
          </w:tcPr>
          <w:p w:rsidR="00B40966" w:rsidRDefault="00B40966">
            <w:pPr>
              <w:pStyle w:val="TableText"/>
              <w:jc w:val="center"/>
              <w:rPr>
                <w:sz w:val="20"/>
              </w:rPr>
            </w:pPr>
            <w:r>
              <w:rPr>
                <w:sz w:val="20"/>
              </w:rPr>
              <w:t>8</w:t>
            </w:r>
          </w:p>
        </w:tc>
        <w:tc>
          <w:tcPr>
            <w:tcW w:w="785"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6</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4</w:t>
            </w:r>
            <w:r>
              <w:rPr>
                <w:position w:val="4"/>
                <w:sz w:val="20"/>
              </w:rPr>
              <w:t>1</w:t>
            </w:r>
            <w:r>
              <w:rPr>
                <w:sz w:val="20"/>
              </w:rPr>
              <w:t>/2</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2</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936" w:type="dxa"/>
            <w:gridSpan w:val="2"/>
            <w:tcBorders>
              <w:right w:val="single" w:sz="6" w:space="0" w:color="auto"/>
            </w:tcBorders>
          </w:tcPr>
          <w:p w:rsidR="00B40966" w:rsidRDefault="00B40966">
            <w:pPr>
              <w:pStyle w:val="TableText"/>
              <w:jc w:val="center"/>
              <w:rPr>
                <w:sz w:val="20"/>
              </w:rPr>
            </w:pPr>
            <w:r>
              <w:rPr>
                <w:position w:val="4"/>
                <w:sz w:val="20"/>
              </w:rPr>
              <w:t>9</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6</w:t>
            </w:r>
          </w:p>
        </w:tc>
        <w:tc>
          <w:tcPr>
            <w:tcW w:w="612" w:type="dxa"/>
            <w:gridSpan w:val="2"/>
            <w:tcBorders>
              <w:left w:val="single" w:sz="6" w:space="0" w:color="auto"/>
            </w:tcBorders>
          </w:tcPr>
          <w:p w:rsidR="00B40966" w:rsidRDefault="00B40966">
            <w:pPr>
              <w:pStyle w:val="TableText"/>
              <w:jc w:val="center"/>
              <w:rPr>
                <w:sz w:val="20"/>
              </w:rPr>
            </w:pPr>
            <w:r>
              <w:rPr>
                <w:sz w:val="20"/>
              </w:rPr>
              <w:t>0</w:t>
            </w:r>
          </w:p>
        </w:tc>
        <w:tc>
          <w:tcPr>
            <w:tcW w:w="708" w:type="dxa"/>
            <w:gridSpan w:val="2"/>
          </w:tcPr>
          <w:p w:rsidR="00B40966" w:rsidRDefault="00B40966">
            <w:pPr>
              <w:pStyle w:val="TableText"/>
              <w:jc w:val="center"/>
              <w:rPr>
                <w:sz w:val="20"/>
              </w:rPr>
            </w:pPr>
            <w:r>
              <w:rPr>
                <w:sz w:val="20"/>
              </w:rPr>
              <w:t>11</w:t>
            </w:r>
            <w:r>
              <w:rPr>
                <w:position w:val="4"/>
                <w:sz w:val="20"/>
              </w:rPr>
              <w:t>1</w:t>
            </w:r>
            <w:r>
              <w:rPr>
                <w:sz w:val="20"/>
              </w:rPr>
              <w:t>/2</w:t>
            </w:r>
          </w:p>
        </w:tc>
        <w:tc>
          <w:tcPr>
            <w:tcW w:w="732" w:type="dxa"/>
            <w:tcBorders>
              <w:left w:val="single" w:sz="6" w:space="0" w:color="auto"/>
            </w:tcBorders>
          </w:tcPr>
          <w:p w:rsidR="00B40966" w:rsidRDefault="00B40966">
            <w:pPr>
              <w:pStyle w:val="TableText"/>
              <w:jc w:val="center"/>
              <w:rPr>
                <w:sz w:val="20"/>
              </w:rPr>
            </w:pPr>
            <w:r>
              <w:rPr>
                <w:sz w:val="20"/>
              </w:rPr>
              <w:t>0</w:t>
            </w:r>
          </w:p>
        </w:tc>
        <w:tc>
          <w:tcPr>
            <w:tcW w:w="828" w:type="dxa"/>
            <w:gridSpan w:val="2"/>
          </w:tcPr>
          <w:p w:rsidR="00B40966" w:rsidRDefault="00B40966">
            <w:pPr>
              <w:pStyle w:val="TableText"/>
              <w:jc w:val="center"/>
              <w:rPr>
                <w:sz w:val="20"/>
              </w:rPr>
            </w:pPr>
            <w:r>
              <w:rPr>
                <w:sz w:val="20"/>
              </w:rPr>
              <w:t>10</w:t>
            </w:r>
            <w:r>
              <w:rPr>
                <w:position w:val="4"/>
                <w:sz w:val="20"/>
              </w:rPr>
              <w:t>1</w:t>
            </w:r>
            <w:r>
              <w:rPr>
                <w:sz w:val="20"/>
              </w:rPr>
              <w:t>/2</w:t>
            </w:r>
          </w:p>
        </w:tc>
        <w:tc>
          <w:tcPr>
            <w:tcW w:w="785"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8</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6</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3</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p>
        </w:tc>
        <w:tc>
          <w:tcPr>
            <w:tcW w:w="936" w:type="dxa"/>
            <w:gridSpan w:val="2"/>
            <w:tcBorders>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8</w:t>
            </w:r>
          </w:p>
        </w:tc>
        <w:tc>
          <w:tcPr>
            <w:tcW w:w="612" w:type="dxa"/>
            <w:gridSpan w:val="2"/>
            <w:tcBorders>
              <w:left w:val="single" w:sz="6" w:space="0" w:color="auto"/>
            </w:tcBorders>
          </w:tcPr>
          <w:p w:rsidR="00B40966" w:rsidRDefault="00B40966">
            <w:pPr>
              <w:pStyle w:val="TableText"/>
              <w:jc w:val="center"/>
              <w:rPr>
                <w:sz w:val="20"/>
              </w:rPr>
            </w:pPr>
            <w:r>
              <w:rPr>
                <w:sz w:val="20"/>
              </w:rPr>
              <w:t>0</w:t>
            </w:r>
          </w:p>
        </w:tc>
        <w:tc>
          <w:tcPr>
            <w:tcW w:w="708" w:type="dxa"/>
            <w:gridSpan w:val="2"/>
          </w:tcPr>
          <w:p w:rsidR="00B40966" w:rsidRDefault="00B40966">
            <w:pPr>
              <w:pStyle w:val="TableText"/>
              <w:jc w:val="center"/>
              <w:rPr>
                <w:sz w:val="20"/>
              </w:rPr>
            </w:pPr>
            <w:r>
              <w:rPr>
                <w:sz w:val="20"/>
              </w:rPr>
              <w:t>15</w:t>
            </w:r>
          </w:p>
        </w:tc>
        <w:tc>
          <w:tcPr>
            <w:tcW w:w="732" w:type="dxa"/>
            <w:tcBorders>
              <w:left w:val="single" w:sz="6" w:space="0" w:color="auto"/>
            </w:tcBorders>
          </w:tcPr>
          <w:p w:rsidR="00B40966" w:rsidRDefault="00B40966">
            <w:pPr>
              <w:pStyle w:val="TableText"/>
              <w:jc w:val="center"/>
              <w:rPr>
                <w:sz w:val="20"/>
              </w:rPr>
            </w:pPr>
            <w:r>
              <w:rPr>
                <w:sz w:val="20"/>
              </w:rPr>
              <w:t>0</w:t>
            </w:r>
          </w:p>
        </w:tc>
        <w:tc>
          <w:tcPr>
            <w:tcW w:w="828" w:type="dxa"/>
            <w:gridSpan w:val="2"/>
          </w:tcPr>
          <w:p w:rsidR="00B40966" w:rsidRDefault="00B40966">
            <w:pPr>
              <w:pStyle w:val="TableText"/>
              <w:jc w:val="center"/>
              <w:rPr>
                <w:sz w:val="20"/>
              </w:rPr>
            </w:pPr>
            <w:r>
              <w:rPr>
                <w:sz w:val="20"/>
              </w:rPr>
              <w:t>14</w:t>
            </w:r>
          </w:p>
        </w:tc>
        <w:tc>
          <w:tcPr>
            <w:tcW w:w="785"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11</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8</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4</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36" w:type="dxa"/>
            <w:gridSpan w:val="2"/>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11</w:t>
            </w:r>
          </w:p>
        </w:tc>
        <w:tc>
          <w:tcPr>
            <w:tcW w:w="612" w:type="dxa"/>
            <w:gridSpan w:val="2"/>
            <w:tcBorders>
              <w:left w:val="single" w:sz="6" w:space="0" w:color="auto"/>
            </w:tcBorders>
          </w:tcPr>
          <w:p w:rsidR="00B40966" w:rsidRDefault="00B40966">
            <w:pPr>
              <w:pStyle w:val="TableText"/>
              <w:jc w:val="center"/>
              <w:rPr>
                <w:sz w:val="20"/>
              </w:rPr>
            </w:pPr>
            <w:r>
              <w:rPr>
                <w:sz w:val="20"/>
              </w:rPr>
              <w:t>1</w:t>
            </w:r>
          </w:p>
        </w:tc>
        <w:tc>
          <w:tcPr>
            <w:tcW w:w="708" w:type="dxa"/>
            <w:gridSpan w:val="2"/>
          </w:tcPr>
          <w:p w:rsidR="00B40966" w:rsidRDefault="00B40966">
            <w:pPr>
              <w:pStyle w:val="TableText"/>
              <w:jc w:val="center"/>
              <w:rPr>
                <w:sz w:val="20"/>
              </w:rPr>
            </w:pPr>
            <w:r>
              <w:rPr>
                <w:sz w:val="20"/>
              </w:rPr>
              <w:t>1</w:t>
            </w:r>
          </w:p>
        </w:tc>
        <w:tc>
          <w:tcPr>
            <w:tcW w:w="732" w:type="dxa"/>
            <w:tcBorders>
              <w:left w:val="single" w:sz="6" w:space="0" w:color="auto"/>
            </w:tcBorders>
          </w:tcPr>
          <w:p w:rsidR="00B40966" w:rsidRDefault="00B40966">
            <w:pPr>
              <w:pStyle w:val="TableText"/>
              <w:jc w:val="center"/>
              <w:rPr>
                <w:sz w:val="20"/>
              </w:rPr>
            </w:pPr>
            <w:r>
              <w:rPr>
                <w:sz w:val="20"/>
              </w:rPr>
              <w:t>0</w:t>
            </w:r>
          </w:p>
        </w:tc>
        <w:tc>
          <w:tcPr>
            <w:tcW w:w="828" w:type="dxa"/>
            <w:gridSpan w:val="2"/>
          </w:tcPr>
          <w:p w:rsidR="00B40966" w:rsidRDefault="00B40966">
            <w:pPr>
              <w:pStyle w:val="TableText"/>
              <w:jc w:val="center"/>
              <w:rPr>
                <w:sz w:val="20"/>
              </w:rPr>
            </w:pPr>
            <w:r>
              <w:rPr>
                <w:sz w:val="20"/>
              </w:rPr>
              <w:t>19</w:t>
            </w:r>
          </w:p>
        </w:tc>
        <w:tc>
          <w:tcPr>
            <w:tcW w:w="785"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11</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5</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13</w:t>
            </w:r>
          </w:p>
        </w:tc>
        <w:tc>
          <w:tcPr>
            <w:tcW w:w="612" w:type="dxa"/>
            <w:gridSpan w:val="2"/>
            <w:tcBorders>
              <w:left w:val="single" w:sz="6" w:space="0" w:color="auto"/>
            </w:tcBorders>
          </w:tcPr>
          <w:p w:rsidR="00B40966" w:rsidRDefault="00B40966">
            <w:pPr>
              <w:pStyle w:val="TableText"/>
              <w:jc w:val="center"/>
              <w:rPr>
                <w:sz w:val="20"/>
              </w:rPr>
            </w:pPr>
            <w:r>
              <w:rPr>
                <w:sz w:val="20"/>
              </w:rPr>
              <w:t>1</w:t>
            </w:r>
          </w:p>
        </w:tc>
        <w:tc>
          <w:tcPr>
            <w:tcW w:w="708" w:type="dxa"/>
            <w:gridSpan w:val="2"/>
          </w:tcPr>
          <w:p w:rsidR="00B40966" w:rsidRDefault="00B40966">
            <w:pPr>
              <w:pStyle w:val="TableText"/>
              <w:jc w:val="center"/>
              <w:rPr>
                <w:sz w:val="20"/>
              </w:rPr>
            </w:pPr>
            <w:r>
              <w:rPr>
                <w:sz w:val="20"/>
              </w:rPr>
              <w:t>5</w:t>
            </w:r>
          </w:p>
        </w:tc>
        <w:tc>
          <w:tcPr>
            <w:tcW w:w="732" w:type="dxa"/>
            <w:tcBorders>
              <w:left w:val="single" w:sz="6" w:space="0" w:color="auto"/>
            </w:tcBorders>
          </w:tcPr>
          <w:p w:rsidR="00B40966" w:rsidRDefault="00B40966">
            <w:pPr>
              <w:pStyle w:val="TableText"/>
              <w:jc w:val="center"/>
              <w:rPr>
                <w:sz w:val="20"/>
              </w:rPr>
            </w:pPr>
            <w:r>
              <w:rPr>
                <w:sz w:val="20"/>
              </w:rPr>
              <w:t>1</w:t>
            </w:r>
          </w:p>
        </w:tc>
        <w:tc>
          <w:tcPr>
            <w:tcW w:w="828" w:type="dxa"/>
            <w:gridSpan w:val="2"/>
          </w:tcPr>
          <w:p w:rsidR="00B40966" w:rsidRDefault="00B40966">
            <w:pPr>
              <w:pStyle w:val="TableText"/>
              <w:jc w:val="center"/>
              <w:rPr>
                <w:sz w:val="20"/>
              </w:rPr>
            </w:pPr>
            <w:r>
              <w:rPr>
                <w:sz w:val="20"/>
              </w:rPr>
              <w:t>3</w:t>
            </w:r>
          </w:p>
        </w:tc>
        <w:tc>
          <w:tcPr>
            <w:tcW w:w="785"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13</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7</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36" w:type="dxa"/>
            <w:gridSpan w:val="2"/>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16</w:t>
            </w:r>
          </w:p>
        </w:tc>
        <w:tc>
          <w:tcPr>
            <w:tcW w:w="612" w:type="dxa"/>
            <w:gridSpan w:val="2"/>
            <w:tcBorders>
              <w:left w:val="single" w:sz="6" w:space="0" w:color="auto"/>
            </w:tcBorders>
          </w:tcPr>
          <w:p w:rsidR="00B40966" w:rsidRDefault="00B40966">
            <w:pPr>
              <w:pStyle w:val="TableText"/>
              <w:jc w:val="center"/>
              <w:rPr>
                <w:sz w:val="20"/>
              </w:rPr>
            </w:pPr>
            <w:r>
              <w:rPr>
                <w:sz w:val="20"/>
              </w:rPr>
              <w:t>1</w:t>
            </w:r>
          </w:p>
        </w:tc>
        <w:tc>
          <w:tcPr>
            <w:tcW w:w="708" w:type="dxa"/>
            <w:gridSpan w:val="2"/>
          </w:tcPr>
          <w:p w:rsidR="00B40966" w:rsidRDefault="00B40966">
            <w:pPr>
              <w:pStyle w:val="TableText"/>
              <w:jc w:val="center"/>
              <w:rPr>
                <w:sz w:val="20"/>
              </w:rPr>
            </w:pPr>
            <w:r>
              <w:rPr>
                <w:sz w:val="20"/>
              </w:rPr>
              <w:t>11</w:t>
            </w:r>
          </w:p>
        </w:tc>
        <w:tc>
          <w:tcPr>
            <w:tcW w:w="732" w:type="dxa"/>
            <w:tcBorders>
              <w:left w:val="single" w:sz="6" w:space="0" w:color="auto"/>
            </w:tcBorders>
          </w:tcPr>
          <w:p w:rsidR="00B40966" w:rsidRDefault="00B40966">
            <w:pPr>
              <w:pStyle w:val="TableText"/>
              <w:jc w:val="center"/>
              <w:rPr>
                <w:sz w:val="20"/>
              </w:rPr>
            </w:pPr>
            <w:r>
              <w:rPr>
                <w:sz w:val="20"/>
              </w:rPr>
              <w:t>1</w:t>
            </w:r>
          </w:p>
        </w:tc>
        <w:tc>
          <w:tcPr>
            <w:tcW w:w="828" w:type="dxa"/>
            <w:gridSpan w:val="2"/>
          </w:tcPr>
          <w:p w:rsidR="00B40966" w:rsidRDefault="00B40966">
            <w:pPr>
              <w:pStyle w:val="TableText"/>
              <w:jc w:val="center"/>
              <w:rPr>
                <w:sz w:val="20"/>
              </w:rPr>
            </w:pPr>
            <w:r>
              <w:rPr>
                <w:sz w:val="20"/>
              </w:rPr>
              <w:t>8</w:t>
            </w:r>
          </w:p>
        </w:tc>
        <w:tc>
          <w:tcPr>
            <w:tcW w:w="785"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16</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8</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672" w:type="dxa"/>
            <w:gridSpan w:val="3"/>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19</w:t>
            </w:r>
          </w:p>
        </w:tc>
        <w:tc>
          <w:tcPr>
            <w:tcW w:w="612" w:type="dxa"/>
            <w:gridSpan w:val="2"/>
            <w:tcBorders>
              <w:left w:val="single" w:sz="6" w:space="0" w:color="auto"/>
            </w:tcBorders>
          </w:tcPr>
          <w:p w:rsidR="00B40966" w:rsidRDefault="00B40966">
            <w:pPr>
              <w:pStyle w:val="TableText"/>
              <w:jc w:val="center"/>
              <w:rPr>
                <w:sz w:val="20"/>
              </w:rPr>
            </w:pPr>
            <w:r>
              <w:rPr>
                <w:sz w:val="20"/>
              </w:rPr>
              <w:t>1</w:t>
            </w:r>
          </w:p>
        </w:tc>
        <w:tc>
          <w:tcPr>
            <w:tcW w:w="708" w:type="dxa"/>
            <w:gridSpan w:val="2"/>
          </w:tcPr>
          <w:p w:rsidR="00B40966" w:rsidRDefault="00B40966">
            <w:pPr>
              <w:pStyle w:val="TableText"/>
              <w:jc w:val="center"/>
              <w:rPr>
                <w:sz w:val="20"/>
              </w:rPr>
            </w:pPr>
            <w:r>
              <w:rPr>
                <w:sz w:val="20"/>
              </w:rPr>
              <w:t>17</w:t>
            </w:r>
          </w:p>
        </w:tc>
        <w:tc>
          <w:tcPr>
            <w:tcW w:w="732" w:type="dxa"/>
            <w:tcBorders>
              <w:left w:val="single" w:sz="6" w:space="0" w:color="auto"/>
            </w:tcBorders>
          </w:tcPr>
          <w:p w:rsidR="00B40966" w:rsidRDefault="00B40966">
            <w:pPr>
              <w:pStyle w:val="TableText"/>
              <w:jc w:val="center"/>
              <w:rPr>
                <w:sz w:val="20"/>
              </w:rPr>
            </w:pPr>
            <w:r>
              <w:rPr>
                <w:sz w:val="20"/>
              </w:rPr>
              <w:t>1</w:t>
            </w:r>
          </w:p>
        </w:tc>
        <w:tc>
          <w:tcPr>
            <w:tcW w:w="828" w:type="dxa"/>
            <w:gridSpan w:val="2"/>
          </w:tcPr>
          <w:p w:rsidR="00B40966" w:rsidRDefault="00B40966">
            <w:pPr>
              <w:pStyle w:val="TableText"/>
              <w:jc w:val="center"/>
              <w:rPr>
                <w:sz w:val="20"/>
              </w:rPr>
            </w:pPr>
            <w:r>
              <w:rPr>
                <w:sz w:val="20"/>
              </w:rPr>
              <w:t>13</w:t>
            </w:r>
          </w:p>
        </w:tc>
        <w:tc>
          <w:tcPr>
            <w:tcW w:w="785"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0</w:t>
            </w:r>
          </w:p>
        </w:tc>
        <w:tc>
          <w:tcPr>
            <w:tcW w:w="729" w:type="dxa"/>
            <w:gridSpan w:val="2"/>
            <w:tcBorders>
              <w:right w:val="single" w:sz="6" w:space="0" w:color="auto"/>
            </w:tcBorders>
          </w:tcPr>
          <w:p w:rsidR="00B40966" w:rsidRDefault="00B40966">
            <w:pPr>
              <w:pStyle w:val="TableText"/>
              <w:jc w:val="center"/>
              <w:rPr>
                <w:sz w:val="20"/>
              </w:rPr>
            </w:pPr>
            <w:r>
              <w:rPr>
                <w:sz w:val="20"/>
              </w:rPr>
              <w:t>19</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10</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2</w:t>
            </w:r>
          </w:p>
        </w:tc>
        <w:tc>
          <w:tcPr>
            <w:tcW w:w="612" w:type="dxa"/>
            <w:gridSpan w:val="2"/>
            <w:tcBorders>
              <w:left w:val="single" w:sz="6" w:space="0" w:color="auto"/>
            </w:tcBorders>
          </w:tcPr>
          <w:p w:rsidR="00B40966" w:rsidRDefault="00B40966">
            <w:pPr>
              <w:pStyle w:val="TableText"/>
              <w:jc w:val="center"/>
              <w:rPr>
                <w:sz w:val="20"/>
              </w:rPr>
            </w:pPr>
            <w:r>
              <w:rPr>
                <w:sz w:val="20"/>
              </w:rPr>
              <w:t>2</w:t>
            </w:r>
          </w:p>
        </w:tc>
        <w:tc>
          <w:tcPr>
            <w:tcW w:w="708" w:type="dxa"/>
            <w:gridSpan w:val="2"/>
          </w:tcPr>
          <w:p w:rsidR="00B40966" w:rsidRDefault="00B40966">
            <w:pPr>
              <w:pStyle w:val="TableText"/>
              <w:jc w:val="center"/>
              <w:rPr>
                <w:sz w:val="20"/>
              </w:rPr>
            </w:pPr>
            <w:r>
              <w:rPr>
                <w:sz w:val="20"/>
              </w:rPr>
              <w:t>3</w:t>
            </w:r>
          </w:p>
        </w:tc>
        <w:tc>
          <w:tcPr>
            <w:tcW w:w="732" w:type="dxa"/>
            <w:tcBorders>
              <w:left w:val="single" w:sz="6" w:space="0" w:color="auto"/>
            </w:tcBorders>
          </w:tcPr>
          <w:p w:rsidR="00B40966" w:rsidRDefault="00B40966">
            <w:pPr>
              <w:pStyle w:val="TableText"/>
              <w:jc w:val="center"/>
              <w:rPr>
                <w:sz w:val="20"/>
              </w:rPr>
            </w:pPr>
            <w:r>
              <w:rPr>
                <w:sz w:val="20"/>
              </w:rPr>
              <w:t>1</w:t>
            </w:r>
          </w:p>
        </w:tc>
        <w:tc>
          <w:tcPr>
            <w:tcW w:w="828" w:type="dxa"/>
            <w:gridSpan w:val="2"/>
          </w:tcPr>
          <w:p w:rsidR="00B40966" w:rsidRDefault="00B40966">
            <w:pPr>
              <w:pStyle w:val="TableText"/>
              <w:jc w:val="center"/>
              <w:rPr>
                <w:sz w:val="20"/>
              </w:rPr>
            </w:pPr>
            <w:r>
              <w:rPr>
                <w:sz w:val="20"/>
              </w:rPr>
              <w:t>18</w:t>
            </w:r>
          </w:p>
        </w:tc>
        <w:tc>
          <w:tcPr>
            <w:tcW w:w="785"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11</w:t>
            </w:r>
          </w:p>
        </w:tc>
        <w:tc>
          <w:tcPr>
            <w:tcW w:w="760" w:type="dxa"/>
            <w:tcBorders>
              <w:left w:val="single" w:sz="6" w:space="0" w:color="auto"/>
            </w:tcBorders>
          </w:tcPr>
          <w:p w:rsidR="00B40966" w:rsidRDefault="00B40966">
            <w:pPr>
              <w:pStyle w:val="TableText"/>
              <w:jc w:val="center"/>
              <w:rPr>
                <w:sz w:val="20"/>
              </w:rPr>
            </w:pPr>
            <w:r>
              <w:rPr>
                <w:sz w:val="20"/>
              </w:rPr>
              <w:t>1</w:t>
            </w:r>
          </w:p>
        </w:tc>
        <w:tc>
          <w:tcPr>
            <w:tcW w:w="729" w:type="dxa"/>
            <w:gridSpan w:val="2"/>
            <w:tcBorders>
              <w:right w:val="single" w:sz="6" w:space="0" w:color="auto"/>
            </w:tcBorders>
          </w:tcPr>
          <w:p w:rsidR="00B40966" w:rsidRDefault="00B40966">
            <w:pPr>
              <w:pStyle w:val="TableText"/>
              <w:jc w:val="center"/>
              <w:rPr>
                <w:sz w:val="20"/>
              </w:rPr>
            </w:pPr>
            <w:r>
              <w:rPr>
                <w:sz w:val="20"/>
              </w:rPr>
              <w:t>2</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11</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36" w:type="dxa"/>
            <w:gridSpan w:val="2"/>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5</w:t>
            </w:r>
          </w:p>
        </w:tc>
        <w:tc>
          <w:tcPr>
            <w:tcW w:w="612" w:type="dxa"/>
            <w:gridSpan w:val="2"/>
            <w:tcBorders>
              <w:left w:val="single" w:sz="6" w:space="0" w:color="auto"/>
            </w:tcBorders>
          </w:tcPr>
          <w:p w:rsidR="00B40966" w:rsidRDefault="00B40966">
            <w:pPr>
              <w:pStyle w:val="TableText"/>
              <w:jc w:val="center"/>
              <w:rPr>
                <w:sz w:val="20"/>
              </w:rPr>
            </w:pPr>
            <w:r>
              <w:rPr>
                <w:sz w:val="20"/>
              </w:rPr>
              <w:t>2</w:t>
            </w:r>
          </w:p>
        </w:tc>
        <w:tc>
          <w:tcPr>
            <w:tcW w:w="708" w:type="dxa"/>
            <w:gridSpan w:val="2"/>
          </w:tcPr>
          <w:p w:rsidR="00B40966" w:rsidRDefault="00B40966">
            <w:pPr>
              <w:pStyle w:val="TableText"/>
              <w:jc w:val="center"/>
              <w:rPr>
                <w:sz w:val="20"/>
              </w:rPr>
            </w:pPr>
            <w:r>
              <w:rPr>
                <w:sz w:val="20"/>
              </w:rPr>
              <w:t>8</w:t>
            </w:r>
          </w:p>
        </w:tc>
        <w:tc>
          <w:tcPr>
            <w:tcW w:w="732" w:type="dxa"/>
            <w:tcBorders>
              <w:left w:val="single" w:sz="6" w:space="0" w:color="auto"/>
            </w:tcBorders>
          </w:tcPr>
          <w:p w:rsidR="00B40966" w:rsidRDefault="00B40966">
            <w:pPr>
              <w:pStyle w:val="TableText"/>
              <w:jc w:val="center"/>
              <w:rPr>
                <w:sz w:val="20"/>
              </w:rPr>
            </w:pPr>
            <w:r>
              <w:rPr>
                <w:sz w:val="20"/>
              </w:rPr>
              <w:t>2</w:t>
            </w:r>
          </w:p>
        </w:tc>
        <w:tc>
          <w:tcPr>
            <w:tcW w:w="828" w:type="dxa"/>
            <w:gridSpan w:val="2"/>
          </w:tcPr>
          <w:p w:rsidR="00B40966" w:rsidRDefault="00B40966">
            <w:pPr>
              <w:pStyle w:val="TableText"/>
              <w:jc w:val="center"/>
              <w:rPr>
                <w:sz w:val="20"/>
              </w:rPr>
            </w:pPr>
            <w:r>
              <w:rPr>
                <w:sz w:val="20"/>
              </w:rPr>
              <w:t>3</w:t>
            </w:r>
          </w:p>
        </w:tc>
        <w:tc>
          <w:tcPr>
            <w:tcW w:w="785"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15</w:t>
            </w:r>
          </w:p>
        </w:tc>
        <w:tc>
          <w:tcPr>
            <w:tcW w:w="760" w:type="dxa"/>
            <w:tcBorders>
              <w:left w:val="single" w:sz="6" w:space="0" w:color="auto"/>
            </w:tcBorders>
          </w:tcPr>
          <w:p w:rsidR="00B40966" w:rsidRDefault="00B40966">
            <w:pPr>
              <w:pStyle w:val="TableText"/>
              <w:jc w:val="center"/>
              <w:rPr>
                <w:sz w:val="20"/>
              </w:rPr>
            </w:pPr>
            <w:r>
              <w:rPr>
                <w:sz w:val="20"/>
              </w:rPr>
              <w:t>1</w:t>
            </w:r>
          </w:p>
        </w:tc>
        <w:tc>
          <w:tcPr>
            <w:tcW w:w="729" w:type="dxa"/>
            <w:gridSpan w:val="2"/>
            <w:tcBorders>
              <w:right w:val="single" w:sz="6" w:space="0" w:color="auto"/>
            </w:tcBorders>
          </w:tcPr>
          <w:p w:rsidR="00B40966" w:rsidRDefault="00B40966">
            <w:pPr>
              <w:pStyle w:val="TableText"/>
              <w:jc w:val="center"/>
              <w:rPr>
                <w:sz w:val="20"/>
              </w:rPr>
            </w:pPr>
            <w:r>
              <w:rPr>
                <w:sz w:val="20"/>
              </w:rPr>
              <w:t>5</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13</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9</w:t>
            </w:r>
          </w:p>
        </w:tc>
        <w:tc>
          <w:tcPr>
            <w:tcW w:w="612" w:type="dxa"/>
            <w:gridSpan w:val="2"/>
            <w:tcBorders>
              <w:left w:val="single" w:sz="6" w:space="0" w:color="auto"/>
            </w:tcBorders>
          </w:tcPr>
          <w:p w:rsidR="00B40966" w:rsidRDefault="00B40966">
            <w:pPr>
              <w:pStyle w:val="TableText"/>
              <w:jc w:val="center"/>
              <w:rPr>
                <w:sz w:val="20"/>
              </w:rPr>
            </w:pPr>
            <w:r>
              <w:rPr>
                <w:sz w:val="20"/>
              </w:rPr>
              <w:t>2</w:t>
            </w:r>
          </w:p>
        </w:tc>
        <w:tc>
          <w:tcPr>
            <w:tcW w:w="708" w:type="dxa"/>
            <w:gridSpan w:val="2"/>
          </w:tcPr>
          <w:p w:rsidR="00B40966" w:rsidRDefault="00B40966">
            <w:pPr>
              <w:pStyle w:val="TableText"/>
              <w:jc w:val="center"/>
              <w:rPr>
                <w:sz w:val="20"/>
              </w:rPr>
            </w:pPr>
            <w:r>
              <w:rPr>
                <w:sz w:val="20"/>
              </w:rPr>
              <w:t>16</w:t>
            </w:r>
          </w:p>
        </w:tc>
        <w:tc>
          <w:tcPr>
            <w:tcW w:w="732" w:type="dxa"/>
            <w:tcBorders>
              <w:left w:val="single" w:sz="6" w:space="0" w:color="auto"/>
            </w:tcBorders>
          </w:tcPr>
          <w:p w:rsidR="00B40966" w:rsidRDefault="00B40966">
            <w:pPr>
              <w:pStyle w:val="TableText"/>
              <w:jc w:val="center"/>
              <w:rPr>
                <w:sz w:val="20"/>
              </w:rPr>
            </w:pPr>
            <w:r>
              <w:rPr>
                <w:sz w:val="20"/>
              </w:rPr>
              <w:t>2</w:t>
            </w:r>
          </w:p>
        </w:tc>
        <w:tc>
          <w:tcPr>
            <w:tcW w:w="828" w:type="dxa"/>
            <w:gridSpan w:val="2"/>
          </w:tcPr>
          <w:p w:rsidR="00B40966" w:rsidRDefault="00B40966">
            <w:pPr>
              <w:pStyle w:val="TableText"/>
              <w:jc w:val="center"/>
              <w:rPr>
                <w:sz w:val="20"/>
              </w:rPr>
            </w:pPr>
            <w:r>
              <w:rPr>
                <w:sz w:val="20"/>
              </w:rPr>
              <w:t>10</w:t>
            </w:r>
          </w:p>
        </w:tc>
        <w:tc>
          <w:tcPr>
            <w:tcW w:w="785"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w:t>
            </w:r>
          </w:p>
        </w:tc>
        <w:tc>
          <w:tcPr>
            <w:tcW w:w="760" w:type="dxa"/>
            <w:tcBorders>
              <w:left w:val="single" w:sz="6" w:space="0" w:color="auto"/>
            </w:tcBorders>
          </w:tcPr>
          <w:p w:rsidR="00B40966" w:rsidRDefault="00B40966">
            <w:pPr>
              <w:pStyle w:val="TableText"/>
              <w:jc w:val="center"/>
              <w:rPr>
                <w:sz w:val="20"/>
              </w:rPr>
            </w:pPr>
            <w:r>
              <w:rPr>
                <w:sz w:val="20"/>
              </w:rPr>
              <w:t>1</w:t>
            </w:r>
          </w:p>
        </w:tc>
        <w:tc>
          <w:tcPr>
            <w:tcW w:w="729" w:type="dxa"/>
            <w:gridSpan w:val="2"/>
            <w:tcBorders>
              <w:right w:val="single" w:sz="6" w:space="0" w:color="auto"/>
            </w:tcBorders>
          </w:tcPr>
          <w:p w:rsidR="00B40966" w:rsidRDefault="00B40966">
            <w:pPr>
              <w:pStyle w:val="TableText"/>
              <w:jc w:val="center"/>
              <w:rPr>
                <w:sz w:val="20"/>
              </w:rPr>
            </w:pPr>
            <w:r>
              <w:rPr>
                <w:sz w:val="20"/>
              </w:rPr>
              <w:t>9</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15</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p>
        </w:tc>
        <w:tc>
          <w:tcPr>
            <w:tcW w:w="936" w:type="dxa"/>
            <w:gridSpan w:val="2"/>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14</w:t>
            </w:r>
          </w:p>
        </w:tc>
        <w:tc>
          <w:tcPr>
            <w:tcW w:w="612" w:type="dxa"/>
            <w:gridSpan w:val="2"/>
            <w:tcBorders>
              <w:left w:val="single" w:sz="6" w:space="0" w:color="auto"/>
            </w:tcBorders>
          </w:tcPr>
          <w:p w:rsidR="00B40966" w:rsidRDefault="00B40966">
            <w:pPr>
              <w:pStyle w:val="TableText"/>
              <w:jc w:val="center"/>
              <w:rPr>
                <w:sz w:val="20"/>
              </w:rPr>
            </w:pPr>
            <w:r>
              <w:rPr>
                <w:sz w:val="20"/>
              </w:rPr>
              <w:t>3</w:t>
            </w:r>
          </w:p>
        </w:tc>
        <w:tc>
          <w:tcPr>
            <w:tcW w:w="708" w:type="dxa"/>
            <w:gridSpan w:val="2"/>
          </w:tcPr>
          <w:p w:rsidR="00B40966" w:rsidRDefault="00B40966">
            <w:pPr>
              <w:pStyle w:val="TableText"/>
              <w:jc w:val="center"/>
              <w:rPr>
                <w:sz w:val="20"/>
              </w:rPr>
            </w:pPr>
            <w:r>
              <w:rPr>
                <w:sz w:val="20"/>
              </w:rPr>
              <w:t>6</w:t>
            </w:r>
          </w:p>
        </w:tc>
        <w:tc>
          <w:tcPr>
            <w:tcW w:w="732" w:type="dxa"/>
            <w:tcBorders>
              <w:left w:val="single" w:sz="6" w:space="0" w:color="auto"/>
            </w:tcBorders>
          </w:tcPr>
          <w:p w:rsidR="00B40966" w:rsidRDefault="00B40966">
            <w:pPr>
              <w:pStyle w:val="TableText"/>
              <w:jc w:val="center"/>
              <w:rPr>
                <w:sz w:val="20"/>
              </w:rPr>
            </w:pPr>
            <w:r>
              <w:rPr>
                <w:sz w:val="20"/>
              </w:rPr>
              <w:t>2</w:t>
            </w:r>
          </w:p>
        </w:tc>
        <w:tc>
          <w:tcPr>
            <w:tcW w:w="828" w:type="dxa"/>
            <w:gridSpan w:val="2"/>
          </w:tcPr>
          <w:p w:rsidR="00B40966" w:rsidRDefault="00B40966">
            <w:pPr>
              <w:pStyle w:val="TableText"/>
              <w:jc w:val="center"/>
              <w:rPr>
                <w:sz w:val="20"/>
              </w:rPr>
            </w:pPr>
            <w:r>
              <w:rPr>
                <w:sz w:val="20"/>
              </w:rPr>
              <w:t>19</w:t>
            </w:r>
          </w:p>
        </w:tc>
        <w:tc>
          <w:tcPr>
            <w:tcW w:w="785"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8</w:t>
            </w:r>
          </w:p>
        </w:tc>
        <w:tc>
          <w:tcPr>
            <w:tcW w:w="760" w:type="dxa"/>
            <w:tcBorders>
              <w:left w:val="single" w:sz="6" w:space="0" w:color="auto"/>
            </w:tcBorders>
          </w:tcPr>
          <w:p w:rsidR="00B40966" w:rsidRDefault="00B40966">
            <w:pPr>
              <w:pStyle w:val="TableText"/>
              <w:jc w:val="center"/>
              <w:rPr>
                <w:sz w:val="20"/>
              </w:rPr>
            </w:pPr>
            <w:r>
              <w:rPr>
                <w:sz w:val="20"/>
              </w:rPr>
              <w:t>1</w:t>
            </w:r>
          </w:p>
        </w:tc>
        <w:tc>
          <w:tcPr>
            <w:tcW w:w="729" w:type="dxa"/>
            <w:gridSpan w:val="2"/>
            <w:tcBorders>
              <w:right w:val="single" w:sz="6" w:space="0" w:color="auto"/>
            </w:tcBorders>
          </w:tcPr>
          <w:p w:rsidR="00B40966" w:rsidRDefault="00B40966">
            <w:pPr>
              <w:pStyle w:val="TableText"/>
              <w:jc w:val="center"/>
              <w:rPr>
                <w:sz w:val="20"/>
              </w:rPr>
            </w:pPr>
            <w:r>
              <w:rPr>
                <w:sz w:val="20"/>
              </w:rPr>
              <w:t>14</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17</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36" w:type="dxa"/>
            <w:gridSpan w:val="2"/>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672" w:type="dxa"/>
            <w:gridSpan w:val="3"/>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18</w:t>
            </w:r>
          </w:p>
        </w:tc>
        <w:tc>
          <w:tcPr>
            <w:tcW w:w="612" w:type="dxa"/>
            <w:gridSpan w:val="2"/>
            <w:tcBorders>
              <w:left w:val="single" w:sz="6" w:space="0" w:color="auto"/>
            </w:tcBorders>
          </w:tcPr>
          <w:p w:rsidR="00B40966" w:rsidRDefault="00B40966">
            <w:pPr>
              <w:pStyle w:val="TableText"/>
              <w:jc w:val="center"/>
              <w:rPr>
                <w:sz w:val="20"/>
              </w:rPr>
            </w:pPr>
            <w:r>
              <w:rPr>
                <w:sz w:val="20"/>
              </w:rPr>
              <w:t>3</w:t>
            </w:r>
          </w:p>
        </w:tc>
        <w:tc>
          <w:tcPr>
            <w:tcW w:w="708" w:type="dxa"/>
            <w:gridSpan w:val="2"/>
          </w:tcPr>
          <w:p w:rsidR="00B40966" w:rsidRDefault="00B40966">
            <w:pPr>
              <w:pStyle w:val="TableText"/>
              <w:jc w:val="center"/>
              <w:rPr>
                <w:sz w:val="20"/>
              </w:rPr>
            </w:pPr>
            <w:r>
              <w:rPr>
                <w:sz w:val="20"/>
              </w:rPr>
              <w:t>13</w:t>
            </w:r>
          </w:p>
        </w:tc>
        <w:tc>
          <w:tcPr>
            <w:tcW w:w="732" w:type="dxa"/>
            <w:tcBorders>
              <w:left w:val="single" w:sz="6" w:space="0" w:color="auto"/>
            </w:tcBorders>
          </w:tcPr>
          <w:p w:rsidR="00B40966" w:rsidRDefault="00B40966">
            <w:pPr>
              <w:pStyle w:val="TableText"/>
              <w:jc w:val="center"/>
              <w:rPr>
                <w:sz w:val="20"/>
              </w:rPr>
            </w:pPr>
            <w:r>
              <w:rPr>
                <w:sz w:val="20"/>
              </w:rPr>
              <w:t>3</w:t>
            </w:r>
          </w:p>
        </w:tc>
        <w:tc>
          <w:tcPr>
            <w:tcW w:w="828" w:type="dxa"/>
            <w:gridSpan w:val="2"/>
          </w:tcPr>
          <w:p w:rsidR="00B40966" w:rsidRDefault="00B40966">
            <w:pPr>
              <w:pStyle w:val="TableText"/>
              <w:jc w:val="center"/>
              <w:rPr>
                <w:sz w:val="20"/>
              </w:rPr>
            </w:pPr>
            <w:r>
              <w:rPr>
                <w:sz w:val="20"/>
              </w:rPr>
              <w:t>6</w:t>
            </w:r>
          </w:p>
        </w:tc>
        <w:tc>
          <w:tcPr>
            <w:tcW w:w="785"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1</w:t>
            </w:r>
          </w:p>
        </w:tc>
        <w:tc>
          <w:tcPr>
            <w:tcW w:w="729" w:type="dxa"/>
            <w:gridSpan w:val="2"/>
            <w:tcBorders>
              <w:right w:val="single" w:sz="6" w:space="0" w:color="auto"/>
            </w:tcBorders>
          </w:tcPr>
          <w:p w:rsidR="00B40966" w:rsidRDefault="00B40966">
            <w:pPr>
              <w:pStyle w:val="TableText"/>
              <w:jc w:val="center"/>
              <w:rPr>
                <w:sz w:val="20"/>
              </w:rPr>
            </w:pPr>
            <w:r>
              <w:rPr>
                <w:sz w:val="20"/>
              </w:rPr>
              <w:t>18</w:t>
            </w:r>
          </w:p>
        </w:tc>
        <w:tc>
          <w:tcPr>
            <w:tcW w:w="872" w:type="dxa"/>
            <w:gridSpan w:val="3"/>
          </w:tcPr>
          <w:p w:rsidR="00B40966" w:rsidRDefault="00B40966">
            <w:pPr>
              <w:pStyle w:val="TableText"/>
              <w:jc w:val="center"/>
              <w:rPr>
                <w:sz w:val="20"/>
              </w:rPr>
            </w:pPr>
            <w:r>
              <w:rPr>
                <w:sz w:val="20"/>
              </w:rPr>
              <w:t>0</w:t>
            </w:r>
          </w:p>
        </w:tc>
        <w:tc>
          <w:tcPr>
            <w:tcW w:w="628" w:type="dxa"/>
            <w:gridSpan w:val="2"/>
          </w:tcPr>
          <w:p w:rsidR="00B40966" w:rsidRDefault="00B40966">
            <w:pPr>
              <w:pStyle w:val="TableText"/>
              <w:jc w:val="center"/>
              <w:rPr>
                <w:sz w:val="20"/>
              </w:rPr>
            </w:pPr>
            <w:r>
              <w:rPr>
                <w:sz w:val="20"/>
              </w:rPr>
              <w:t>19</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36" w:type="dxa"/>
            <w:gridSpan w:val="2"/>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2</w:t>
            </w:r>
          </w:p>
        </w:tc>
        <w:tc>
          <w:tcPr>
            <w:tcW w:w="612" w:type="dxa"/>
            <w:gridSpan w:val="2"/>
            <w:tcBorders>
              <w:left w:val="single" w:sz="6" w:space="0" w:color="auto"/>
            </w:tcBorders>
          </w:tcPr>
          <w:p w:rsidR="00B40966" w:rsidRDefault="00B40966">
            <w:pPr>
              <w:pStyle w:val="TableText"/>
              <w:jc w:val="center"/>
              <w:rPr>
                <w:sz w:val="20"/>
              </w:rPr>
            </w:pPr>
            <w:r>
              <w:rPr>
                <w:sz w:val="20"/>
              </w:rPr>
              <w:t>4</w:t>
            </w:r>
          </w:p>
        </w:tc>
        <w:tc>
          <w:tcPr>
            <w:tcW w:w="708" w:type="dxa"/>
            <w:gridSpan w:val="2"/>
          </w:tcPr>
          <w:p w:rsidR="00B40966" w:rsidRDefault="00B40966">
            <w:pPr>
              <w:pStyle w:val="TableText"/>
              <w:jc w:val="center"/>
              <w:rPr>
                <w:sz w:val="20"/>
              </w:rPr>
            </w:pPr>
            <w:r>
              <w:rPr>
                <w:sz w:val="20"/>
              </w:rPr>
              <w:t>2</w:t>
            </w:r>
          </w:p>
        </w:tc>
        <w:tc>
          <w:tcPr>
            <w:tcW w:w="732" w:type="dxa"/>
            <w:tcBorders>
              <w:left w:val="single" w:sz="6" w:space="0" w:color="auto"/>
            </w:tcBorders>
          </w:tcPr>
          <w:p w:rsidR="00B40966" w:rsidRDefault="00B40966">
            <w:pPr>
              <w:pStyle w:val="TableText"/>
              <w:jc w:val="center"/>
              <w:rPr>
                <w:sz w:val="20"/>
              </w:rPr>
            </w:pPr>
            <w:r>
              <w:rPr>
                <w:sz w:val="20"/>
              </w:rPr>
              <w:t>3</w:t>
            </w:r>
          </w:p>
        </w:tc>
        <w:tc>
          <w:tcPr>
            <w:tcW w:w="828" w:type="dxa"/>
            <w:gridSpan w:val="2"/>
          </w:tcPr>
          <w:p w:rsidR="00B40966" w:rsidRDefault="00B40966">
            <w:pPr>
              <w:pStyle w:val="TableText"/>
              <w:jc w:val="center"/>
              <w:rPr>
                <w:sz w:val="20"/>
              </w:rPr>
            </w:pPr>
            <w:r>
              <w:rPr>
                <w:sz w:val="20"/>
              </w:rPr>
              <w:t>14</w:t>
            </w:r>
          </w:p>
        </w:tc>
        <w:tc>
          <w:tcPr>
            <w:tcW w:w="785"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0</w:t>
            </w:r>
          </w:p>
        </w:tc>
        <w:tc>
          <w:tcPr>
            <w:tcW w:w="760" w:type="dxa"/>
            <w:tcBorders>
              <w:left w:val="single" w:sz="6" w:space="0" w:color="auto"/>
            </w:tcBorders>
          </w:tcPr>
          <w:p w:rsidR="00B40966" w:rsidRDefault="00B40966">
            <w:pPr>
              <w:pStyle w:val="TableText"/>
              <w:jc w:val="center"/>
              <w:rPr>
                <w:sz w:val="20"/>
              </w:rPr>
            </w:pPr>
            <w:r>
              <w:rPr>
                <w:sz w:val="20"/>
              </w:rPr>
              <w:t>2</w:t>
            </w:r>
          </w:p>
        </w:tc>
        <w:tc>
          <w:tcPr>
            <w:tcW w:w="729" w:type="dxa"/>
            <w:gridSpan w:val="2"/>
            <w:tcBorders>
              <w:right w:val="single" w:sz="6" w:space="0" w:color="auto"/>
            </w:tcBorders>
          </w:tcPr>
          <w:p w:rsidR="00B40966" w:rsidRDefault="00B40966">
            <w:pPr>
              <w:pStyle w:val="TableText"/>
              <w:jc w:val="center"/>
              <w:rPr>
                <w:sz w:val="20"/>
              </w:rPr>
            </w:pPr>
            <w:r>
              <w:rPr>
                <w:sz w:val="20"/>
              </w:rPr>
              <w:t>2</w:t>
            </w:r>
          </w:p>
        </w:tc>
        <w:tc>
          <w:tcPr>
            <w:tcW w:w="872" w:type="dxa"/>
            <w:gridSpan w:val="3"/>
          </w:tcPr>
          <w:p w:rsidR="00B40966" w:rsidRDefault="00B40966">
            <w:pPr>
              <w:pStyle w:val="TableText"/>
              <w:jc w:val="center"/>
              <w:rPr>
                <w:sz w:val="20"/>
              </w:rPr>
            </w:pPr>
            <w:r>
              <w:rPr>
                <w:sz w:val="20"/>
              </w:rPr>
              <w:t>1</w:t>
            </w:r>
          </w:p>
        </w:tc>
        <w:tc>
          <w:tcPr>
            <w:tcW w:w="628" w:type="dxa"/>
            <w:gridSpan w:val="2"/>
          </w:tcPr>
          <w:p w:rsidR="00B40966" w:rsidRDefault="00B40966">
            <w:pPr>
              <w:pStyle w:val="TableText"/>
              <w:jc w:val="center"/>
              <w:rPr>
                <w:sz w:val="20"/>
              </w:rPr>
            </w:pP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36" w:type="dxa"/>
            <w:gridSpan w:val="2"/>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7</w:t>
            </w:r>
          </w:p>
        </w:tc>
        <w:tc>
          <w:tcPr>
            <w:tcW w:w="612" w:type="dxa"/>
            <w:gridSpan w:val="2"/>
            <w:tcBorders>
              <w:left w:val="single" w:sz="6" w:space="0" w:color="auto"/>
            </w:tcBorders>
          </w:tcPr>
          <w:p w:rsidR="00B40966" w:rsidRDefault="00B40966">
            <w:pPr>
              <w:pStyle w:val="TableText"/>
              <w:jc w:val="center"/>
              <w:rPr>
                <w:sz w:val="20"/>
              </w:rPr>
            </w:pPr>
            <w:r>
              <w:rPr>
                <w:sz w:val="20"/>
              </w:rPr>
              <w:t>4</w:t>
            </w:r>
          </w:p>
        </w:tc>
        <w:tc>
          <w:tcPr>
            <w:tcW w:w="708" w:type="dxa"/>
            <w:gridSpan w:val="2"/>
          </w:tcPr>
          <w:p w:rsidR="00B40966" w:rsidRDefault="00B40966">
            <w:pPr>
              <w:pStyle w:val="TableText"/>
              <w:jc w:val="center"/>
              <w:rPr>
                <w:sz w:val="20"/>
              </w:rPr>
            </w:pPr>
            <w:r>
              <w:rPr>
                <w:sz w:val="20"/>
              </w:rPr>
              <w:t>11</w:t>
            </w:r>
          </w:p>
        </w:tc>
        <w:tc>
          <w:tcPr>
            <w:tcW w:w="732" w:type="dxa"/>
            <w:tcBorders>
              <w:left w:val="single" w:sz="6" w:space="0" w:color="auto"/>
            </w:tcBorders>
          </w:tcPr>
          <w:p w:rsidR="00B40966" w:rsidRDefault="00B40966">
            <w:pPr>
              <w:pStyle w:val="TableText"/>
              <w:jc w:val="center"/>
              <w:rPr>
                <w:sz w:val="20"/>
              </w:rPr>
            </w:pPr>
            <w:r>
              <w:rPr>
                <w:sz w:val="20"/>
              </w:rPr>
              <w:t>4</w:t>
            </w:r>
          </w:p>
        </w:tc>
        <w:tc>
          <w:tcPr>
            <w:tcW w:w="828" w:type="dxa"/>
            <w:gridSpan w:val="2"/>
          </w:tcPr>
          <w:p w:rsidR="00B40966" w:rsidRDefault="00B40966">
            <w:pPr>
              <w:pStyle w:val="TableText"/>
              <w:jc w:val="center"/>
              <w:rPr>
                <w:sz w:val="20"/>
              </w:rPr>
            </w:pPr>
            <w:r>
              <w:rPr>
                <w:sz w:val="20"/>
              </w:rPr>
              <w:t>1</w:t>
            </w:r>
          </w:p>
        </w:tc>
        <w:tc>
          <w:tcPr>
            <w:tcW w:w="785"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6</w:t>
            </w:r>
          </w:p>
        </w:tc>
        <w:tc>
          <w:tcPr>
            <w:tcW w:w="760" w:type="dxa"/>
            <w:tcBorders>
              <w:left w:val="single" w:sz="6" w:space="0" w:color="auto"/>
            </w:tcBorders>
          </w:tcPr>
          <w:p w:rsidR="00B40966" w:rsidRDefault="00B40966">
            <w:pPr>
              <w:pStyle w:val="TableText"/>
              <w:jc w:val="center"/>
              <w:rPr>
                <w:sz w:val="20"/>
              </w:rPr>
            </w:pPr>
            <w:r>
              <w:rPr>
                <w:sz w:val="20"/>
              </w:rPr>
              <w:t>2</w:t>
            </w:r>
          </w:p>
        </w:tc>
        <w:tc>
          <w:tcPr>
            <w:tcW w:w="729" w:type="dxa"/>
            <w:gridSpan w:val="2"/>
            <w:tcBorders>
              <w:right w:val="single" w:sz="6" w:space="0" w:color="auto"/>
            </w:tcBorders>
          </w:tcPr>
          <w:p w:rsidR="00B40966" w:rsidRDefault="00B40966">
            <w:pPr>
              <w:pStyle w:val="TableText"/>
              <w:jc w:val="center"/>
              <w:rPr>
                <w:sz w:val="20"/>
              </w:rPr>
            </w:pPr>
            <w:r>
              <w:rPr>
                <w:sz w:val="20"/>
              </w:rPr>
              <w:t>7</w:t>
            </w:r>
          </w:p>
        </w:tc>
        <w:tc>
          <w:tcPr>
            <w:tcW w:w="872" w:type="dxa"/>
            <w:gridSpan w:val="3"/>
          </w:tcPr>
          <w:p w:rsidR="00B40966" w:rsidRDefault="00B40966">
            <w:pPr>
              <w:pStyle w:val="TableText"/>
              <w:jc w:val="center"/>
              <w:rPr>
                <w:sz w:val="20"/>
              </w:rPr>
            </w:pPr>
            <w:r>
              <w:rPr>
                <w:sz w:val="20"/>
              </w:rPr>
              <w:t>1</w:t>
            </w:r>
          </w:p>
        </w:tc>
        <w:tc>
          <w:tcPr>
            <w:tcW w:w="628" w:type="dxa"/>
            <w:gridSpan w:val="2"/>
          </w:tcPr>
          <w:p w:rsidR="00B40966" w:rsidRDefault="00B40966">
            <w:pPr>
              <w:pStyle w:val="TableText"/>
              <w:jc w:val="center"/>
              <w:rPr>
                <w:sz w:val="20"/>
              </w:rPr>
            </w:pPr>
            <w:r>
              <w:rPr>
                <w:sz w:val="20"/>
              </w:rPr>
              <w:t>4</w:t>
            </w:r>
          </w:p>
        </w:tc>
      </w:tr>
      <w:tr w:rsidR="00B40966">
        <w:trPr>
          <w:cantSplit/>
          <w:trHeight w:val="200"/>
        </w:trPr>
        <w:tc>
          <w:tcPr>
            <w:tcW w:w="980" w:type="dxa"/>
          </w:tcPr>
          <w:p w:rsidR="00B40966" w:rsidRDefault="00B40966">
            <w:pPr>
              <w:pStyle w:val="TableText"/>
              <w:jc w:val="center"/>
              <w:rPr>
                <w:sz w:val="20"/>
              </w:rPr>
            </w:pPr>
            <w:r>
              <w:rPr>
                <w:sz w:val="20"/>
              </w:rPr>
              <w:t>2</w:t>
            </w:r>
            <w:r>
              <w:rPr>
                <w:position w:val="4"/>
                <w:sz w:val="20"/>
              </w:rPr>
              <w:t>1</w:t>
            </w:r>
            <w:r>
              <w:rPr>
                <w:sz w:val="20"/>
              </w:rPr>
              <w:t>/2</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672" w:type="dxa"/>
            <w:gridSpan w:val="3"/>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14</w:t>
            </w:r>
          </w:p>
        </w:tc>
        <w:tc>
          <w:tcPr>
            <w:tcW w:w="612" w:type="dxa"/>
            <w:gridSpan w:val="2"/>
            <w:tcBorders>
              <w:left w:val="single" w:sz="6" w:space="0" w:color="auto"/>
            </w:tcBorders>
          </w:tcPr>
          <w:p w:rsidR="00B40966" w:rsidRDefault="00B40966">
            <w:pPr>
              <w:pStyle w:val="TableText"/>
              <w:jc w:val="center"/>
              <w:rPr>
                <w:sz w:val="20"/>
              </w:rPr>
            </w:pPr>
            <w:r>
              <w:rPr>
                <w:sz w:val="20"/>
              </w:rPr>
              <w:t>5</w:t>
            </w:r>
          </w:p>
        </w:tc>
        <w:tc>
          <w:tcPr>
            <w:tcW w:w="708" w:type="dxa"/>
            <w:gridSpan w:val="2"/>
          </w:tcPr>
          <w:p w:rsidR="00B40966" w:rsidRDefault="00B40966">
            <w:pPr>
              <w:pStyle w:val="TableText"/>
              <w:jc w:val="center"/>
              <w:rPr>
                <w:sz w:val="20"/>
              </w:rPr>
            </w:pPr>
            <w:r>
              <w:rPr>
                <w:sz w:val="20"/>
              </w:rPr>
              <w:t>5</w:t>
            </w:r>
          </w:p>
        </w:tc>
        <w:tc>
          <w:tcPr>
            <w:tcW w:w="732" w:type="dxa"/>
            <w:tcBorders>
              <w:left w:val="single" w:sz="6" w:space="0" w:color="auto"/>
            </w:tcBorders>
          </w:tcPr>
          <w:p w:rsidR="00B40966" w:rsidRDefault="00B40966">
            <w:pPr>
              <w:pStyle w:val="TableText"/>
              <w:jc w:val="center"/>
              <w:rPr>
                <w:sz w:val="20"/>
              </w:rPr>
            </w:pPr>
            <w:r>
              <w:rPr>
                <w:sz w:val="20"/>
              </w:rPr>
              <w:t>4</w:t>
            </w:r>
          </w:p>
        </w:tc>
        <w:tc>
          <w:tcPr>
            <w:tcW w:w="828" w:type="dxa"/>
            <w:gridSpan w:val="2"/>
          </w:tcPr>
          <w:p w:rsidR="00B40966" w:rsidRDefault="00B40966">
            <w:pPr>
              <w:pStyle w:val="TableText"/>
              <w:jc w:val="center"/>
              <w:rPr>
                <w:sz w:val="20"/>
              </w:rPr>
            </w:pPr>
            <w:r>
              <w:rPr>
                <w:sz w:val="20"/>
              </w:rPr>
              <w:t>14</w:t>
            </w:r>
          </w:p>
        </w:tc>
        <w:tc>
          <w:tcPr>
            <w:tcW w:w="785"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2</w:t>
            </w:r>
          </w:p>
        </w:tc>
        <w:tc>
          <w:tcPr>
            <w:tcW w:w="729" w:type="dxa"/>
            <w:gridSpan w:val="2"/>
          </w:tcPr>
          <w:p w:rsidR="00B40966" w:rsidRDefault="00B40966">
            <w:pPr>
              <w:pStyle w:val="TableText"/>
              <w:jc w:val="center"/>
              <w:rPr>
                <w:sz w:val="20"/>
              </w:rPr>
            </w:pPr>
            <w:r>
              <w:rPr>
                <w:sz w:val="20"/>
              </w:rPr>
              <w:t>14</w:t>
            </w:r>
          </w:p>
        </w:tc>
        <w:tc>
          <w:tcPr>
            <w:tcW w:w="872" w:type="dxa"/>
            <w:gridSpan w:val="3"/>
            <w:tcBorders>
              <w:left w:val="single" w:sz="6" w:space="0" w:color="auto"/>
            </w:tcBorders>
          </w:tcPr>
          <w:p w:rsidR="00B40966" w:rsidRDefault="00B40966">
            <w:pPr>
              <w:pStyle w:val="TableText"/>
              <w:jc w:val="center"/>
              <w:rPr>
                <w:sz w:val="20"/>
              </w:rPr>
            </w:pPr>
            <w:r>
              <w:rPr>
                <w:sz w:val="20"/>
              </w:rPr>
              <w:t>1</w:t>
            </w:r>
          </w:p>
        </w:tc>
        <w:tc>
          <w:tcPr>
            <w:tcW w:w="628" w:type="dxa"/>
            <w:gridSpan w:val="2"/>
          </w:tcPr>
          <w:p w:rsidR="00B40966" w:rsidRDefault="00B40966">
            <w:pPr>
              <w:pStyle w:val="TableText"/>
              <w:jc w:val="center"/>
              <w:rPr>
                <w:sz w:val="20"/>
              </w:rPr>
            </w:pPr>
            <w:r>
              <w:rPr>
                <w:sz w:val="20"/>
              </w:rPr>
              <w:t>8</w:t>
            </w:r>
          </w:p>
        </w:tc>
      </w:tr>
      <w:tr w:rsidR="00B40966">
        <w:trPr>
          <w:cantSplit/>
          <w:trHeight w:val="200"/>
        </w:trPr>
        <w:tc>
          <w:tcPr>
            <w:tcW w:w="980" w:type="dxa"/>
          </w:tcPr>
          <w:p w:rsidR="00B40966" w:rsidRDefault="00B40966">
            <w:pPr>
              <w:pStyle w:val="TableText"/>
              <w:jc w:val="center"/>
              <w:rPr>
                <w:sz w:val="20"/>
              </w:rPr>
            </w:pPr>
            <w:r>
              <w:rPr>
                <w:sz w:val="20"/>
              </w:rPr>
              <w:t>2</w:t>
            </w:r>
            <w:r>
              <w:rPr>
                <w:position w:val="4"/>
                <w:sz w:val="20"/>
              </w:rPr>
              <w:t>3</w:t>
            </w:r>
            <w:r>
              <w:rPr>
                <w:sz w:val="20"/>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672" w:type="dxa"/>
            <w:gridSpan w:val="3"/>
          </w:tcPr>
          <w:p w:rsidR="00B40966" w:rsidRDefault="00B40966">
            <w:pPr>
              <w:pStyle w:val="TableText"/>
              <w:jc w:val="center"/>
              <w:rPr>
                <w:sz w:val="20"/>
              </w:rPr>
            </w:pPr>
            <w:r>
              <w:rPr>
                <w:sz w:val="20"/>
              </w:rPr>
              <w:t>3</w:t>
            </w:r>
          </w:p>
        </w:tc>
        <w:tc>
          <w:tcPr>
            <w:tcW w:w="840" w:type="dxa"/>
          </w:tcPr>
          <w:p w:rsidR="00B40966" w:rsidRDefault="00B40966">
            <w:pPr>
              <w:pStyle w:val="TableText"/>
              <w:jc w:val="center"/>
              <w:rPr>
                <w:sz w:val="20"/>
              </w:rPr>
            </w:pPr>
            <w:r>
              <w:rPr>
                <w:sz w:val="20"/>
              </w:rPr>
              <w:t>4</w:t>
            </w:r>
          </w:p>
        </w:tc>
        <w:tc>
          <w:tcPr>
            <w:tcW w:w="612" w:type="dxa"/>
            <w:gridSpan w:val="2"/>
            <w:tcBorders>
              <w:left w:val="single" w:sz="6" w:space="0" w:color="auto"/>
            </w:tcBorders>
          </w:tcPr>
          <w:p w:rsidR="00B40966" w:rsidRDefault="00B40966">
            <w:pPr>
              <w:pStyle w:val="TableText"/>
              <w:jc w:val="center"/>
              <w:rPr>
                <w:sz w:val="20"/>
              </w:rPr>
            </w:pPr>
            <w:r>
              <w:rPr>
                <w:sz w:val="20"/>
              </w:rPr>
              <w:t>6</w:t>
            </w:r>
          </w:p>
        </w:tc>
        <w:tc>
          <w:tcPr>
            <w:tcW w:w="708" w:type="dxa"/>
            <w:gridSpan w:val="2"/>
          </w:tcPr>
          <w:p w:rsidR="00B40966" w:rsidRDefault="00B40966">
            <w:pPr>
              <w:pStyle w:val="TableText"/>
              <w:jc w:val="center"/>
              <w:rPr>
                <w:sz w:val="20"/>
              </w:rPr>
            </w:pPr>
            <w:r>
              <w:rPr>
                <w:sz w:val="20"/>
              </w:rPr>
              <w:t>4</w:t>
            </w:r>
          </w:p>
        </w:tc>
        <w:tc>
          <w:tcPr>
            <w:tcW w:w="732" w:type="dxa"/>
            <w:tcBorders>
              <w:left w:val="single" w:sz="6" w:space="0" w:color="auto"/>
            </w:tcBorders>
          </w:tcPr>
          <w:p w:rsidR="00B40966" w:rsidRDefault="00B40966">
            <w:pPr>
              <w:pStyle w:val="TableText"/>
              <w:jc w:val="center"/>
              <w:rPr>
                <w:sz w:val="20"/>
              </w:rPr>
            </w:pPr>
            <w:r>
              <w:rPr>
                <w:sz w:val="20"/>
              </w:rPr>
              <w:t>5</w:t>
            </w:r>
          </w:p>
        </w:tc>
        <w:tc>
          <w:tcPr>
            <w:tcW w:w="828" w:type="dxa"/>
            <w:gridSpan w:val="2"/>
          </w:tcPr>
          <w:p w:rsidR="00B40966" w:rsidRDefault="00B40966">
            <w:pPr>
              <w:pStyle w:val="TableText"/>
              <w:jc w:val="center"/>
              <w:rPr>
                <w:sz w:val="20"/>
              </w:rPr>
            </w:pPr>
            <w:r>
              <w:rPr>
                <w:sz w:val="20"/>
              </w:rPr>
              <w:t>11</w:t>
            </w:r>
          </w:p>
        </w:tc>
        <w:tc>
          <w:tcPr>
            <w:tcW w:w="785" w:type="dxa"/>
            <w:gridSpan w:val="2"/>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11</w:t>
            </w:r>
          </w:p>
        </w:tc>
        <w:tc>
          <w:tcPr>
            <w:tcW w:w="760" w:type="dxa"/>
            <w:tcBorders>
              <w:left w:val="single" w:sz="6" w:space="0" w:color="auto"/>
            </w:tcBorders>
          </w:tcPr>
          <w:p w:rsidR="00B40966" w:rsidRDefault="00B40966">
            <w:pPr>
              <w:pStyle w:val="TableText"/>
              <w:jc w:val="center"/>
              <w:rPr>
                <w:sz w:val="20"/>
              </w:rPr>
            </w:pPr>
            <w:r>
              <w:rPr>
                <w:sz w:val="20"/>
              </w:rPr>
              <w:t>3</w:t>
            </w:r>
          </w:p>
        </w:tc>
        <w:tc>
          <w:tcPr>
            <w:tcW w:w="729" w:type="dxa"/>
            <w:gridSpan w:val="2"/>
          </w:tcPr>
          <w:p w:rsidR="00B40966" w:rsidRDefault="00B40966">
            <w:pPr>
              <w:pStyle w:val="TableText"/>
              <w:jc w:val="center"/>
              <w:rPr>
                <w:sz w:val="20"/>
              </w:rPr>
            </w:pPr>
            <w:r>
              <w:rPr>
                <w:sz w:val="20"/>
              </w:rPr>
              <w:t>4</w:t>
            </w:r>
          </w:p>
        </w:tc>
        <w:tc>
          <w:tcPr>
            <w:tcW w:w="872" w:type="dxa"/>
            <w:gridSpan w:val="3"/>
            <w:tcBorders>
              <w:left w:val="single" w:sz="6" w:space="0" w:color="auto"/>
            </w:tcBorders>
          </w:tcPr>
          <w:p w:rsidR="00B40966" w:rsidRDefault="00B40966">
            <w:pPr>
              <w:pStyle w:val="TableText"/>
              <w:jc w:val="center"/>
              <w:rPr>
                <w:sz w:val="20"/>
              </w:rPr>
            </w:pPr>
            <w:r>
              <w:rPr>
                <w:sz w:val="20"/>
              </w:rPr>
              <w:t>1</w:t>
            </w:r>
          </w:p>
        </w:tc>
        <w:tc>
          <w:tcPr>
            <w:tcW w:w="628" w:type="dxa"/>
            <w:gridSpan w:val="2"/>
          </w:tcPr>
          <w:p w:rsidR="00B40966" w:rsidRDefault="00B40966">
            <w:pPr>
              <w:pStyle w:val="TableText"/>
              <w:jc w:val="center"/>
              <w:rPr>
                <w:sz w:val="20"/>
              </w:rPr>
            </w:pPr>
            <w:r>
              <w:rPr>
                <w:sz w:val="20"/>
              </w:rPr>
              <w:t>13</w:t>
            </w:r>
          </w:p>
        </w:tc>
      </w:tr>
      <w:tr w:rsidR="00B40966">
        <w:trPr>
          <w:cantSplit/>
          <w:trHeight w:val="200"/>
        </w:trPr>
        <w:tc>
          <w:tcPr>
            <w:tcW w:w="980" w:type="dxa"/>
          </w:tcPr>
          <w:p w:rsidR="00B40966" w:rsidRDefault="00B40966">
            <w:pPr>
              <w:pStyle w:val="TableText"/>
              <w:jc w:val="center"/>
              <w:rPr>
                <w:sz w:val="20"/>
              </w:rPr>
            </w:pPr>
            <w:r>
              <w:rPr>
                <w:sz w:val="20"/>
              </w:rPr>
              <w:t>3</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672" w:type="dxa"/>
            <w:gridSpan w:val="3"/>
          </w:tcPr>
          <w:p w:rsidR="00B40966" w:rsidRDefault="00B40966">
            <w:pPr>
              <w:pStyle w:val="TableText"/>
              <w:jc w:val="center"/>
              <w:rPr>
                <w:sz w:val="20"/>
              </w:rPr>
            </w:pPr>
            <w:r>
              <w:rPr>
                <w:sz w:val="20"/>
              </w:rPr>
              <w:t>3</w:t>
            </w:r>
          </w:p>
        </w:tc>
        <w:tc>
          <w:tcPr>
            <w:tcW w:w="840" w:type="dxa"/>
          </w:tcPr>
          <w:p w:rsidR="00B40966" w:rsidRDefault="00B40966">
            <w:pPr>
              <w:pStyle w:val="TableText"/>
              <w:jc w:val="center"/>
              <w:rPr>
                <w:sz w:val="20"/>
              </w:rPr>
            </w:pPr>
            <w:r>
              <w:rPr>
                <w:sz w:val="20"/>
              </w:rPr>
              <w:t>15</w:t>
            </w:r>
          </w:p>
        </w:tc>
        <w:tc>
          <w:tcPr>
            <w:tcW w:w="612" w:type="dxa"/>
            <w:gridSpan w:val="2"/>
            <w:tcBorders>
              <w:left w:val="single" w:sz="6" w:space="0" w:color="auto"/>
            </w:tcBorders>
          </w:tcPr>
          <w:p w:rsidR="00B40966" w:rsidRDefault="00B40966">
            <w:pPr>
              <w:pStyle w:val="TableText"/>
              <w:jc w:val="center"/>
              <w:rPr>
                <w:sz w:val="20"/>
              </w:rPr>
            </w:pPr>
            <w:r>
              <w:rPr>
                <w:sz w:val="20"/>
              </w:rPr>
              <w:t>7</w:t>
            </w:r>
          </w:p>
        </w:tc>
        <w:tc>
          <w:tcPr>
            <w:tcW w:w="708" w:type="dxa"/>
            <w:gridSpan w:val="2"/>
          </w:tcPr>
          <w:p w:rsidR="00B40966" w:rsidRDefault="00B40966">
            <w:pPr>
              <w:pStyle w:val="TableText"/>
              <w:jc w:val="center"/>
              <w:rPr>
                <w:sz w:val="20"/>
              </w:rPr>
            </w:pPr>
            <w:r>
              <w:rPr>
                <w:sz w:val="20"/>
              </w:rPr>
              <w:t>6</w:t>
            </w:r>
          </w:p>
        </w:tc>
        <w:tc>
          <w:tcPr>
            <w:tcW w:w="732" w:type="dxa"/>
            <w:tcBorders>
              <w:left w:val="single" w:sz="6" w:space="0" w:color="auto"/>
            </w:tcBorders>
          </w:tcPr>
          <w:p w:rsidR="00B40966" w:rsidRDefault="00B40966">
            <w:pPr>
              <w:pStyle w:val="TableText"/>
              <w:jc w:val="center"/>
              <w:rPr>
                <w:sz w:val="20"/>
              </w:rPr>
            </w:pPr>
            <w:r>
              <w:rPr>
                <w:sz w:val="20"/>
              </w:rPr>
              <w:t>6</w:t>
            </w:r>
          </w:p>
        </w:tc>
        <w:tc>
          <w:tcPr>
            <w:tcW w:w="828" w:type="dxa"/>
            <w:gridSpan w:val="2"/>
          </w:tcPr>
          <w:p w:rsidR="00B40966" w:rsidRDefault="00B40966">
            <w:pPr>
              <w:pStyle w:val="TableText"/>
              <w:jc w:val="center"/>
              <w:rPr>
                <w:sz w:val="20"/>
              </w:rPr>
            </w:pPr>
            <w:r>
              <w:rPr>
                <w:sz w:val="20"/>
              </w:rPr>
              <w:t>11</w:t>
            </w:r>
          </w:p>
        </w:tc>
        <w:tc>
          <w:tcPr>
            <w:tcW w:w="785" w:type="dxa"/>
            <w:gridSpan w:val="2"/>
            <w:tcBorders>
              <w:left w:val="single" w:sz="6" w:space="0" w:color="auto"/>
            </w:tcBorders>
          </w:tcPr>
          <w:p w:rsidR="00B40966" w:rsidRDefault="00B40966">
            <w:pPr>
              <w:pStyle w:val="TableText"/>
              <w:jc w:val="center"/>
              <w:rPr>
                <w:sz w:val="20"/>
              </w:rPr>
            </w:pPr>
            <w:r>
              <w:rPr>
                <w:sz w:val="20"/>
              </w:rPr>
              <w:t>5</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3</w:t>
            </w:r>
          </w:p>
        </w:tc>
        <w:tc>
          <w:tcPr>
            <w:tcW w:w="729" w:type="dxa"/>
            <w:gridSpan w:val="2"/>
          </w:tcPr>
          <w:p w:rsidR="00B40966" w:rsidRDefault="00B40966">
            <w:pPr>
              <w:pStyle w:val="TableText"/>
              <w:jc w:val="center"/>
              <w:rPr>
                <w:sz w:val="20"/>
              </w:rPr>
            </w:pPr>
            <w:r>
              <w:rPr>
                <w:sz w:val="20"/>
              </w:rPr>
              <w:t>15</w:t>
            </w:r>
          </w:p>
        </w:tc>
        <w:tc>
          <w:tcPr>
            <w:tcW w:w="872" w:type="dxa"/>
            <w:gridSpan w:val="3"/>
            <w:tcBorders>
              <w:left w:val="single" w:sz="6" w:space="0" w:color="auto"/>
            </w:tcBorders>
          </w:tcPr>
          <w:p w:rsidR="00B40966" w:rsidRDefault="00B40966">
            <w:pPr>
              <w:pStyle w:val="TableText"/>
              <w:jc w:val="center"/>
              <w:rPr>
                <w:sz w:val="20"/>
              </w:rPr>
            </w:pPr>
            <w:r>
              <w:rPr>
                <w:sz w:val="20"/>
              </w:rPr>
              <w:t>1</w:t>
            </w:r>
          </w:p>
        </w:tc>
        <w:tc>
          <w:tcPr>
            <w:tcW w:w="628" w:type="dxa"/>
            <w:gridSpan w:val="2"/>
          </w:tcPr>
          <w:p w:rsidR="00B40966" w:rsidRDefault="00B40966">
            <w:pPr>
              <w:pStyle w:val="TableText"/>
              <w:jc w:val="center"/>
              <w:rPr>
                <w:sz w:val="20"/>
              </w:rPr>
            </w:pPr>
            <w:r>
              <w:rPr>
                <w:sz w:val="20"/>
              </w:rPr>
              <w:t>19</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672" w:type="dxa"/>
            <w:gridSpan w:val="3"/>
          </w:tcPr>
          <w:p w:rsidR="00B40966" w:rsidRDefault="00B40966">
            <w:pPr>
              <w:pStyle w:val="TableText"/>
              <w:jc w:val="center"/>
              <w:rPr>
                <w:sz w:val="20"/>
              </w:rPr>
            </w:pPr>
            <w:r>
              <w:rPr>
                <w:sz w:val="20"/>
              </w:rPr>
              <w:t>4</w:t>
            </w:r>
          </w:p>
        </w:tc>
        <w:tc>
          <w:tcPr>
            <w:tcW w:w="840" w:type="dxa"/>
          </w:tcPr>
          <w:p w:rsidR="00B40966" w:rsidRDefault="00B40966">
            <w:pPr>
              <w:pStyle w:val="TableText"/>
              <w:jc w:val="center"/>
              <w:rPr>
                <w:sz w:val="20"/>
              </w:rPr>
            </w:pPr>
            <w:r>
              <w:rPr>
                <w:sz w:val="20"/>
              </w:rPr>
              <w:t>11</w:t>
            </w:r>
          </w:p>
        </w:tc>
        <w:tc>
          <w:tcPr>
            <w:tcW w:w="612" w:type="dxa"/>
            <w:gridSpan w:val="2"/>
            <w:tcBorders>
              <w:left w:val="single" w:sz="6" w:space="0" w:color="auto"/>
            </w:tcBorders>
          </w:tcPr>
          <w:p w:rsidR="00B40966" w:rsidRDefault="00B40966">
            <w:pPr>
              <w:pStyle w:val="TableText"/>
              <w:jc w:val="center"/>
              <w:rPr>
                <w:sz w:val="20"/>
              </w:rPr>
            </w:pPr>
            <w:r>
              <w:rPr>
                <w:sz w:val="20"/>
              </w:rPr>
              <w:t>8</w:t>
            </w:r>
          </w:p>
        </w:tc>
        <w:tc>
          <w:tcPr>
            <w:tcW w:w="708" w:type="dxa"/>
            <w:gridSpan w:val="2"/>
          </w:tcPr>
          <w:p w:rsidR="00B40966" w:rsidRDefault="00B40966">
            <w:pPr>
              <w:pStyle w:val="TableText"/>
              <w:jc w:val="center"/>
              <w:rPr>
                <w:sz w:val="20"/>
              </w:rPr>
            </w:pPr>
            <w:r>
              <w:rPr>
                <w:sz w:val="20"/>
              </w:rPr>
              <w:t>16</w:t>
            </w:r>
          </w:p>
        </w:tc>
        <w:tc>
          <w:tcPr>
            <w:tcW w:w="732" w:type="dxa"/>
            <w:tcBorders>
              <w:left w:val="single" w:sz="6" w:space="0" w:color="auto"/>
            </w:tcBorders>
          </w:tcPr>
          <w:p w:rsidR="00B40966" w:rsidRDefault="00B40966">
            <w:pPr>
              <w:pStyle w:val="TableText"/>
              <w:jc w:val="center"/>
              <w:rPr>
                <w:sz w:val="20"/>
              </w:rPr>
            </w:pPr>
            <w:r>
              <w:rPr>
                <w:sz w:val="20"/>
              </w:rPr>
              <w:t>7</w:t>
            </w:r>
          </w:p>
        </w:tc>
        <w:tc>
          <w:tcPr>
            <w:tcW w:w="828" w:type="dxa"/>
            <w:gridSpan w:val="2"/>
          </w:tcPr>
          <w:p w:rsidR="00B40966" w:rsidRDefault="00B40966">
            <w:pPr>
              <w:pStyle w:val="TableText"/>
              <w:jc w:val="center"/>
              <w:rPr>
                <w:sz w:val="20"/>
              </w:rPr>
            </w:pPr>
            <w:r>
              <w:rPr>
                <w:sz w:val="20"/>
              </w:rPr>
              <w:t>17</w:t>
            </w:r>
          </w:p>
        </w:tc>
        <w:tc>
          <w:tcPr>
            <w:tcW w:w="785" w:type="dxa"/>
            <w:gridSpan w:val="2"/>
            <w:tcBorders>
              <w:left w:val="single" w:sz="6" w:space="0" w:color="auto"/>
            </w:tcBorders>
          </w:tcPr>
          <w:p w:rsidR="00B40966" w:rsidRDefault="00B40966">
            <w:pPr>
              <w:pStyle w:val="TableText"/>
              <w:jc w:val="center"/>
              <w:rPr>
                <w:sz w:val="20"/>
              </w:rPr>
            </w:pPr>
            <w:r>
              <w:rPr>
                <w:sz w:val="20"/>
              </w:rPr>
              <w:t>6</w:t>
            </w:r>
          </w:p>
        </w:tc>
        <w:tc>
          <w:tcPr>
            <w:tcW w:w="786" w:type="dxa"/>
            <w:gridSpan w:val="2"/>
          </w:tcPr>
          <w:p w:rsidR="00B40966" w:rsidRDefault="00B40966">
            <w:pPr>
              <w:pStyle w:val="TableText"/>
              <w:jc w:val="center"/>
              <w:rPr>
                <w:sz w:val="20"/>
              </w:rPr>
            </w:pPr>
            <w:r>
              <w:rPr>
                <w:sz w:val="20"/>
              </w:rPr>
              <w:t>8</w:t>
            </w:r>
          </w:p>
        </w:tc>
        <w:tc>
          <w:tcPr>
            <w:tcW w:w="760" w:type="dxa"/>
            <w:tcBorders>
              <w:left w:val="single" w:sz="6" w:space="0" w:color="auto"/>
            </w:tcBorders>
          </w:tcPr>
          <w:p w:rsidR="00B40966" w:rsidRDefault="00B40966">
            <w:pPr>
              <w:pStyle w:val="TableText"/>
              <w:jc w:val="center"/>
              <w:rPr>
                <w:sz w:val="20"/>
              </w:rPr>
            </w:pPr>
            <w:r>
              <w:rPr>
                <w:sz w:val="20"/>
              </w:rPr>
              <w:t>4</w:t>
            </w:r>
          </w:p>
        </w:tc>
        <w:tc>
          <w:tcPr>
            <w:tcW w:w="729" w:type="dxa"/>
            <w:gridSpan w:val="2"/>
          </w:tcPr>
          <w:p w:rsidR="00B40966" w:rsidRDefault="00B40966">
            <w:pPr>
              <w:pStyle w:val="TableText"/>
              <w:jc w:val="center"/>
              <w:rPr>
                <w:sz w:val="20"/>
              </w:rPr>
            </w:pPr>
            <w:r>
              <w:rPr>
                <w:sz w:val="20"/>
              </w:rPr>
              <w:t>11</w:t>
            </w:r>
          </w:p>
        </w:tc>
        <w:tc>
          <w:tcPr>
            <w:tcW w:w="872" w:type="dxa"/>
            <w:gridSpan w:val="3"/>
            <w:tcBorders>
              <w:left w:val="single" w:sz="6" w:space="0" w:color="auto"/>
            </w:tcBorders>
          </w:tcPr>
          <w:p w:rsidR="00B40966" w:rsidRDefault="00B40966">
            <w:pPr>
              <w:pStyle w:val="TableText"/>
              <w:jc w:val="center"/>
              <w:rPr>
                <w:sz w:val="20"/>
              </w:rPr>
            </w:pPr>
            <w:r>
              <w:rPr>
                <w:sz w:val="20"/>
              </w:rPr>
              <w:t>2</w:t>
            </w:r>
          </w:p>
        </w:tc>
        <w:tc>
          <w:tcPr>
            <w:tcW w:w="628" w:type="dxa"/>
            <w:gridSpan w:val="2"/>
          </w:tcPr>
          <w:p w:rsidR="00B40966" w:rsidRDefault="00B40966">
            <w:pPr>
              <w:pStyle w:val="TableText"/>
              <w:jc w:val="center"/>
              <w:rPr>
                <w:sz w:val="20"/>
              </w:rPr>
            </w:pPr>
            <w:r>
              <w:rPr>
                <w:sz w:val="20"/>
              </w:rPr>
              <w:t>7</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672" w:type="dxa"/>
            <w:gridSpan w:val="3"/>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4</w:t>
            </w:r>
          </w:p>
        </w:tc>
        <w:tc>
          <w:tcPr>
            <w:tcW w:w="612" w:type="dxa"/>
            <w:gridSpan w:val="2"/>
            <w:tcBorders>
              <w:left w:val="single" w:sz="6" w:space="0" w:color="auto"/>
            </w:tcBorders>
          </w:tcPr>
          <w:p w:rsidR="00B40966" w:rsidRDefault="00B40966">
            <w:pPr>
              <w:pStyle w:val="TableText"/>
              <w:jc w:val="center"/>
              <w:rPr>
                <w:sz w:val="20"/>
              </w:rPr>
            </w:pPr>
            <w:r>
              <w:rPr>
                <w:sz w:val="20"/>
              </w:rPr>
              <w:t>10</w:t>
            </w:r>
          </w:p>
        </w:tc>
        <w:tc>
          <w:tcPr>
            <w:tcW w:w="708" w:type="dxa"/>
            <w:gridSpan w:val="2"/>
          </w:tcPr>
          <w:p w:rsidR="00B40966" w:rsidRDefault="00B40966">
            <w:pPr>
              <w:pStyle w:val="TableText"/>
              <w:jc w:val="center"/>
              <w:rPr>
                <w:sz w:val="20"/>
              </w:rPr>
            </w:pPr>
            <w:r>
              <w:rPr>
                <w:sz w:val="20"/>
              </w:rPr>
              <w:t>1</w:t>
            </w:r>
          </w:p>
        </w:tc>
        <w:tc>
          <w:tcPr>
            <w:tcW w:w="732" w:type="dxa"/>
            <w:tcBorders>
              <w:left w:val="single" w:sz="6" w:space="0" w:color="auto"/>
            </w:tcBorders>
          </w:tcPr>
          <w:p w:rsidR="00B40966" w:rsidRDefault="00B40966">
            <w:pPr>
              <w:pStyle w:val="TableText"/>
              <w:jc w:val="center"/>
              <w:rPr>
                <w:sz w:val="20"/>
              </w:rPr>
            </w:pPr>
            <w:r>
              <w:rPr>
                <w:sz w:val="20"/>
              </w:rPr>
              <w:t>9</w:t>
            </w:r>
          </w:p>
        </w:tc>
        <w:tc>
          <w:tcPr>
            <w:tcW w:w="828" w:type="dxa"/>
            <w:gridSpan w:val="2"/>
          </w:tcPr>
          <w:p w:rsidR="00B40966" w:rsidRDefault="00B40966">
            <w:pPr>
              <w:pStyle w:val="TableText"/>
              <w:jc w:val="center"/>
              <w:rPr>
                <w:sz w:val="20"/>
              </w:rPr>
            </w:pPr>
            <w:r>
              <w:rPr>
                <w:sz w:val="20"/>
              </w:rPr>
              <w:t>0</w:t>
            </w:r>
          </w:p>
        </w:tc>
        <w:tc>
          <w:tcPr>
            <w:tcW w:w="785" w:type="dxa"/>
            <w:gridSpan w:val="2"/>
            <w:tcBorders>
              <w:left w:val="single" w:sz="6" w:space="0" w:color="auto"/>
            </w:tcBorders>
          </w:tcPr>
          <w:p w:rsidR="00B40966" w:rsidRDefault="00B40966">
            <w:pPr>
              <w:pStyle w:val="TableText"/>
              <w:jc w:val="center"/>
              <w:rPr>
                <w:sz w:val="20"/>
              </w:rPr>
            </w:pPr>
            <w:r>
              <w:rPr>
                <w:sz w:val="20"/>
              </w:rPr>
              <w:t>7</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5</w:t>
            </w:r>
          </w:p>
        </w:tc>
        <w:tc>
          <w:tcPr>
            <w:tcW w:w="729" w:type="dxa"/>
            <w:gridSpan w:val="2"/>
          </w:tcPr>
          <w:p w:rsidR="00B40966" w:rsidRDefault="00B40966">
            <w:pPr>
              <w:pStyle w:val="TableText"/>
              <w:jc w:val="center"/>
              <w:rPr>
                <w:sz w:val="20"/>
              </w:rPr>
            </w:pPr>
            <w:r>
              <w:rPr>
                <w:sz w:val="20"/>
              </w:rPr>
              <w:t>4</w:t>
            </w:r>
          </w:p>
        </w:tc>
        <w:tc>
          <w:tcPr>
            <w:tcW w:w="872" w:type="dxa"/>
            <w:gridSpan w:val="3"/>
            <w:tcBorders>
              <w:left w:val="single" w:sz="6" w:space="0" w:color="auto"/>
            </w:tcBorders>
          </w:tcPr>
          <w:p w:rsidR="00B40966" w:rsidRDefault="00B40966">
            <w:pPr>
              <w:pStyle w:val="TableText"/>
              <w:jc w:val="center"/>
              <w:rPr>
                <w:sz w:val="20"/>
              </w:rPr>
            </w:pPr>
            <w:r>
              <w:rPr>
                <w:sz w:val="20"/>
              </w:rPr>
              <w:t>2</w:t>
            </w:r>
          </w:p>
        </w:tc>
        <w:tc>
          <w:tcPr>
            <w:tcW w:w="628" w:type="dxa"/>
            <w:gridSpan w:val="2"/>
          </w:tcPr>
          <w:p w:rsidR="00B40966" w:rsidRDefault="00B40966">
            <w:pPr>
              <w:pStyle w:val="TableText"/>
              <w:jc w:val="center"/>
              <w:rPr>
                <w:sz w:val="20"/>
              </w:rPr>
            </w:pPr>
            <w:r>
              <w:rPr>
                <w:sz w:val="20"/>
              </w:rPr>
              <w:t>12</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672" w:type="dxa"/>
            <w:gridSpan w:val="3"/>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18</w:t>
            </w:r>
          </w:p>
        </w:tc>
        <w:tc>
          <w:tcPr>
            <w:tcW w:w="612" w:type="dxa"/>
            <w:gridSpan w:val="2"/>
            <w:tcBorders>
              <w:left w:val="single" w:sz="6" w:space="0" w:color="auto"/>
            </w:tcBorders>
          </w:tcPr>
          <w:p w:rsidR="00B40966" w:rsidRDefault="00B40966">
            <w:pPr>
              <w:pStyle w:val="TableText"/>
              <w:jc w:val="center"/>
              <w:rPr>
                <w:sz w:val="20"/>
              </w:rPr>
            </w:pPr>
            <w:r>
              <w:rPr>
                <w:sz w:val="20"/>
              </w:rPr>
              <w:t>11</w:t>
            </w:r>
          </w:p>
        </w:tc>
        <w:tc>
          <w:tcPr>
            <w:tcW w:w="708" w:type="dxa"/>
            <w:gridSpan w:val="2"/>
          </w:tcPr>
          <w:p w:rsidR="00B40966" w:rsidRDefault="00B40966">
            <w:pPr>
              <w:pStyle w:val="TableText"/>
              <w:jc w:val="center"/>
              <w:rPr>
                <w:sz w:val="20"/>
              </w:rPr>
            </w:pPr>
            <w:r>
              <w:rPr>
                <w:sz w:val="20"/>
              </w:rPr>
              <w:t>8</w:t>
            </w:r>
          </w:p>
        </w:tc>
        <w:tc>
          <w:tcPr>
            <w:tcW w:w="732" w:type="dxa"/>
            <w:tcBorders>
              <w:left w:val="single" w:sz="6" w:space="0" w:color="auto"/>
            </w:tcBorders>
          </w:tcPr>
          <w:p w:rsidR="00B40966" w:rsidRDefault="00B40966">
            <w:pPr>
              <w:pStyle w:val="TableText"/>
              <w:jc w:val="center"/>
              <w:rPr>
                <w:sz w:val="20"/>
              </w:rPr>
            </w:pPr>
            <w:r>
              <w:rPr>
                <w:sz w:val="20"/>
              </w:rPr>
              <w:t>10</w:t>
            </w:r>
          </w:p>
        </w:tc>
        <w:tc>
          <w:tcPr>
            <w:tcW w:w="828" w:type="dxa"/>
            <w:gridSpan w:val="2"/>
          </w:tcPr>
          <w:p w:rsidR="00B40966" w:rsidRDefault="00B40966">
            <w:pPr>
              <w:pStyle w:val="TableText"/>
              <w:jc w:val="center"/>
              <w:rPr>
                <w:sz w:val="20"/>
              </w:rPr>
            </w:pPr>
            <w:r>
              <w:rPr>
                <w:sz w:val="20"/>
              </w:rPr>
              <w:t>5</w:t>
            </w:r>
          </w:p>
        </w:tc>
        <w:tc>
          <w:tcPr>
            <w:tcW w:w="785" w:type="dxa"/>
            <w:gridSpan w:val="2"/>
            <w:tcBorders>
              <w:left w:val="single" w:sz="6" w:space="0" w:color="auto"/>
            </w:tcBorders>
          </w:tcPr>
          <w:p w:rsidR="00B40966" w:rsidRDefault="00B40966">
            <w:pPr>
              <w:pStyle w:val="TableText"/>
              <w:jc w:val="center"/>
              <w:rPr>
                <w:sz w:val="20"/>
              </w:rPr>
            </w:pPr>
            <w:r>
              <w:rPr>
                <w:sz w:val="20"/>
              </w:rPr>
              <w:t>8</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5</w:t>
            </w:r>
          </w:p>
        </w:tc>
        <w:tc>
          <w:tcPr>
            <w:tcW w:w="729" w:type="dxa"/>
            <w:gridSpan w:val="2"/>
          </w:tcPr>
          <w:p w:rsidR="00B40966" w:rsidRDefault="00B40966">
            <w:pPr>
              <w:pStyle w:val="TableText"/>
              <w:jc w:val="center"/>
              <w:rPr>
                <w:sz w:val="20"/>
              </w:rPr>
            </w:pPr>
            <w:r>
              <w:rPr>
                <w:sz w:val="20"/>
              </w:rPr>
              <w:t>18</w:t>
            </w:r>
          </w:p>
        </w:tc>
        <w:tc>
          <w:tcPr>
            <w:tcW w:w="872" w:type="dxa"/>
            <w:gridSpan w:val="3"/>
            <w:tcBorders>
              <w:left w:val="single" w:sz="6" w:space="0" w:color="auto"/>
            </w:tcBorders>
          </w:tcPr>
          <w:p w:rsidR="00B40966" w:rsidRDefault="00B40966">
            <w:pPr>
              <w:pStyle w:val="TableText"/>
              <w:jc w:val="center"/>
              <w:rPr>
                <w:sz w:val="20"/>
              </w:rPr>
            </w:pPr>
            <w:r>
              <w:rPr>
                <w:sz w:val="20"/>
              </w:rPr>
              <w:t>3</w:t>
            </w:r>
          </w:p>
        </w:tc>
        <w:tc>
          <w:tcPr>
            <w:tcW w:w="628" w:type="dxa"/>
            <w:gridSpan w:val="2"/>
          </w:tcPr>
          <w:p w:rsidR="00B40966" w:rsidRDefault="00B40966">
            <w:pPr>
              <w:pStyle w:val="TableText"/>
              <w:jc w:val="center"/>
              <w:rPr>
                <w:sz w:val="20"/>
              </w:rPr>
            </w:pPr>
            <w:r>
              <w:rPr>
                <w:sz w:val="20"/>
              </w:rPr>
              <w:t>1</w:t>
            </w:r>
          </w:p>
        </w:tc>
      </w:tr>
      <w:tr w:rsidR="00B40966">
        <w:trPr>
          <w:cantSplit/>
          <w:trHeight w:val="200"/>
        </w:trPr>
        <w:tc>
          <w:tcPr>
            <w:tcW w:w="980" w:type="dxa"/>
          </w:tcPr>
          <w:p w:rsidR="00B40966" w:rsidRDefault="00B40966">
            <w:pPr>
              <w:pStyle w:val="TableText"/>
              <w:jc w:val="center"/>
              <w:rPr>
                <w:sz w:val="20"/>
              </w:rPr>
            </w:pPr>
            <w:r>
              <w:rPr>
                <w:sz w:val="20"/>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672" w:type="dxa"/>
            <w:gridSpan w:val="3"/>
          </w:tcPr>
          <w:p w:rsidR="00B40966" w:rsidRDefault="00B40966">
            <w:pPr>
              <w:pStyle w:val="TableText"/>
              <w:jc w:val="center"/>
              <w:rPr>
                <w:sz w:val="20"/>
              </w:rPr>
            </w:pPr>
            <w:r>
              <w:rPr>
                <w:sz w:val="20"/>
              </w:rPr>
              <w:t>6</w:t>
            </w:r>
          </w:p>
        </w:tc>
        <w:tc>
          <w:tcPr>
            <w:tcW w:w="840" w:type="dxa"/>
          </w:tcPr>
          <w:p w:rsidR="00B40966" w:rsidRDefault="00B40966">
            <w:pPr>
              <w:pStyle w:val="TableText"/>
              <w:jc w:val="center"/>
              <w:rPr>
                <w:sz w:val="20"/>
              </w:rPr>
            </w:pPr>
            <w:r>
              <w:rPr>
                <w:sz w:val="20"/>
              </w:rPr>
              <w:t>17</w:t>
            </w:r>
          </w:p>
        </w:tc>
        <w:tc>
          <w:tcPr>
            <w:tcW w:w="612" w:type="dxa"/>
            <w:gridSpan w:val="2"/>
            <w:tcBorders>
              <w:left w:val="single" w:sz="6" w:space="0" w:color="auto"/>
            </w:tcBorders>
          </w:tcPr>
          <w:p w:rsidR="00B40966" w:rsidRDefault="00B40966">
            <w:pPr>
              <w:pStyle w:val="TableText"/>
              <w:jc w:val="center"/>
              <w:rPr>
                <w:sz w:val="20"/>
              </w:rPr>
            </w:pPr>
            <w:r>
              <w:rPr>
                <w:sz w:val="20"/>
              </w:rPr>
              <w:t>13</w:t>
            </w:r>
          </w:p>
        </w:tc>
        <w:tc>
          <w:tcPr>
            <w:tcW w:w="708" w:type="dxa"/>
            <w:gridSpan w:val="2"/>
          </w:tcPr>
          <w:p w:rsidR="00B40966" w:rsidRDefault="00B40966">
            <w:pPr>
              <w:pStyle w:val="TableText"/>
              <w:jc w:val="center"/>
              <w:rPr>
                <w:sz w:val="20"/>
              </w:rPr>
            </w:pPr>
            <w:r>
              <w:rPr>
                <w:sz w:val="20"/>
              </w:rPr>
              <w:t>5</w:t>
            </w:r>
          </w:p>
        </w:tc>
        <w:tc>
          <w:tcPr>
            <w:tcW w:w="732" w:type="dxa"/>
            <w:tcBorders>
              <w:left w:val="single" w:sz="6" w:space="0" w:color="auto"/>
            </w:tcBorders>
          </w:tcPr>
          <w:p w:rsidR="00B40966" w:rsidRDefault="00B40966">
            <w:pPr>
              <w:pStyle w:val="TableText"/>
              <w:jc w:val="center"/>
              <w:rPr>
                <w:sz w:val="20"/>
              </w:rPr>
            </w:pPr>
            <w:r>
              <w:rPr>
                <w:sz w:val="20"/>
              </w:rPr>
              <w:t>11</w:t>
            </w:r>
          </w:p>
        </w:tc>
        <w:tc>
          <w:tcPr>
            <w:tcW w:w="828" w:type="dxa"/>
            <w:gridSpan w:val="2"/>
          </w:tcPr>
          <w:p w:rsidR="00B40966" w:rsidRDefault="00B40966">
            <w:pPr>
              <w:pStyle w:val="TableText"/>
              <w:jc w:val="center"/>
              <w:rPr>
                <w:sz w:val="20"/>
              </w:rPr>
            </w:pPr>
            <w:r>
              <w:rPr>
                <w:sz w:val="20"/>
              </w:rPr>
              <w:t>18</w:t>
            </w:r>
          </w:p>
        </w:tc>
        <w:tc>
          <w:tcPr>
            <w:tcW w:w="785" w:type="dxa"/>
            <w:gridSpan w:val="2"/>
            <w:tcBorders>
              <w:left w:val="single" w:sz="6" w:space="0" w:color="auto"/>
            </w:tcBorders>
          </w:tcPr>
          <w:p w:rsidR="00B40966" w:rsidRDefault="00B40966">
            <w:pPr>
              <w:pStyle w:val="TableText"/>
              <w:jc w:val="center"/>
              <w:rPr>
                <w:sz w:val="20"/>
              </w:rPr>
            </w:pPr>
            <w:r>
              <w:rPr>
                <w:sz w:val="20"/>
              </w:rPr>
              <w:t>9</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6</w:t>
            </w:r>
          </w:p>
        </w:tc>
        <w:tc>
          <w:tcPr>
            <w:tcW w:w="729" w:type="dxa"/>
            <w:gridSpan w:val="2"/>
          </w:tcPr>
          <w:p w:rsidR="00B40966" w:rsidRDefault="00B40966">
            <w:pPr>
              <w:pStyle w:val="TableText"/>
              <w:jc w:val="center"/>
              <w:rPr>
                <w:sz w:val="20"/>
              </w:rPr>
            </w:pPr>
            <w:r>
              <w:rPr>
                <w:sz w:val="20"/>
              </w:rPr>
              <w:t>17</w:t>
            </w:r>
          </w:p>
        </w:tc>
        <w:tc>
          <w:tcPr>
            <w:tcW w:w="872" w:type="dxa"/>
            <w:gridSpan w:val="3"/>
            <w:tcBorders>
              <w:left w:val="single" w:sz="6" w:space="0" w:color="auto"/>
            </w:tcBorders>
          </w:tcPr>
          <w:p w:rsidR="00B40966" w:rsidRDefault="00B40966">
            <w:pPr>
              <w:pStyle w:val="TableText"/>
              <w:jc w:val="center"/>
              <w:rPr>
                <w:sz w:val="20"/>
              </w:rPr>
            </w:pPr>
            <w:r>
              <w:rPr>
                <w:sz w:val="20"/>
              </w:rPr>
              <w:t>3</w:t>
            </w:r>
          </w:p>
        </w:tc>
        <w:tc>
          <w:tcPr>
            <w:tcW w:w="628" w:type="dxa"/>
            <w:gridSpan w:val="2"/>
          </w:tcPr>
          <w:p w:rsidR="00B40966" w:rsidRDefault="00B40966">
            <w:pPr>
              <w:pStyle w:val="TableText"/>
              <w:jc w:val="center"/>
              <w:rPr>
                <w:sz w:val="20"/>
              </w:rPr>
            </w:pPr>
            <w:r>
              <w:rPr>
                <w:sz w:val="20"/>
              </w:rPr>
              <w:t>11</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672" w:type="dxa"/>
            <w:gridSpan w:val="3"/>
          </w:tcPr>
          <w:p w:rsidR="00B40966" w:rsidRDefault="00B40966">
            <w:pPr>
              <w:pStyle w:val="TableText"/>
              <w:jc w:val="center"/>
              <w:rPr>
                <w:sz w:val="20"/>
              </w:rPr>
            </w:pPr>
            <w:r>
              <w:rPr>
                <w:sz w:val="20"/>
              </w:rPr>
              <w:t>7</w:t>
            </w:r>
          </w:p>
        </w:tc>
        <w:tc>
          <w:tcPr>
            <w:tcW w:w="840" w:type="dxa"/>
          </w:tcPr>
          <w:p w:rsidR="00B40966" w:rsidRDefault="00B40966">
            <w:pPr>
              <w:pStyle w:val="TableText"/>
              <w:jc w:val="center"/>
              <w:rPr>
                <w:sz w:val="20"/>
              </w:rPr>
            </w:pPr>
            <w:r>
              <w:rPr>
                <w:sz w:val="20"/>
              </w:rPr>
              <w:t>13</w:t>
            </w:r>
          </w:p>
        </w:tc>
        <w:tc>
          <w:tcPr>
            <w:tcW w:w="612" w:type="dxa"/>
            <w:gridSpan w:val="2"/>
            <w:tcBorders>
              <w:left w:val="single" w:sz="6" w:space="0" w:color="auto"/>
            </w:tcBorders>
          </w:tcPr>
          <w:p w:rsidR="00B40966" w:rsidRDefault="00B40966">
            <w:pPr>
              <w:pStyle w:val="TableText"/>
              <w:jc w:val="center"/>
              <w:rPr>
                <w:sz w:val="20"/>
              </w:rPr>
            </w:pPr>
            <w:r>
              <w:rPr>
                <w:sz w:val="20"/>
              </w:rPr>
              <w:t>14</w:t>
            </w:r>
          </w:p>
        </w:tc>
        <w:tc>
          <w:tcPr>
            <w:tcW w:w="708" w:type="dxa"/>
            <w:gridSpan w:val="2"/>
          </w:tcPr>
          <w:p w:rsidR="00B40966" w:rsidRDefault="00B40966">
            <w:pPr>
              <w:pStyle w:val="TableText"/>
              <w:jc w:val="center"/>
              <w:rPr>
                <w:sz w:val="20"/>
              </w:rPr>
            </w:pPr>
            <w:r>
              <w:rPr>
                <w:sz w:val="20"/>
              </w:rPr>
              <w:t>16</w:t>
            </w:r>
          </w:p>
        </w:tc>
        <w:tc>
          <w:tcPr>
            <w:tcW w:w="732" w:type="dxa"/>
            <w:tcBorders>
              <w:left w:val="single" w:sz="6" w:space="0" w:color="auto"/>
            </w:tcBorders>
          </w:tcPr>
          <w:p w:rsidR="00B40966" w:rsidRDefault="00B40966">
            <w:pPr>
              <w:pStyle w:val="TableText"/>
              <w:jc w:val="center"/>
              <w:rPr>
                <w:sz w:val="20"/>
              </w:rPr>
            </w:pPr>
            <w:r>
              <w:rPr>
                <w:sz w:val="20"/>
              </w:rPr>
              <w:t>13</w:t>
            </w:r>
          </w:p>
        </w:tc>
        <w:tc>
          <w:tcPr>
            <w:tcW w:w="828" w:type="dxa"/>
            <w:gridSpan w:val="2"/>
          </w:tcPr>
          <w:p w:rsidR="00B40966" w:rsidRDefault="00B40966">
            <w:pPr>
              <w:pStyle w:val="TableText"/>
              <w:jc w:val="center"/>
              <w:rPr>
                <w:sz w:val="20"/>
              </w:rPr>
            </w:pPr>
            <w:r>
              <w:rPr>
                <w:sz w:val="20"/>
              </w:rPr>
              <w:t>5</w:t>
            </w:r>
          </w:p>
        </w:tc>
        <w:tc>
          <w:tcPr>
            <w:tcW w:w="785" w:type="dxa"/>
            <w:gridSpan w:val="2"/>
            <w:tcBorders>
              <w:left w:val="single" w:sz="6" w:space="0" w:color="auto"/>
            </w:tcBorders>
          </w:tcPr>
          <w:p w:rsidR="00B40966" w:rsidRDefault="00B40966">
            <w:pPr>
              <w:pStyle w:val="TableText"/>
              <w:jc w:val="center"/>
              <w:rPr>
                <w:sz w:val="20"/>
              </w:rPr>
            </w:pPr>
            <w:r>
              <w:rPr>
                <w:sz w:val="20"/>
              </w:rPr>
              <w:t>10</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7</w:t>
            </w:r>
          </w:p>
        </w:tc>
        <w:tc>
          <w:tcPr>
            <w:tcW w:w="729" w:type="dxa"/>
            <w:gridSpan w:val="2"/>
          </w:tcPr>
          <w:p w:rsidR="00B40966" w:rsidRDefault="00B40966">
            <w:pPr>
              <w:pStyle w:val="TableText"/>
              <w:jc w:val="center"/>
              <w:rPr>
                <w:sz w:val="20"/>
              </w:rPr>
            </w:pPr>
            <w:r>
              <w:rPr>
                <w:sz w:val="20"/>
              </w:rPr>
              <w:t>13</w:t>
            </w:r>
          </w:p>
        </w:tc>
        <w:tc>
          <w:tcPr>
            <w:tcW w:w="872" w:type="dxa"/>
            <w:gridSpan w:val="3"/>
            <w:tcBorders>
              <w:left w:val="single" w:sz="6" w:space="0" w:color="auto"/>
            </w:tcBorders>
          </w:tcPr>
          <w:p w:rsidR="00B40966" w:rsidRDefault="00B40966">
            <w:pPr>
              <w:pStyle w:val="TableText"/>
              <w:jc w:val="center"/>
              <w:rPr>
                <w:sz w:val="20"/>
              </w:rPr>
            </w:pPr>
            <w:r>
              <w:rPr>
                <w:sz w:val="20"/>
              </w:rPr>
              <w:t>3</w:t>
            </w:r>
          </w:p>
        </w:tc>
        <w:tc>
          <w:tcPr>
            <w:tcW w:w="628" w:type="dxa"/>
            <w:gridSpan w:val="2"/>
          </w:tcPr>
          <w:p w:rsidR="00B40966" w:rsidRDefault="00B40966">
            <w:pPr>
              <w:pStyle w:val="TableText"/>
              <w:jc w:val="center"/>
              <w:rPr>
                <w:sz w:val="20"/>
              </w:rPr>
            </w:pPr>
            <w:r>
              <w:rPr>
                <w:sz w:val="20"/>
              </w:rPr>
              <w:t>19</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672" w:type="dxa"/>
            <w:gridSpan w:val="3"/>
          </w:tcPr>
          <w:p w:rsidR="00B40966" w:rsidRDefault="00B40966">
            <w:pPr>
              <w:pStyle w:val="TableText"/>
              <w:jc w:val="center"/>
              <w:rPr>
                <w:sz w:val="20"/>
              </w:rPr>
            </w:pPr>
            <w:r>
              <w:rPr>
                <w:sz w:val="20"/>
              </w:rPr>
              <w:t>8</w:t>
            </w:r>
          </w:p>
        </w:tc>
        <w:tc>
          <w:tcPr>
            <w:tcW w:w="840" w:type="dxa"/>
          </w:tcPr>
          <w:p w:rsidR="00B40966" w:rsidRDefault="00B40966">
            <w:pPr>
              <w:pStyle w:val="TableText"/>
              <w:jc w:val="center"/>
              <w:rPr>
                <w:sz w:val="20"/>
              </w:rPr>
            </w:pPr>
            <w:r>
              <w:rPr>
                <w:sz w:val="20"/>
              </w:rPr>
              <w:t>10</w:t>
            </w:r>
          </w:p>
        </w:tc>
        <w:tc>
          <w:tcPr>
            <w:tcW w:w="612" w:type="dxa"/>
            <w:gridSpan w:val="2"/>
            <w:tcBorders>
              <w:left w:val="single" w:sz="6" w:space="0" w:color="auto"/>
            </w:tcBorders>
          </w:tcPr>
          <w:p w:rsidR="00B40966" w:rsidRDefault="00B40966">
            <w:pPr>
              <w:pStyle w:val="TableText"/>
              <w:jc w:val="center"/>
              <w:rPr>
                <w:sz w:val="20"/>
              </w:rPr>
            </w:pPr>
            <w:r>
              <w:rPr>
                <w:sz w:val="20"/>
              </w:rPr>
              <w:t>16</w:t>
            </w:r>
          </w:p>
        </w:tc>
        <w:tc>
          <w:tcPr>
            <w:tcW w:w="708" w:type="dxa"/>
            <w:gridSpan w:val="2"/>
          </w:tcPr>
          <w:p w:rsidR="00B40966" w:rsidRDefault="00B40966">
            <w:pPr>
              <w:pStyle w:val="TableText"/>
              <w:jc w:val="center"/>
              <w:rPr>
                <w:sz w:val="20"/>
              </w:rPr>
            </w:pPr>
            <w:r>
              <w:rPr>
                <w:sz w:val="20"/>
              </w:rPr>
              <w:t>10</w:t>
            </w:r>
          </w:p>
        </w:tc>
        <w:tc>
          <w:tcPr>
            <w:tcW w:w="732" w:type="dxa"/>
            <w:tcBorders>
              <w:left w:val="single" w:sz="6" w:space="0" w:color="auto"/>
            </w:tcBorders>
          </w:tcPr>
          <w:p w:rsidR="00B40966" w:rsidRDefault="00B40966">
            <w:pPr>
              <w:pStyle w:val="TableText"/>
              <w:jc w:val="center"/>
              <w:rPr>
                <w:sz w:val="20"/>
              </w:rPr>
            </w:pPr>
            <w:r>
              <w:rPr>
                <w:sz w:val="20"/>
              </w:rPr>
              <w:t>14</w:t>
            </w:r>
          </w:p>
        </w:tc>
        <w:tc>
          <w:tcPr>
            <w:tcW w:w="828" w:type="dxa"/>
            <w:gridSpan w:val="2"/>
          </w:tcPr>
          <w:p w:rsidR="00B40966" w:rsidRDefault="00B40966">
            <w:pPr>
              <w:pStyle w:val="TableText"/>
              <w:jc w:val="center"/>
              <w:rPr>
                <w:sz w:val="20"/>
              </w:rPr>
            </w:pPr>
            <w:r>
              <w:rPr>
                <w:sz w:val="20"/>
              </w:rPr>
              <w:t>15</w:t>
            </w:r>
          </w:p>
        </w:tc>
        <w:tc>
          <w:tcPr>
            <w:tcW w:w="785" w:type="dxa"/>
            <w:gridSpan w:val="2"/>
            <w:tcBorders>
              <w:left w:val="single" w:sz="6" w:space="0" w:color="auto"/>
            </w:tcBorders>
          </w:tcPr>
          <w:p w:rsidR="00B40966" w:rsidRDefault="00B40966">
            <w:pPr>
              <w:pStyle w:val="TableText"/>
              <w:jc w:val="center"/>
              <w:rPr>
                <w:sz w:val="20"/>
              </w:rPr>
            </w:pPr>
            <w:r>
              <w:rPr>
                <w:sz w:val="20"/>
              </w:rPr>
              <w:t>12</w:t>
            </w:r>
          </w:p>
        </w:tc>
        <w:tc>
          <w:tcPr>
            <w:tcW w:w="786" w:type="dxa"/>
            <w:gridSpan w:val="2"/>
          </w:tcPr>
          <w:p w:rsidR="00B40966" w:rsidRDefault="00B40966">
            <w:pPr>
              <w:pStyle w:val="TableText"/>
              <w:jc w:val="center"/>
              <w:rPr>
                <w:sz w:val="20"/>
              </w:rPr>
            </w:pPr>
            <w:r>
              <w:rPr>
                <w:sz w:val="20"/>
              </w:rPr>
              <w:t>1</w:t>
            </w:r>
          </w:p>
        </w:tc>
        <w:tc>
          <w:tcPr>
            <w:tcW w:w="760" w:type="dxa"/>
            <w:tcBorders>
              <w:left w:val="single" w:sz="6" w:space="0" w:color="auto"/>
            </w:tcBorders>
          </w:tcPr>
          <w:p w:rsidR="00B40966" w:rsidRDefault="00B40966">
            <w:pPr>
              <w:pStyle w:val="TableText"/>
              <w:jc w:val="center"/>
              <w:rPr>
                <w:sz w:val="20"/>
              </w:rPr>
            </w:pPr>
            <w:r>
              <w:rPr>
                <w:sz w:val="20"/>
              </w:rPr>
              <w:t>8</w:t>
            </w:r>
          </w:p>
        </w:tc>
        <w:tc>
          <w:tcPr>
            <w:tcW w:w="729" w:type="dxa"/>
            <w:gridSpan w:val="2"/>
          </w:tcPr>
          <w:p w:rsidR="00B40966" w:rsidRDefault="00B40966">
            <w:pPr>
              <w:pStyle w:val="TableText"/>
              <w:jc w:val="center"/>
              <w:rPr>
                <w:sz w:val="20"/>
              </w:rPr>
            </w:pPr>
            <w:r>
              <w:rPr>
                <w:sz w:val="20"/>
              </w:rPr>
              <w:t>10</w:t>
            </w:r>
          </w:p>
        </w:tc>
        <w:tc>
          <w:tcPr>
            <w:tcW w:w="872" w:type="dxa"/>
            <w:gridSpan w:val="3"/>
            <w:tcBorders>
              <w:left w:val="single" w:sz="6" w:space="0" w:color="auto"/>
            </w:tcBorders>
          </w:tcPr>
          <w:p w:rsidR="00B40966" w:rsidRDefault="00B40966">
            <w:pPr>
              <w:pStyle w:val="TableText"/>
              <w:jc w:val="center"/>
              <w:rPr>
                <w:sz w:val="20"/>
              </w:rPr>
            </w:pPr>
            <w:r>
              <w:rPr>
                <w:sz w:val="20"/>
              </w:rPr>
              <w:t>4</w:t>
            </w:r>
          </w:p>
        </w:tc>
        <w:tc>
          <w:tcPr>
            <w:tcW w:w="628" w:type="dxa"/>
            <w:gridSpan w:val="2"/>
          </w:tcPr>
          <w:p w:rsidR="00B40966" w:rsidRDefault="00B40966">
            <w:pPr>
              <w:pStyle w:val="TableText"/>
              <w:jc w:val="center"/>
              <w:rPr>
                <w:sz w:val="20"/>
              </w:rPr>
            </w:pPr>
            <w:r>
              <w:rPr>
                <w:sz w:val="20"/>
              </w:rPr>
              <w:t>8</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672" w:type="dxa"/>
            <w:gridSpan w:val="3"/>
          </w:tcPr>
          <w:p w:rsidR="00B40966" w:rsidRDefault="00B40966">
            <w:pPr>
              <w:pStyle w:val="TableText"/>
              <w:jc w:val="center"/>
              <w:rPr>
                <w:sz w:val="20"/>
              </w:rPr>
            </w:pPr>
            <w:r>
              <w:rPr>
                <w:sz w:val="20"/>
              </w:rPr>
              <w:t>9</w:t>
            </w:r>
          </w:p>
        </w:tc>
        <w:tc>
          <w:tcPr>
            <w:tcW w:w="840" w:type="dxa"/>
          </w:tcPr>
          <w:p w:rsidR="00B40966" w:rsidRDefault="00B40966">
            <w:pPr>
              <w:pStyle w:val="TableText"/>
              <w:jc w:val="center"/>
              <w:rPr>
                <w:sz w:val="20"/>
              </w:rPr>
            </w:pPr>
            <w:r>
              <w:rPr>
                <w:sz w:val="20"/>
              </w:rPr>
              <w:t>13</w:t>
            </w:r>
          </w:p>
        </w:tc>
        <w:tc>
          <w:tcPr>
            <w:tcW w:w="612" w:type="dxa"/>
            <w:gridSpan w:val="2"/>
            <w:tcBorders>
              <w:left w:val="single" w:sz="6" w:space="0" w:color="auto"/>
            </w:tcBorders>
          </w:tcPr>
          <w:p w:rsidR="00B40966" w:rsidRDefault="00B40966">
            <w:pPr>
              <w:pStyle w:val="TableText"/>
              <w:jc w:val="center"/>
              <w:rPr>
                <w:sz w:val="20"/>
              </w:rPr>
            </w:pPr>
            <w:r>
              <w:rPr>
                <w:sz w:val="20"/>
              </w:rPr>
              <w:t>18</w:t>
            </w:r>
          </w:p>
        </w:tc>
        <w:tc>
          <w:tcPr>
            <w:tcW w:w="708" w:type="dxa"/>
            <w:gridSpan w:val="2"/>
          </w:tcPr>
          <w:p w:rsidR="00B40966" w:rsidRDefault="00B40966">
            <w:pPr>
              <w:pStyle w:val="TableText"/>
              <w:jc w:val="center"/>
              <w:rPr>
                <w:sz w:val="20"/>
              </w:rPr>
            </w:pPr>
            <w:r>
              <w:rPr>
                <w:sz w:val="20"/>
              </w:rPr>
              <w:t>13</w:t>
            </w:r>
          </w:p>
        </w:tc>
        <w:tc>
          <w:tcPr>
            <w:tcW w:w="732" w:type="dxa"/>
            <w:tcBorders>
              <w:left w:val="single" w:sz="6" w:space="0" w:color="auto"/>
            </w:tcBorders>
          </w:tcPr>
          <w:p w:rsidR="00B40966" w:rsidRDefault="00B40966">
            <w:pPr>
              <w:pStyle w:val="TableText"/>
              <w:jc w:val="center"/>
              <w:rPr>
                <w:sz w:val="20"/>
              </w:rPr>
            </w:pPr>
            <w:r>
              <w:rPr>
                <w:sz w:val="20"/>
              </w:rPr>
              <w:t>16</w:t>
            </w:r>
          </w:p>
        </w:tc>
        <w:tc>
          <w:tcPr>
            <w:tcW w:w="828" w:type="dxa"/>
            <w:gridSpan w:val="2"/>
          </w:tcPr>
          <w:p w:rsidR="00B40966" w:rsidRDefault="00B40966">
            <w:pPr>
              <w:pStyle w:val="TableText"/>
              <w:jc w:val="center"/>
              <w:rPr>
                <w:sz w:val="20"/>
              </w:rPr>
            </w:pPr>
            <w:r>
              <w:rPr>
                <w:sz w:val="20"/>
              </w:rPr>
              <w:t>14</w:t>
            </w:r>
          </w:p>
        </w:tc>
        <w:tc>
          <w:tcPr>
            <w:tcW w:w="785" w:type="dxa"/>
            <w:gridSpan w:val="2"/>
            <w:tcBorders>
              <w:left w:val="single" w:sz="6" w:space="0" w:color="auto"/>
            </w:tcBorders>
          </w:tcPr>
          <w:p w:rsidR="00B40966" w:rsidRDefault="00B40966">
            <w:pPr>
              <w:pStyle w:val="TableText"/>
              <w:jc w:val="center"/>
              <w:rPr>
                <w:sz w:val="20"/>
              </w:rPr>
            </w:pPr>
            <w:r>
              <w:rPr>
                <w:sz w:val="20"/>
              </w:rPr>
              <w:t>13</w:t>
            </w:r>
          </w:p>
        </w:tc>
        <w:tc>
          <w:tcPr>
            <w:tcW w:w="786" w:type="dxa"/>
            <w:gridSpan w:val="2"/>
          </w:tcPr>
          <w:p w:rsidR="00B40966" w:rsidRDefault="00B40966">
            <w:pPr>
              <w:pStyle w:val="TableText"/>
              <w:jc w:val="center"/>
              <w:rPr>
                <w:sz w:val="20"/>
              </w:rPr>
            </w:pPr>
            <w:r>
              <w:rPr>
                <w:sz w:val="20"/>
              </w:rPr>
              <w:t>13</w:t>
            </w:r>
          </w:p>
        </w:tc>
        <w:tc>
          <w:tcPr>
            <w:tcW w:w="760" w:type="dxa"/>
            <w:tcBorders>
              <w:left w:val="single" w:sz="6" w:space="0" w:color="auto"/>
            </w:tcBorders>
          </w:tcPr>
          <w:p w:rsidR="00B40966" w:rsidRDefault="00B40966">
            <w:pPr>
              <w:pStyle w:val="TableText"/>
              <w:jc w:val="center"/>
              <w:rPr>
                <w:sz w:val="20"/>
              </w:rPr>
            </w:pPr>
            <w:r>
              <w:rPr>
                <w:sz w:val="20"/>
              </w:rPr>
              <w:t>9</w:t>
            </w:r>
          </w:p>
        </w:tc>
        <w:tc>
          <w:tcPr>
            <w:tcW w:w="729" w:type="dxa"/>
            <w:gridSpan w:val="2"/>
          </w:tcPr>
          <w:p w:rsidR="00B40966" w:rsidRDefault="00B40966">
            <w:pPr>
              <w:pStyle w:val="TableText"/>
              <w:jc w:val="center"/>
              <w:rPr>
                <w:sz w:val="20"/>
              </w:rPr>
            </w:pPr>
            <w:r>
              <w:rPr>
                <w:sz w:val="20"/>
              </w:rPr>
              <w:t>13</w:t>
            </w:r>
          </w:p>
        </w:tc>
        <w:tc>
          <w:tcPr>
            <w:tcW w:w="872" w:type="dxa"/>
            <w:gridSpan w:val="3"/>
            <w:tcBorders>
              <w:left w:val="single" w:sz="6" w:space="0" w:color="auto"/>
            </w:tcBorders>
          </w:tcPr>
          <w:p w:rsidR="00B40966" w:rsidRDefault="00B40966">
            <w:pPr>
              <w:pStyle w:val="TableText"/>
              <w:jc w:val="center"/>
              <w:rPr>
                <w:sz w:val="20"/>
              </w:rPr>
            </w:pPr>
            <w:r>
              <w:rPr>
                <w:sz w:val="20"/>
              </w:rPr>
              <w:t>5</w:t>
            </w:r>
          </w:p>
        </w:tc>
        <w:tc>
          <w:tcPr>
            <w:tcW w:w="628" w:type="dxa"/>
            <w:gridSpan w:val="2"/>
          </w:tcPr>
          <w:p w:rsidR="00B40966" w:rsidRDefault="00B40966">
            <w:pPr>
              <w:pStyle w:val="TableText"/>
              <w:jc w:val="center"/>
              <w:rPr>
                <w:sz w:val="20"/>
              </w:rPr>
            </w:pPr>
            <w:r>
              <w:rPr>
                <w:sz w:val="20"/>
              </w:rPr>
              <w:t>0</w:t>
            </w:r>
          </w:p>
        </w:tc>
      </w:tr>
      <w:tr w:rsidR="00B40966">
        <w:trPr>
          <w:cantSplit/>
          <w:trHeight w:val="200"/>
        </w:trPr>
        <w:tc>
          <w:tcPr>
            <w:tcW w:w="980" w:type="dxa"/>
          </w:tcPr>
          <w:p w:rsidR="00B40966" w:rsidRDefault="00B40966">
            <w:pPr>
              <w:pStyle w:val="TableText"/>
              <w:jc w:val="center"/>
              <w:rPr>
                <w:sz w:val="20"/>
              </w:rPr>
            </w:pPr>
            <w:r>
              <w:rPr>
                <w:sz w:val="20"/>
              </w:rPr>
              <w:t>5</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672" w:type="dxa"/>
            <w:gridSpan w:val="3"/>
          </w:tcPr>
          <w:p w:rsidR="00B40966" w:rsidRDefault="00B40966">
            <w:pPr>
              <w:pStyle w:val="TableText"/>
              <w:jc w:val="center"/>
              <w:rPr>
                <w:sz w:val="20"/>
              </w:rPr>
            </w:pPr>
            <w:r>
              <w:rPr>
                <w:sz w:val="20"/>
              </w:rPr>
              <w:t>10</w:t>
            </w:r>
          </w:p>
        </w:tc>
        <w:tc>
          <w:tcPr>
            <w:tcW w:w="840" w:type="dxa"/>
          </w:tcPr>
          <w:p w:rsidR="00B40966" w:rsidRDefault="00B40966">
            <w:pPr>
              <w:pStyle w:val="TableText"/>
              <w:jc w:val="center"/>
              <w:rPr>
                <w:sz w:val="20"/>
              </w:rPr>
            </w:pPr>
            <w:r>
              <w:rPr>
                <w:sz w:val="20"/>
              </w:rPr>
              <w:t>12</w:t>
            </w:r>
          </w:p>
        </w:tc>
        <w:tc>
          <w:tcPr>
            <w:tcW w:w="612" w:type="dxa"/>
            <w:gridSpan w:val="2"/>
            <w:tcBorders>
              <w:left w:val="single" w:sz="6" w:space="0" w:color="auto"/>
            </w:tcBorders>
          </w:tcPr>
          <w:p w:rsidR="00B40966" w:rsidRDefault="00B40966">
            <w:pPr>
              <w:pStyle w:val="TableText"/>
              <w:jc w:val="center"/>
              <w:rPr>
                <w:sz w:val="20"/>
              </w:rPr>
            </w:pPr>
            <w:r>
              <w:rPr>
                <w:sz w:val="20"/>
              </w:rPr>
              <w:t>20</w:t>
            </w:r>
          </w:p>
        </w:tc>
        <w:tc>
          <w:tcPr>
            <w:tcW w:w="708" w:type="dxa"/>
            <w:gridSpan w:val="2"/>
          </w:tcPr>
          <w:p w:rsidR="00B40966" w:rsidRDefault="00B40966">
            <w:pPr>
              <w:pStyle w:val="TableText"/>
              <w:jc w:val="center"/>
              <w:rPr>
                <w:sz w:val="20"/>
              </w:rPr>
            </w:pPr>
            <w:r>
              <w:rPr>
                <w:sz w:val="20"/>
              </w:rPr>
              <w:t>9</w:t>
            </w:r>
          </w:p>
        </w:tc>
        <w:tc>
          <w:tcPr>
            <w:tcW w:w="732" w:type="dxa"/>
            <w:tcBorders>
              <w:left w:val="single" w:sz="6" w:space="0" w:color="auto"/>
            </w:tcBorders>
          </w:tcPr>
          <w:p w:rsidR="00B40966" w:rsidRDefault="00B40966">
            <w:pPr>
              <w:pStyle w:val="TableText"/>
              <w:jc w:val="center"/>
              <w:rPr>
                <w:sz w:val="20"/>
              </w:rPr>
            </w:pPr>
            <w:r>
              <w:rPr>
                <w:sz w:val="20"/>
              </w:rPr>
              <w:t>18</w:t>
            </w:r>
          </w:p>
        </w:tc>
        <w:tc>
          <w:tcPr>
            <w:tcW w:w="828" w:type="dxa"/>
            <w:gridSpan w:val="2"/>
          </w:tcPr>
          <w:p w:rsidR="00B40966" w:rsidRDefault="00B40966">
            <w:pPr>
              <w:pStyle w:val="TableText"/>
              <w:jc w:val="center"/>
              <w:rPr>
                <w:sz w:val="20"/>
              </w:rPr>
            </w:pPr>
            <w:r>
              <w:rPr>
                <w:sz w:val="20"/>
              </w:rPr>
              <w:t>7</w:t>
            </w:r>
          </w:p>
        </w:tc>
        <w:tc>
          <w:tcPr>
            <w:tcW w:w="785" w:type="dxa"/>
            <w:gridSpan w:val="2"/>
            <w:tcBorders>
              <w:left w:val="single" w:sz="6" w:space="0" w:color="auto"/>
            </w:tcBorders>
          </w:tcPr>
          <w:p w:rsidR="00B40966" w:rsidRDefault="00B40966">
            <w:pPr>
              <w:pStyle w:val="TableText"/>
              <w:jc w:val="center"/>
              <w:rPr>
                <w:sz w:val="20"/>
              </w:rPr>
            </w:pPr>
            <w:r>
              <w:rPr>
                <w:sz w:val="20"/>
              </w:rPr>
              <w:t>15</w:t>
            </w:r>
          </w:p>
        </w:tc>
        <w:tc>
          <w:tcPr>
            <w:tcW w:w="786" w:type="dxa"/>
            <w:gridSpan w:val="2"/>
          </w:tcPr>
          <w:p w:rsidR="00B40966" w:rsidRDefault="00B40966">
            <w:pPr>
              <w:pStyle w:val="TableText"/>
              <w:jc w:val="center"/>
              <w:rPr>
                <w:sz w:val="20"/>
              </w:rPr>
            </w:pPr>
            <w:r>
              <w:rPr>
                <w:sz w:val="20"/>
              </w:rPr>
              <w:t>0</w:t>
            </w:r>
          </w:p>
        </w:tc>
        <w:tc>
          <w:tcPr>
            <w:tcW w:w="760" w:type="dxa"/>
            <w:tcBorders>
              <w:left w:val="single" w:sz="6" w:space="0" w:color="auto"/>
            </w:tcBorders>
          </w:tcPr>
          <w:p w:rsidR="00B40966" w:rsidRDefault="00B40966">
            <w:pPr>
              <w:pStyle w:val="TableText"/>
              <w:jc w:val="center"/>
              <w:rPr>
                <w:sz w:val="20"/>
              </w:rPr>
            </w:pPr>
            <w:r>
              <w:rPr>
                <w:sz w:val="20"/>
              </w:rPr>
              <w:t>10</w:t>
            </w:r>
          </w:p>
        </w:tc>
        <w:tc>
          <w:tcPr>
            <w:tcW w:w="729" w:type="dxa"/>
            <w:gridSpan w:val="2"/>
          </w:tcPr>
          <w:p w:rsidR="00B40966" w:rsidRDefault="00B40966">
            <w:pPr>
              <w:pStyle w:val="TableText"/>
              <w:jc w:val="center"/>
              <w:rPr>
                <w:sz w:val="20"/>
              </w:rPr>
            </w:pPr>
            <w:r>
              <w:rPr>
                <w:sz w:val="20"/>
              </w:rPr>
              <w:t>12</w:t>
            </w:r>
          </w:p>
        </w:tc>
        <w:tc>
          <w:tcPr>
            <w:tcW w:w="872" w:type="dxa"/>
            <w:gridSpan w:val="3"/>
            <w:tcBorders>
              <w:left w:val="single" w:sz="6" w:space="0" w:color="auto"/>
            </w:tcBorders>
          </w:tcPr>
          <w:p w:rsidR="00B40966" w:rsidRDefault="00B40966">
            <w:pPr>
              <w:pStyle w:val="TableText"/>
              <w:jc w:val="center"/>
              <w:rPr>
                <w:sz w:val="20"/>
              </w:rPr>
            </w:pPr>
            <w:r>
              <w:rPr>
                <w:sz w:val="20"/>
              </w:rPr>
              <w:t>5</w:t>
            </w:r>
          </w:p>
        </w:tc>
        <w:tc>
          <w:tcPr>
            <w:tcW w:w="628" w:type="dxa"/>
            <w:gridSpan w:val="2"/>
          </w:tcPr>
          <w:p w:rsidR="00B40966" w:rsidRDefault="00B40966">
            <w:pPr>
              <w:pStyle w:val="TableText"/>
              <w:jc w:val="center"/>
              <w:rPr>
                <w:sz w:val="20"/>
              </w:rPr>
            </w:pPr>
            <w:r>
              <w:rPr>
                <w:sz w:val="20"/>
              </w:rPr>
              <w:t>9</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672" w:type="dxa"/>
            <w:gridSpan w:val="3"/>
          </w:tcPr>
          <w:p w:rsidR="00B40966" w:rsidRDefault="00B40966">
            <w:pPr>
              <w:pStyle w:val="TableText"/>
              <w:jc w:val="center"/>
              <w:rPr>
                <w:sz w:val="20"/>
              </w:rPr>
            </w:pPr>
            <w:r>
              <w:rPr>
                <w:sz w:val="20"/>
              </w:rPr>
              <w:t>11</w:t>
            </w:r>
          </w:p>
        </w:tc>
        <w:tc>
          <w:tcPr>
            <w:tcW w:w="840" w:type="dxa"/>
          </w:tcPr>
          <w:p w:rsidR="00B40966" w:rsidRDefault="00B40966">
            <w:pPr>
              <w:pStyle w:val="TableText"/>
              <w:jc w:val="center"/>
              <w:rPr>
                <w:sz w:val="20"/>
              </w:rPr>
            </w:pPr>
            <w:r>
              <w:rPr>
                <w:sz w:val="20"/>
              </w:rPr>
              <w:t>12</w:t>
            </w:r>
          </w:p>
        </w:tc>
        <w:tc>
          <w:tcPr>
            <w:tcW w:w="612" w:type="dxa"/>
            <w:gridSpan w:val="2"/>
            <w:tcBorders>
              <w:left w:val="single" w:sz="6" w:space="0" w:color="auto"/>
            </w:tcBorders>
          </w:tcPr>
          <w:p w:rsidR="00B40966" w:rsidRDefault="00B40966">
            <w:pPr>
              <w:pStyle w:val="TableText"/>
              <w:jc w:val="center"/>
              <w:rPr>
                <w:sz w:val="20"/>
              </w:rPr>
            </w:pPr>
            <w:r>
              <w:rPr>
                <w:sz w:val="20"/>
              </w:rPr>
              <w:t>22</w:t>
            </w:r>
          </w:p>
        </w:tc>
        <w:tc>
          <w:tcPr>
            <w:tcW w:w="708" w:type="dxa"/>
            <w:gridSpan w:val="2"/>
          </w:tcPr>
          <w:p w:rsidR="00B40966" w:rsidRDefault="00B40966">
            <w:pPr>
              <w:pStyle w:val="TableText"/>
              <w:jc w:val="center"/>
              <w:rPr>
                <w:sz w:val="20"/>
              </w:rPr>
            </w:pPr>
            <w:r>
              <w:rPr>
                <w:sz w:val="20"/>
              </w:rPr>
              <w:t>8</w:t>
            </w:r>
          </w:p>
        </w:tc>
        <w:tc>
          <w:tcPr>
            <w:tcW w:w="732" w:type="dxa"/>
            <w:tcBorders>
              <w:left w:val="single" w:sz="6" w:space="0" w:color="auto"/>
            </w:tcBorders>
          </w:tcPr>
          <w:p w:rsidR="00B40966" w:rsidRDefault="00B40966">
            <w:pPr>
              <w:pStyle w:val="TableText"/>
              <w:jc w:val="center"/>
              <w:rPr>
                <w:sz w:val="20"/>
              </w:rPr>
            </w:pPr>
            <w:r>
              <w:rPr>
                <w:sz w:val="20"/>
              </w:rPr>
              <w:t>20</w:t>
            </w:r>
          </w:p>
        </w:tc>
        <w:tc>
          <w:tcPr>
            <w:tcW w:w="828" w:type="dxa"/>
            <w:gridSpan w:val="2"/>
          </w:tcPr>
          <w:p w:rsidR="00B40966" w:rsidRDefault="00B40966">
            <w:pPr>
              <w:pStyle w:val="TableText"/>
              <w:jc w:val="center"/>
              <w:rPr>
                <w:sz w:val="20"/>
              </w:rPr>
            </w:pPr>
            <w:r>
              <w:rPr>
                <w:sz w:val="20"/>
              </w:rPr>
              <w:t>2</w:t>
            </w:r>
          </w:p>
        </w:tc>
        <w:tc>
          <w:tcPr>
            <w:tcW w:w="785" w:type="dxa"/>
            <w:gridSpan w:val="2"/>
            <w:tcBorders>
              <w:left w:val="single" w:sz="6" w:space="0" w:color="auto"/>
            </w:tcBorders>
          </w:tcPr>
          <w:p w:rsidR="00B40966" w:rsidRDefault="00B40966">
            <w:pPr>
              <w:pStyle w:val="TableText"/>
              <w:jc w:val="center"/>
              <w:rPr>
                <w:sz w:val="20"/>
              </w:rPr>
            </w:pPr>
            <w:r>
              <w:rPr>
                <w:sz w:val="20"/>
              </w:rPr>
              <w:t>16</w:t>
            </w:r>
          </w:p>
        </w:tc>
        <w:tc>
          <w:tcPr>
            <w:tcW w:w="786" w:type="dxa"/>
            <w:gridSpan w:val="2"/>
          </w:tcPr>
          <w:p w:rsidR="00B40966" w:rsidRDefault="00B40966">
            <w:pPr>
              <w:pStyle w:val="TableText"/>
              <w:jc w:val="center"/>
              <w:rPr>
                <w:sz w:val="20"/>
              </w:rPr>
            </w:pPr>
            <w:r>
              <w:rPr>
                <w:sz w:val="20"/>
              </w:rPr>
              <w:t>8</w:t>
            </w:r>
          </w:p>
        </w:tc>
        <w:tc>
          <w:tcPr>
            <w:tcW w:w="760" w:type="dxa"/>
            <w:tcBorders>
              <w:left w:val="single" w:sz="6" w:space="0" w:color="auto"/>
            </w:tcBorders>
          </w:tcPr>
          <w:p w:rsidR="00B40966" w:rsidRDefault="00B40966">
            <w:pPr>
              <w:pStyle w:val="TableText"/>
              <w:jc w:val="center"/>
              <w:rPr>
                <w:sz w:val="20"/>
              </w:rPr>
            </w:pPr>
            <w:r>
              <w:rPr>
                <w:sz w:val="20"/>
              </w:rPr>
              <w:t>11</w:t>
            </w:r>
          </w:p>
        </w:tc>
        <w:tc>
          <w:tcPr>
            <w:tcW w:w="729" w:type="dxa"/>
            <w:gridSpan w:val="2"/>
          </w:tcPr>
          <w:p w:rsidR="00B40966" w:rsidRDefault="00B40966">
            <w:pPr>
              <w:pStyle w:val="TableText"/>
              <w:jc w:val="center"/>
              <w:rPr>
                <w:sz w:val="20"/>
              </w:rPr>
            </w:pPr>
            <w:r>
              <w:rPr>
                <w:sz w:val="20"/>
              </w:rPr>
              <w:t>12</w:t>
            </w:r>
          </w:p>
        </w:tc>
        <w:tc>
          <w:tcPr>
            <w:tcW w:w="872" w:type="dxa"/>
            <w:gridSpan w:val="3"/>
            <w:tcBorders>
              <w:left w:val="single" w:sz="6" w:space="0" w:color="auto"/>
            </w:tcBorders>
          </w:tcPr>
          <w:p w:rsidR="00B40966" w:rsidRDefault="00B40966">
            <w:pPr>
              <w:pStyle w:val="TableText"/>
              <w:jc w:val="center"/>
              <w:rPr>
                <w:sz w:val="20"/>
              </w:rPr>
            </w:pPr>
            <w:r>
              <w:rPr>
                <w:sz w:val="20"/>
              </w:rPr>
              <w:t>6</w:t>
            </w:r>
          </w:p>
        </w:tc>
        <w:tc>
          <w:tcPr>
            <w:tcW w:w="628" w:type="dxa"/>
            <w:gridSpan w:val="2"/>
          </w:tcPr>
          <w:p w:rsidR="00B40966" w:rsidRDefault="00B40966">
            <w:pPr>
              <w:pStyle w:val="TableText"/>
              <w:jc w:val="center"/>
              <w:rPr>
                <w:sz w:val="20"/>
              </w:rPr>
            </w:pPr>
            <w:r>
              <w:rPr>
                <w:sz w:val="20"/>
              </w:rPr>
              <w:t>0</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672" w:type="dxa"/>
            <w:gridSpan w:val="3"/>
          </w:tcPr>
          <w:p w:rsidR="00B40966" w:rsidRDefault="00B40966">
            <w:pPr>
              <w:pStyle w:val="TableText"/>
              <w:jc w:val="center"/>
              <w:rPr>
                <w:sz w:val="20"/>
              </w:rPr>
            </w:pPr>
            <w:r>
              <w:rPr>
                <w:sz w:val="20"/>
              </w:rPr>
              <w:t>12</w:t>
            </w:r>
          </w:p>
        </w:tc>
        <w:tc>
          <w:tcPr>
            <w:tcW w:w="840" w:type="dxa"/>
          </w:tcPr>
          <w:p w:rsidR="00B40966" w:rsidRDefault="00B40966">
            <w:pPr>
              <w:pStyle w:val="TableText"/>
              <w:jc w:val="center"/>
              <w:rPr>
                <w:sz w:val="20"/>
              </w:rPr>
            </w:pPr>
            <w:r>
              <w:rPr>
                <w:sz w:val="20"/>
              </w:rPr>
              <w:t>12</w:t>
            </w:r>
          </w:p>
        </w:tc>
        <w:tc>
          <w:tcPr>
            <w:tcW w:w="612" w:type="dxa"/>
            <w:gridSpan w:val="2"/>
            <w:tcBorders>
              <w:left w:val="single" w:sz="6" w:space="0" w:color="auto"/>
            </w:tcBorders>
          </w:tcPr>
          <w:p w:rsidR="00B40966" w:rsidRDefault="00B40966">
            <w:pPr>
              <w:pStyle w:val="TableText"/>
              <w:jc w:val="center"/>
              <w:rPr>
                <w:sz w:val="20"/>
              </w:rPr>
            </w:pPr>
            <w:r>
              <w:rPr>
                <w:sz w:val="20"/>
              </w:rPr>
              <w:t>24</w:t>
            </w:r>
          </w:p>
        </w:tc>
        <w:tc>
          <w:tcPr>
            <w:tcW w:w="708" w:type="dxa"/>
            <w:gridSpan w:val="2"/>
          </w:tcPr>
          <w:p w:rsidR="00B40966" w:rsidRDefault="00B40966">
            <w:pPr>
              <w:pStyle w:val="TableText"/>
              <w:jc w:val="center"/>
              <w:rPr>
                <w:sz w:val="20"/>
              </w:rPr>
            </w:pPr>
            <w:r>
              <w:rPr>
                <w:sz w:val="20"/>
              </w:rPr>
              <w:t>8</w:t>
            </w:r>
          </w:p>
        </w:tc>
        <w:tc>
          <w:tcPr>
            <w:tcW w:w="732" w:type="dxa"/>
            <w:tcBorders>
              <w:left w:val="single" w:sz="6" w:space="0" w:color="auto"/>
            </w:tcBorders>
          </w:tcPr>
          <w:p w:rsidR="00B40966" w:rsidRDefault="00B40966">
            <w:pPr>
              <w:pStyle w:val="TableText"/>
              <w:jc w:val="center"/>
              <w:rPr>
                <w:sz w:val="20"/>
              </w:rPr>
            </w:pPr>
            <w:r>
              <w:rPr>
                <w:sz w:val="20"/>
              </w:rPr>
              <w:t>21</w:t>
            </w:r>
          </w:p>
        </w:tc>
        <w:tc>
          <w:tcPr>
            <w:tcW w:w="828" w:type="dxa"/>
            <w:gridSpan w:val="2"/>
          </w:tcPr>
          <w:p w:rsidR="00B40966" w:rsidRDefault="00B40966">
            <w:pPr>
              <w:pStyle w:val="TableText"/>
              <w:jc w:val="center"/>
              <w:rPr>
                <w:sz w:val="20"/>
              </w:rPr>
            </w:pPr>
            <w:r>
              <w:rPr>
                <w:sz w:val="20"/>
              </w:rPr>
              <w:t>17</w:t>
            </w:r>
          </w:p>
        </w:tc>
        <w:tc>
          <w:tcPr>
            <w:tcW w:w="785" w:type="dxa"/>
            <w:gridSpan w:val="2"/>
            <w:tcBorders>
              <w:left w:val="single" w:sz="6" w:space="0" w:color="auto"/>
            </w:tcBorders>
          </w:tcPr>
          <w:p w:rsidR="00B40966" w:rsidRDefault="00B40966">
            <w:pPr>
              <w:pStyle w:val="TableText"/>
              <w:jc w:val="center"/>
              <w:rPr>
                <w:sz w:val="20"/>
              </w:rPr>
            </w:pPr>
            <w:r>
              <w:rPr>
                <w:sz w:val="20"/>
              </w:rPr>
              <w:t>17</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12</w:t>
            </w:r>
          </w:p>
        </w:tc>
        <w:tc>
          <w:tcPr>
            <w:tcW w:w="729" w:type="dxa"/>
            <w:gridSpan w:val="2"/>
          </w:tcPr>
          <w:p w:rsidR="00B40966" w:rsidRDefault="00B40966">
            <w:pPr>
              <w:pStyle w:val="TableText"/>
              <w:jc w:val="center"/>
              <w:rPr>
                <w:sz w:val="20"/>
              </w:rPr>
            </w:pPr>
            <w:r>
              <w:rPr>
                <w:sz w:val="20"/>
              </w:rPr>
              <w:t>12</w:t>
            </w:r>
          </w:p>
        </w:tc>
        <w:tc>
          <w:tcPr>
            <w:tcW w:w="872" w:type="dxa"/>
            <w:gridSpan w:val="3"/>
            <w:tcBorders>
              <w:left w:val="single" w:sz="6" w:space="0" w:color="auto"/>
            </w:tcBorders>
          </w:tcPr>
          <w:p w:rsidR="00B40966" w:rsidRDefault="00B40966">
            <w:pPr>
              <w:pStyle w:val="TableText"/>
              <w:jc w:val="center"/>
              <w:rPr>
                <w:sz w:val="20"/>
              </w:rPr>
            </w:pPr>
            <w:r>
              <w:rPr>
                <w:sz w:val="20"/>
              </w:rPr>
              <w:t>6</w:t>
            </w:r>
          </w:p>
        </w:tc>
        <w:tc>
          <w:tcPr>
            <w:tcW w:w="628" w:type="dxa"/>
            <w:gridSpan w:val="2"/>
          </w:tcPr>
          <w:p w:rsidR="00B40966" w:rsidRDefault="00B40966">
            <w:pPr>
              <w:pStyle w:val="TableText"/>
              <w:jc w:val="center"/>
              <w:rPr>
                <w:sz w:val="20"/>
              </w:rPr>
            </w:pPr>
            <w:r>
              <w:rPr>
                <w:sz w:val="20"/>
              </w:rPr>
              <w:t>10</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36"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672" w:type="dxa"/>
            <w:gridSpan w:val="3"/>
          </w:tcPr>
          <w:p w:rsidR="00B40966" w:rsidRDefault="00B40966">
            <w:pPr>
              <w:pStyle w:val="TableText"/>
              <w:jc w:val="center"/>
              <w:rPr>
                <w:sz w:val="20"/>
              </w:rPr>
            </w:pPr>
            <w:r>
              <w:rPr>
                <w:sz w:val="20"/>
              </w:rPr>
              <w:t>14</w:t>
            </w:r>
          </w:p>
        </w:tc>
        <w:tc>
          <w:tcPr>
            <w:tcW w:w="840" w:type="dxa"/>
          </w:tcPr>
          <w:p w:rsidR="00B40966" w:rsidRDefault="00B40966">
            <w:pPr>
              <w:pStyle w:val="TableText"/>
              <w:jc w:val="center"/>
              <w:rPr>
                <w:sz w:val="20"/>
              </w:rPr>
            </w:pPr>
            <w:r>
              <w:rPr>
                <w:sz w:val="20"/>
              </w:rPr>
              <w:t>0</w:t>
            </w:r>
          </w:p>
        </w:tc>
        <w:tc>
          <w:tcPr>
            <w:tcW w:w="612" w:type="dxa"/>
            <w:gridSpan w:val="2"/>
            <w:tcBorders>
              <w:left w:val="single" w:sz="6" w:space="0" w:color="auto"/>
            </w:tcBorders>
          </w:tcPr>
          <w:p w:rsidR="00B40966" w:rsidRDefault="00B40966">
            <w:pPr>
              <w:pStyle w:val="TableText"/>
              <w:jc w:val="center"/>
              <w:rPr>
                <w:sz w:val="20"/>
              </w:rPr>
            </w:pPr>
            <w:r>
              <w:rPr>
                <w:sz w:val="20"/>
              </w:rPr>
              <w:t>27</w:t>
            </w:r>
          </w:p>
        </w:tc>
        <w:tc>
          <w:tcPr>
            <w:tcW w:w="708" w:type="dxa"/>
            <w:gridSpan w:val="2"/>
          </w:tcPr>
          <w:p w:rsidR="00B40966" w:rsidRDefault="00B40966">
            <w:pPr>
              <w:pStyle w:val="TableText"/>
              <w:jc w:val="center"/>
              <w:rPr>
                <w:sz w:val="20"/>
              </w:rPr>
            </w:pPr>
            <w:r>
              <w:rPr>
                <w:sz w:val="20"/>
              </w:rPr>
              <w:t>1</w:t>
            </w:r>
          </w:p>
        </w:tc>
        <w:tc>
          <w:tcPr>
            <w:tcW w:w="732" w:type="dxa"/>
            <w:tcBorders>
              <w:left w:val="single" w:sz="6" w:space="0" w:color="auto"/>
            </w:tcBorders>
          </w:tcPr>
          <w:p w:rsidR="00B40966" w:rsidRDefault="00B40966">
            <w:pPr>
              <w:pStyle w:val="TableText"/>
              <w:jc w:val="center"/>
              <w:rPr>
                <w:sz w:val="20"/>
              </w:rPr>
            </w:pPr>
            <w:r>
              <w:rPr>
                <w:sz w:val="20"/>
              </w:rPr>
              <w:t>24</w:t>
            </w:r>
          </w:p>
        </w:tc>
        <w:tc>
          <w:tcPr>
            <w:tcW w:w="828" w:type="dxa"/>
            <w:gridSpan w:val="2"/>
          </w:tcPr>
          <w:p w:rsidR="00B40966" w:rsidRDefault="00B40966">
            <w:pPr>
              <w:pStyle w:val="TableText"/>
              <w:jc w:val="center"/>
              <w:rPr>
                <w:sz w:val="20"/>
              </w:rPr>
            </w:pPr>
            <w:r>
              <w:rPr>
                <w:sz w:val="20"/>
              </w:rPr>
              <w:t>5</w:t>
            </w:r>
          </w:p>
        </w:tc>
        <w:tc>
          <w:tcPr>
            <w:tcW w:w="785" w:type="dxa"/>
            <w:gridSpan w:val="2"/>
            <w:tcBorders>
              <w:left w:val="single" w:sz="6" w:space="0" w:color="auto"/>
            </w:tcBorders>
          </w:tcPr>
          <w:p w:rsidR="00B40966" w:rsidRDefault="00B40966">
            <w:pPr>
              <w:pStyle w:val="TableText"/>
              <w:jc w:val="center"/>
              <w:rPr>
                <w:sz w:val="20"/>
              </w:rPr>
            </w:pPr>
            <w:r>
              <w:rPr>
                <w:sz w:val="20"/>
              </w:rPr>
              <w:t>19</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14</w:t>
            </w:r>
          </w:p>
        </w:tc>
        <w:tc>
          <w:tcPr>
            <w:tcW w:w="729" w:type="dxa"/>
            <w:gridSpan w:val="2"/>
          </w:tcPr>
          <w:p w:rsidR="00B40966" w:rsidRDefault="00B40966">
            <w:pPr>
              <w:pStyle w:val="TableText"/>
              <w:jc w:val="center"/>
              <w:rPr>
                <w:sz w:val="20"/>
              </w:rPr>
            </w:pPr>
            <w:r>
              <w:rPr>
                <w:sz w:val="20"/>
              </w:rPr>
              <w:t>0</w:t>
            </w:r>
          </w:p>
        </w:tc>
        <w:tc>
          <w:tcPr>
            <w:tcW w:w="872" w:type="dxa"/>
            <w:gridSpan w:val="3"/>
            <w:tcBorders>
              <w:left w:val="single" w:sz="6" w:space="0" w:color="auto"/>
            </w:tcBorders>
          </w:tcPr>
          <w:p w:rsidR="00B40966" w:rsidRDefault="00B40966">
            <w:pPr>
              <w:pStyle w:val="TableText"/>
              <w:jc w:val="center"/>
              <w:rPr>
                <w:sz w:val="20"/>
              </w:rPr>
            </w:pPr>
            <w:r>
              <w:rPr>
                <w:sz w:val="20"/>
              </w:rPr>
              <w:t>7</w:t>
            </w:r>
          </w:p>
        </w:tc>
        <w:tc>
          <w:tcPr>
            <w:tcW w:w="628" w:type="dxa"/>
            <w:gridSpan w:val="2"/>
          </w:tcPr>
          <w:p w:rsidR="00B40966" w:rsidRDefault="00B40966">
            <w:pPr>
              <w:pStyle w:val="TableText"/>
              <w:jc w:val="center"/>
              <w:rPr>
                <w:sz w:val="20"/>
              </w:rPr>
            </w:pPr>
            <w:r>
              <w:rPr>
                <w:sz w:val="20"/>
              </w:rPr>
              <w:t>5</w:t>
            </w:r>
          </w:p>
        </w:tc>
      </w:tr>
      <w:tr w:rsidR="00B40966">
        <w:trPr>
          <w:cantSplit/>
          <w:trHeight w:val="200"/>
        </w:trPr>
        <w:tc>
          <w:tcPr>
            <w:tcW w:w="980" w:type="dxa"/>
            <w:tcBorders>
              <w:bottom w:val="single" w:sz="6" w:space="0" w:color="auto"/>
            </w:tcBorders>
          </w:tcPr>
          <w:p w:rsidR="00B40966" w:rsidRDefault="00B40966">
            <w:pPr>
              <w:pStyle w:val="TableText"/>
              <w:jc w:val="center"/>
              <w:rPr>
                <w:sz w:val="20"/>
              </w:rPr>
            </w:pPr>
            <w:r>
              <w:rPr>
                <w:sz w:val="20"/>
              </w:rPr>
              <w:t>6</w:t>
            </w:r>
          </w:p>
        </w:tc>
        <w:tc>
          <w:tcPr>
            <w:tcW w:w="936" w:type="dxa"/>
            <w:gridSpan w:val="2"/>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672" w:type="dxa"/>
            <w:gridSpan w:val="3"/>
            <w:tcBorders>
              <w:bottom w:val="single" w:sz="6" w:space="0" w:color="auto"/>
            </w:tcBorders>
          </w:tcPr>
          <w:p w:rsidR="00B40966" w:rsidRDefault="00B40966">
            <w:pPr>
              <w:pStyle w:val="TableText"/>
              <w:jc w:val="center"/>
              <w:rPr>
                <w:sz w:val="20"/>
              </w:rPr>
            </w:pPr>
            <w:r>
              <w:rPr>
                <w:sz w:val="20"/>
              </w:rPr>
              <w:t>15</w:t>
            </w:r>
          </w:p>
        </w:tc>
        <w:tc>
          <w:tcPr>
            <w:tcW w:w="840" w:type="dxa"/>
            <w:tcBorders>
              <w:bottom w:val="single" w:sz="6" w:space="0" w:color="auto"/>
            </w:tcBorders>
          </w:tcPr>
          <w:p w:rsidR="00B40966" w:rsidRDefault="00B40966">
            <w:pPr>
              <w:pStyle w:val="TableText"/>
              <w:jc w:val="center"/>
              <w:rPr>
                <w:sz w:val="20"/>
              </w:rPr>
            </w:pPr>
            <w:r>
              <w:rPr>
                <w:sz w:val="20"/>
              </w:rPr>
              <w:t>3</w:t>
            </w:r>
          </w:p>
        </w:tc>
        <w:tc>
          <w:tcPr>
            <w:tcW w:w="612" w:type="dxa"/>
            <w:gridSpan w:val="2"/>
            <w:tcBorders>
              <w:left w:val="single" w:sz="6" w:space="0" w:color="auto"/>
              <w:bottom w:val="single" w:sz="6" w:space="0" w:color="auto"/>
            </w:tcBorders>
          </w:tcPr>
          <w:p w:rsidR="00B40966" w:rsidRDefault="00B40966">
            <w:pPr>
              <w:pStyle w:val="TableText"/>
              <w:jc w:val="center"/>
              <w:rPr>
                <w:sz w:val="20"/>
              </w:rPr>
            </w:pPr>
            <w:r>
              <w:rPr>
                <w:sz w:val="20"/>
              </w:rPr>
              <w:t>29</w:t>
            </w:r>
          </w:p>
        </w:tc>
        <w:tc>
          <w:tcPr>
            <w:tcW w:w="708" w:type="dxa"/>
            <w:gridSpan w:val="2"/>
            <w:tcBorders>
              <w:bottom w:val="single" w:sz="6" w:space="0" w:color="auto"/>
            </w:tcBorders>
          </w:tcPr>
          <w:p w:rsidR="00B40966" w:rsidRDefault="00B40966">
            <w:pPr>
              <w:pStyle w:val="TableText"/>
              <w:jc w:val="center"/>
              <w:rPr>
                <w:sz w:val="20"/>
              </w:rPr>
            </w:pPr>
            <w:r>
              <w:rPr>
                <w:sz w:val="20"/>
              </w:rPr>
              <w:t>6</w:t>
            </w:r>
          </w:p>
        </w:tc>
        <w:tc>
          <w:tcPr>
            <w:tcW w:w="732" w:type="dxa"/>
            <w:tcBorders>
              <w:left w:val="single" w:sz="6" w:space="0" w:color="auto"/>
              <w:bottom w:val="single" w:sz="6" w:space="0" w:color="auto"/>
            </w:tcBorders>
          </w:tcPr>
          <w:p w:rsidR="00B40966" w:rsidRDefault="00B40966">
            <w:pPr>
              <w:pStyle w:val="TableText"/>
              <w:jc w:val="center"/>
              <w:rPr>
                <w:sz w:val="20"/>
              </w:rPr>
            </w:pPr>
            <w:r>
              <w:rPr>
                <w:sz w:val="20"/>
              </w:rPr>
              <w:t>26</w:t>
            </w:r>
          </w:p>
        </w:tc>
        <w:tc>
          <w:tcPr>
            <w:tcW w:w="828" w:type="dxa"/>
            <w:gridSpan w:val="2"/>
            <w:tcBorders>
              <w:bottom w:val="single" w:sz="6" w:space="0" w:color="auto"/>
            </w:tcBorders>
          </w:tcPr>
          <w:p w:rsidR="00B40966" w:rsidRDefault="00B40966">
            <w:pPr>
              <w:pStyle w:val="TableText"/>
              <w:jc w:val="center"/>
              <w:rPr>
                <w:sz w:val="20"/>
              </w:rPr>
            </w:pPr>
            <w:r>
              <w:rPr>
                <w:sz w:val="20"/>
              </w:rPr>
              <w:t>5</w:t>
            </w:r>
          </w:p>
        </w:tc>
        <w:tc>
          <w:tcPr>
            <w:tcW w:w="785" w:type="dxa"/>
            <w:gridSpan w:val="2"/>
            <w:tcBorders>
              <w:left w:val="single" w:sz="6" w:space="0" w:color="auto"/>
              <w:bottom w:val="single" w:sz="6" w:space="0" w:color="auto"/>
            </w:tcBorders>
          </w:tcPr>
          <w:p w:rsidR="00B40966" w:rsidRDefault="00B40966">
            <w:pPr>
              <w:pStyle w:val="TableText"/>
              <w:jc w:val="center"/>
              <w:rPr>
                <w:sz w:val="20"/>
              </w:rPr>
            </w:pPr>
            <w:r>
              <w:rPr>
                <w:sz w:val="20"/>
              </w:rPr>
              <w:t>21</w:t>
            </w:r>
          </w:p>
        </w:tc>
        <w:tc>
          <w:tcPr>
            <w:tcW w:w="786" w:type="dxa"/>
            <w:gridSpan w:val="2"/>
            <w:tcBorders>
              <w:bottom w:val="single" w:sz="6" w:space="0" w:color="auto"/>
            </w:tcBorders>
          </w:tcPr>
          <w:p w:rsidR="00B40966" w:rsidRDefault="00B40966">
            <w:pPr>
              <w:pStyle w:val="TableText"/>
              <w:jc w:val="center"/>
              <w:rPr>
                <w:sz w:val="20"/>
              </w:rPr>
            </w:pPr>
            <w:r>
              <w:rPr>
                <w:sz w:val="20"/>
              </w:rPr>
              <w:t>9</w:t>
            </w:r>
          </w:p>
        </w:tc>
        <w:tc>
          <w:tcPr>
            <w:tcW w:w="760" w:type="dxa"/>
            <w:tcBorders>
              <w:left w:val="single" w:sz="6" w:space="0" w:color="auto"/>
              <w:bottom w:val="single" w:sz="6" w:space="0" w:color="auto"/>
            </w:tcBorders>
          </w:tcPr>
          <w:p w:rsidR="00B40966" w:rsidRDefault="00B40966">
            <w:pPr>
              <w:pStyle w:val="TableText"/>
              <w:jc w:val="center"/>
              <w:rPr>
                <w:sz w:val="20"/>
              </w:rPr>
            </w:pPr>
            <w:r>
              <w:rPr>
                <w:sz w:val="20"/>
              </w:rPr>
              <w:t>15</w:t>
            </w:r>
          </w:p>
        </w:tc>
        <w:tc>
          <w:tcPr>
            <w:tcW w:w="729" w:type="dxa"/>
            <w:gridSpan w:val="2"/>
            <w:tcBorders>
              <w:bottom w:val="single" w:sz="6" w:space="0" w:color="auto"/>
            </w:tcBorders>
          </w:tcPr>
          <w:p w:rsidR="00B40966" w:rsidRDefault="00B40966">
            <w:pPr>
              <w:pStyle w:val="TableText"/>
              <w:jc w:val="center"/>
              <w:rPr>
                <w:sz w:val="20"/>
              </w:rPr>
            </w:pPr>
            <w:r>
              <w:rPr>
                <w:sz w:val="20"/>
              </w:rPr>
              <w:t>3</w:t>
            </w:r>
          </w:p>
        </w:tc>
        <w:tc>
          <w:tcPr>
            <w:tcW w:w="872" w:type="dxa"/>
            <w:gridSpan w:val="3"/>
            <w:tcBorders>
              <w:left w:val="single" w:sz="6" w:space="0" w:color="auto"/>
              <w:bottom w:val="single" w:sz="6" w:space="0" w:color="auto"/>
            </w:tcBorders>
          </w:tcPr>
          <w:p w:rsidR="00B40966" w:rsidRDefault="00B40966">
            <w:pPr>
              <w:pStyle w:val="TableText"/>
              <w:jc w:val="center"/>
              <w:rPr>
                <w:sz w:val="20"/>
              </w:rPr>
            </w:pPr>
            <w:r>
              <w:rPr>
                <w:sz w:val="20"/>
              </w:rPr>
              <w:t>7</w:t>
            </w:r>
          </w:p>
        </w:tc>
        <w:tc>
          <w:tcPr>
            <w:tcW w:w="628" w:type="dxa"/>
            <w:gridSpan w:val="2"/>
            <w:tcBorders>
              <w:bottom w:val="single" w:sz="6" w:space="0" w:color="auto"/>
            </w:tcBorders>
          </w:tcPr>
          <w:p w:rsidR="00B40966" w:rsidRDefault="00B40966">
            <w:pPr>
              <w:pStyle w:val="TableText"/>
              <w:jc w:val="center"/>
              <w:rPr>
                <w:sz w:val="20"/>
              </w:rPr>
            </w:pPr>
            <w:r>
              <w:rPr>
                <w:sz w:val="20"/>
              </w:rPr>
              <w:t>16</w:t>
            </w:r>
          </w:p>
        </w:tc>
      </w:tr>
    </w:tbl>
    <w:p w:rsidR="00B40966" w:rsidRDefault="00B40966"/>
    <w:p w:rsidR="00B40966" w:rsidRDefault="00B40966">
      <w:pPr>
        <w:pStyle w:val="TableHd"/>
      </w:pPr>
      <w:r>
        <w:t>Maximum safe working load for steel wire rope—Classification 2</w:t>
      </w:r>
    </w:p>
    <w:p w:rsidR="00B40966" w:rsidRDefault="00B40966">
      <w:pPr>
        <w:pStyle w:val="TableHd"/>
        <w:ind w:left="0" w:firstLine="0"/>
      </w:pPr>
      <w:r>
        <w:t>Minimum ultimate tensile value of steel of which rope is constructed = 80 tons per square inch</w:t>
      </w:r>
      <w:r>
        <w:br/>
        <w:t>construction:  6 strands each containing 24 wires</w:t>
      </w:r>
    </w:p>
    <w:tbl>
      <w:tblPr>
        <w:tblW w:w="0" w:type="auto"/>
        <w:tblLayout w:type="fixed"/>
        <w:tblCellMar>
          <w:left w:w="80" w:type="dxa"/>
          <w:right w:w="80" w:type="dxa"/>
        </w:tblCellMar>
        <w:tblLook w:val="0000" w:firstRow="0" w:lastRow="0" w:firstColumn="0" w:lastColumn="0" w:noHBand="0" w:noVBand="0"/>
      </w:tblPr>
      <w:tblGrid>
        <w:gridCol w:w="984"/>
        <w:gridCol w:w="912"/>
        <w:gridCol w:w="12"/>
        <w:gridCol w:w="579"/>
        <w:gridCol w:w="93"/>
        <w:gridCol w:w="12"/>
        <w:gridCol w:w="840"/>
        <w:gridCol w:w="592"/>
        <w:gridCol w:w="8"/>
        <w:gridCol w:w="708"/>
        <w:gridCol w:w="12"/>
        <w:gridCol w:w="752"/>
        <w:gridCol w:w="832"/>
        <w:gridCol w:w="768"/>
        <w:gridCol w:w="780"/>
        <w:gridCol w:w="6"/>
        <w:gridCol w:w="760"/>
        <w:gridCol w:w="722"/>
        <w:gridCol w:w="12"/>
        <w:gridCol w:w="826"/>
        <w:gridCol w:w="654"/>
        <w:gridCol w:w="36"/>
      </w:tblGrid>
      <w:tr w:rsidR="00B40966">
        <w:trPr>
          <w:gridAfter w:val="1"/>
          <w:wAfter w:w="36" w:type="dxa"/>
          <w:cantSplit/>
          <w:tblHeader/>
        </w:trPr>
        <w:tc>
          <w:tcPr>
            <w:tcW w:w="984" w:type="dxa"/>
            <w:tcBorders>
              <w:top w:val="single" w:sz="6" w:space="0" w:color="auto"/>
              <w:right w:val="single" w:sz="6" w:space="0" w:color="auto"/>
            </w:tcBorders>
          </w:tcPr>
          <w:p w:rsidR="00B40966" w:rsidRDefault="00B40966">
            <w:pPr>
              <w:pStyle w:val="TableColHd"/>
              <w:jc w:val="center"/>
            </w:pPr>
          </w:p>
        </w:tc>
        <w:tc>
          <w:tcPr>
            <w:tcW w:w="924" w:type="dxa"/>
            <w:gridSpan w:val="2"/>
            <w:tcBorders>
              <w:top w:val="single" w:sz="6" w:space="0" w:color="auto"/>
              <w:right w:val="single" w:sz="6" w:space="0" w:color="auto"/>
            </w:tcBorders>
          </w:tcPr>
          <w:p w:rsidR="00B40966" w:rsidRDefault="00B40966">
            <w:pPr>
              <w:pStyle w:val="TableColHd"/>
              <w:jc w:val="center"/>
            </w:pPr>
          </w:p>
        </w:tc>
        <w:tc>
          <w:tcPr>
            <w:tcW w:w="579" w:type="dxa"/>
            <w:tcBorders>
              <w:top w:val="single" w:sz="6" w:space="0" w:color="auto"/>
            </w:tcBorders>
          </w:tcPr>
          <w:p w:rsidR="00B40966" w:rsidRDefault="00B40966">
            <w:pPr>
              <w:pStyle w:val="TableColHd"/>
              <w:jc w:val="center"/>
            </w:pPr>
          </w:p>
        </w:tc>
        <w:tc>
          <w:tcPr>
            <w:tcW w:w="941" w:type="dxa"/>
            <w:gridSpan w:val="3"/>
            <w:tcBorders>
              <w:top w:val="single" w:sz="6" w:space="0" w:color="auto"/>
            </w:tcBorders>
          </w:tcPr>
          <w:p w:rsidR="00B40966" w:rsidRDefault="00B40966">
            <w:pPr>
              <w:pStyle w:val="TableColHd"/>
              <w:jc w:val="center"/>
            </w:pPr>
          </w:p>
        </w:tc>
        <w:tc>
          <w:tcPr>
            <w:tcW w:w="7428" w:type="dxa"/>
            <w:gridSpan w:val="14"/>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gridAfter w:val="1"/>
          <w:wAfter w:w="36" w:type="dxa"/>
          <w:cantSplit/>
          <w:tblHeader/>
        </w:trPr>
        <w:tc>
          <w:tcPr>
            <w:tcW w:w="984" w:type="dxa"/>
            <w:tcBorders>
              <w:right w:val="single" w:sz="6" w:space="0" w:color="auto"/>
            </w:tcBorders>
            <w:vAlign w:val="bottom"/>
          </w:tcPr>
          <w:p w:rsidR="00B40966" w:rsidRDefault="00B40966">
            <w:pPr>
              <w:pStyle w:val="TableColHd"/>
            </w:pPr>
            <w:r>
              <w:t>circum-</w:t>
            </w:r>
            <w:r>
              <w:br/>
              <w:t>ference</w:t>
            </w:r>
            <w:r>
              <w:br/>
              <w:t>of rope</w:t>
            </w:r>
          </w:p>
        </w:tc>
        <w:tc>
          <w:tcPr>
            <w:tcW w:w="924" w:type="dxa"/>
            <w:gridSpan w:val="2"/>
            <w:tcBorders>
              <w:right w:val="single" w:sz="6" w:space="0" w:color="auto"/>
            </w:tcBorders>
            <w:vAlign w:val="bottom"/>
          </w:tcPr>
          <w:p w:rsidR="00B40966" w:rsidRDefault="00B40966">
            <w:pPr>
              <w:pStyle w:val="TableColHd"/>
            </w:pPr>
            <w:r>
              <w:t>approx.</w:t>
            </w:r>
            <w:r>
              <w:br/>
              <w:t>diameter</w:t>
            </w:r>
            <w:r>
              <w:br/>
              <w:t>of rope</w:t>
            </w:r>
          </w:p>
        </w:tc>
        <w:tc>
          <w:tcPr>
            <w:tcW w:w="1520" w:type="dxa"/>
            <w:gridSpan w:val="4"/>
            <w:vAlign w:val="bottom"/>
          </w:tcPr>
          <w:p w:rsidR="00B40966" w:rsidRDefault="00B40966">
            <w:pPr>
              <w:pStyle w:val="TableColHd"/>
            </w:pPr>
            <w:r>
              <w:t>safe load for 1 single fall (part) of rope</w:t>
            </w:r>
          </w:p>
        </w:tc>
        <w:tc>
          <w:tcPr>
            <w:tcW w:w="1320" w:type="dxa"/>
            <w:gridSpan w:val="4"/>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B40966" w:rsidRDefault="00DA6E8C">
            <w:pPr>
              <w:rPr>
                <w:color w:val="000000"/>
                <w:sz w:val="18"/>
              </w:rPr>
            </w:pPr>
            <w:r>
              <w:rPr>
                <w:noProof/>
                <w:color w:val="000000"/>
                <w:sz w:val="20"/>
                <w:lang w:eastAsia="en-AU"/>
              </w:rPr>
              <w:drawing>
                <wp:inline distT="0" distB="0" distL="0" distR="0">
                  <wp:extent cx="790575" cy="5238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1"/>
          <w:wAfter w:w="32" w:type="dxa"/>
          <w:cantSplit/>
          <w:trHeight w:val="220"/>
          <w:tblHeader/>
        </w:trPr>
        <w:tc>
          <w:tcPr>
            <w:tcW w:w="984" w:type="dxa"/>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2"/>
            <w:tcBorders>
              <w:top w:val="single" w:sz="6" w:space="0" w:color="auto"/>
              <w:bottom w:val="single" w:sz="6" w:space="0" w:color="auto"/>
            </w:tcBorders>
            <w:vAlign w:val="bottom"/>
          </w:tcPr>
          <w:p w:rsidR="00B40966" w:rsidRDefault="00B40966">
            <w:pPr>
              <w:pStyle w:val="TableColHd"/>
              <w:spacing w:after="0"/>
              <w:jc w:val="center"/>
            </w:pPr>
            <w:r>
              <w:t>tons</w:t>
            </w:r>
          </w:p>
        </w:tc>
        <w:tc>
          <w:tcPr>
            <w:tcW w:w="848"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592"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16"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32"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8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826"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80" w:type="dxa"/>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912" w:type="dxa"/>
            <w:tcBorders>
              <w:top w:val="single" w:sz="6" w:space="0" w:color="auto"/>
              <w:right w:val="single" w:sz="6" w:space="0" w:color="auto"/>
            </w:tcBorders>
          </w:tcPr>
          <w:p w:rsidR="00B40966" w:rsidRDefault="00B40966">
            <w:pPr>
              <w:pStyle w:val="TableText"/>
              <w:jc w:val="center"/>
              <w:rPr>
                <w:sz w:val="20"/>
              </w:rPr>
            </w:pPr>
            <w:r>
              <w:rPr>
                <w:position w:val="4"/>
                <w:sz w:val="20"/>
              </w:rPr>
              <w:t>3</w:t>
            </w:r>
            <w:r>
              <w:rPr>
                <w:sz w:val="20"/>
              </w:rPr>
              <w:t xml:space="preserve">/16 </w:t>
            </w:r>
          </w:p>
        </w:tc>
        <w:tc>
          <w:tcPr>
            <w:tcW w:w="696" w:type="dxa"/>
            <w:gridSpan w:val="4"/>
            <w:tcBorders>
              <w:top w:val="single" w:sz="6" w:space="0" w:color="auto"/>
            </w:tcBorders>
          </w:tcPr>
          <w:p w:rsidR="00B40966" w:rsidRDefault="00B40966">
            <w:pPr>
              <w:pStyle w:val="TableText"/>
              <w:jc w:val="center"/>
              <w:rPr>
                <w:sz w:val="20"/>
              </w:rPr>
            </w:pPr>
            <w:r>
              <w:rPr>
                <w:sz w:val="20"/>
              </w:rPr>
              <w:t>0</w:t>
            </w:r>
          </w:p>
        </w:tc>
        <w:tc>
          <w:tcPr>
            <w:tcW w:w="840" w:type="dxa"/>
            <w:tcBorders>
              <w:top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600"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720" w:type="dxa"/>
            <w:gridSpan w:val="2"/>
            <w:tcBorders>
              <w:top w:val="single" w:sz="6" w:space="0" w:color="auto"/>
            </w:tcBorders>
          </w:tcPr>
          <w:p w:rsidR="00B40966" w:rsidRDefault="00B40966">
            <w:pPr>
              <w:pStyle w:val="TableText"/>
              <w:jc w:val="center"/>
              <w:rPr>
                <w:sz w:val="20"/>
              </w:rPr>
            </w:pPr>
            <w:r>
              <w:rPr>
                <w:sz w:val="20"/>
              </w:rPr>
              <w:t>5</w:t>
            </w:r>
          </w:p>
        </w:tc>
        <w:tc>
          <w:tcPr>
            <w:tcW w:w="75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32" w:type="dxa"/>
            <w:tcBorders>
              <w:top w:val="single" w:sz="6" w:space="0" w:color="auto"/>
            </w:tcBorders>
          </w:tcPr>
          <w:p w:rsidR="00B40966" w:rsidRDefault="00B40966">
            <w:pPr>
              <w:pStyle w:val="TableText"/>
              <w:jc w:val="center"/>
              <w:rPr>
                <w:sz w:val="20"/>
              </w:rPr>
            </w:pPr>
            <w:r>
              <w:rPr>
                <w:sz w:val="20"/>
              </w:rPr>
              <w:t>4</w:t>
            </w:r>
            <w:r>
              <w:rPr>
                <w:position w:val="4"/>
                <w:sz w:val="20"/>
              </w:rPr>
              <w:t>1</w:t>
            </w:r>
            <w:r>
              <w:rPr>
                <w:sz w:val="20"/>
              </w:rPr>
              <w:t>/2</w:t>
            </w:r>
          </w:p>
        </w:tc>
        <w:tc>
          <w:tcPr>
            <w:tcW w:w="768"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86" w:type="dxa"/>
            <w:gridSpan w:val="2"/>
            <w:tcBorders>
              <w:top w:val="single" w:sz="6" w:space="0" w:color="auto"/>
            </w:tcBorders>
          </w:tcPr>
          <w:p w:rsidR="00B40966" w:rsidRDefault="00B40966">
            <w:pPr>
              <w:pStyle w:val="TableText"/>
              <w:jc w:val="center"/>
              <w:rPr>
                <w:sz w:val="20"/>
              </w:rPr>
            </w:pPr>
            <w:r>
              <w:rPr>
                <w:sz w:val="20"/>
              </w:rPr>
              <w:t>3</w:t>
            </w:r>
            <w:r>
              <w:rPr>
                <w:position w:val="4"/>
                <w:sz w:val="20"/>
              </w:rPr>
              <w:t>1</w:t>
            </w:r>
            <w:r>
              <w:rPr>
                <w:sz w:val="20"/>
              </w:rPr>
              <w:t>/2</w:t>
            </w:r>
          </w:p>
        </w:tc>
        <w:tc>
          <w:tcPr>
            <w:tcW w:w="76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2" w:type="dxa"/>
            <w:tcBorders>
              <w:top w:val="single" w:sz="6" w:space="0" w:color="auto"/>
              <w:right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838" w:type="dxa"/>
            <w:gridSpan w:val="2"/>
            <w:tcBorders>
              <w:top w:val="single" w:sz="6" w:space="0" w:color="auto"/>
            </w:tcBorders>
          </w:tcPr>
          <w:p w:rsidR="00B40966" w:rsidRDefault="00B40966">
            <w:pPr>
              <w:pStyle w:val="TableText"/>
              <w:jc w:val="center"/>
              <w:rPr>
                <w:sz w:val="20"/>
              </w:rPr>
            </w:pPr>
            <w:r>
              <w:rPr>
                <w:sz w:val="20"/>
              </w:rPr>
              <w:t>0</w:t>
            </w:r>
          </w:p>
        </w:tc>
        <w:tc>
          <w:tcPr>
            <w:tcW w:w="686" w:type="dxa"/>
            <w:gridSpan w:val="2"/>
            <w:tcBorders>
              <w:top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3</w:t>
            </w:r>
            <w:r>
              <w:rPr>
                <w:sz w:val="20"/>
              </w:rPr>
              <w:t xml:space="preserve">/4 </w:t>
            </w:r>
          </w:p>
        </w:tc>
        <w:tc>
          <w:tcPr>
            <w:tcW w:w="912" w:type="dxa"/>
            <w:tcBorders>
              <w:right w:val="single" w:sz="6" w:space="0" w:color="auto"/>
            </w:tcBorders>
          </w:tcPr>
          <w:p w:rsidR="00B40966" w:rsidRDefault="00B40966">
            <w:pPr>
              <w:pStyle w:val="TableText"/>
              <w:jc w:val="center"/>
              <w:rPr>
                <w:sz w:val="20"/>
              </w:rPr>
            </w:pPr>
            <w:r>
              <w:rPr>
                <w:position w:val="4"/>
                <w:sz w:val="20"/>
              </w:rPr>
              <w:t>1</w:t>
            </w:r>
            <w:r>
              <w:rPr>
                <w:sz w:val="20"/>
              </w:rPr>
              <w:t xml:space="preserve">/4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4</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720" w:type="dxa"/>
            <w:gridSpan w:val="2"/>
          </w:tcPr>
          <w:p w:rsidR="00B40966" w:rsidRDefault="00B40966">
            <w:pPr>
              <w:pStyle w:val="TableText"/>
              <w:jc w:val="center"/>
              <w:rPr>
                <w:sz w:val="20"/>
              </w:rPr>
            </w:pPr>
            <w:r>
              <w:rPr>
                <w:sz w:val="20"/>
              </w:rPr>
              <w:t>7</w:t>
            </w:r>
            <w:r>
              <w:rPr>
                <w:position w:val="4"/>
                <w:sz w:val="20"/>
              </w:rPr>
              <w:t>1</w:t>
            </w:r>
            <w:r>
              <w:rPr>
                <w:sz w:val="20"/>
              </w:rPr>
              <w:t>/2</w:t>
            </w:r>
          </w:p>
        </w:tc>
        <w:tc>
          <w:tcPr>
            <w:tcW w:w="752" w:type="dxa"/>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5</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4</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912" w:type="dxa"/>
            <w:tcBorders>
              <w:right w:val="single" w:sz="6" w:space="0" w:color="auto"/>
            </w:tcBorders>
          </w:tcPr>
          <w:p w:rsidR="00B40966" w:rsidRDefault="00B40966">
            <w:pPr>
              <w:pStyle w:val="TableText"/>
              <w:jc w:val="center"/>
              <w:rPr>
                <w:sz w:val="20"/>
              </w:rPr>
            </w:pPr>
            <w:r>
              <w:rPr>
                <w:position w:val="4"/>
                <w:sz w:val="20"/>
              </w:rPr>
              <w:t>9</w:t>
            </w:r>
            <w:r>
              <w:rPr>
                <w:sz w:val="20"/>
              </w:rPr>
              <w:t xml:space="preserve">/32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5</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720" w:type="dxa"/>
            <w:gridSpan w:val="2"/>
          </w:tcPr>
          <w:p w:rsidR="00B40966" w:rsidRDefault="00B40966">
            <w:pPr>
              <w:pStyle w:val="TableText"/>
              <w:jc w:val="center"/>
              <w:rPr>
                <w:sz w:val="20"/>
              </w:rPr>
            </w:pPr>
            <w:r>
              <w:rPr>
                <w:sz w:val="20"/>
              </w:rPr>
              <w:t>9</w:t>
            </w:r>
            <w:r>
              <w:rPr>
                <w:position w:val="4"/>
                <w:sz w:val="20"/>
              </w:rPr>
              <w:t>1</w:t>
            </w:r>
            <w:r>
              <w:rPr>
                <w:sz w:val="20"/>
              </w:rPr>
              <w:t>/2</w:t>
            </w:r>
          </w:p>
        </w:tc>
        <w:tc>
          <w:tcPr>
            <w:tcW w:w="752" w:type="dxa"/>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8</w:t>
            </w:r>
            <w:r>
              <w:rPr>
                <w:position w:val="4"/>
                <w:sz w:val="20"/>
              </w:rPr>
              <w:t>1</w:t>
            </w:r>
            <w:r>
              <w:rPr>
                <w:sz w:val="20"/>
              </w:rPr>
              <w:t>/2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5</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2</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p>
        </w:tc>
        <w:tc>
          <w:tcPr>
            <w:tcW w:w="912" w:type="dxa"/>
            <w:tcBorders>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7</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720" w:type="dxa"/>
            <w:gridSpan w:val="2"/>
          </w:tcPr>
          <w:p w:rsidR="00B40966" w:rsidRDefault="00B40966">
            <w:pPr>
              <w:pStyle w:val="TableText"/>
              <w:jc w:val="center"/>
              <w:rPr>
                <w:sz w:val="20"/>
              </w:rPr>
            </w:pPr>
            <w:r>
              <w:rPr>
                <w:sz w:val="20"/>
              </w:rPr>
              <w:t>13</w:t>
            </w:r>
            <w:r>
              <w:rPr>
                <w:position w:val="4"/>
                <w:sz w:val="20"/>
              </w:rPr>
              <w:t>1</w:t>
            </w:r>
            <w:r>
              <w:rPr>
                <w:sz w:val="20"/>
              </w:rPr>
              <w:t>/2</w:t>
            </w:r>
          </w:p>
        </w:tc>
        <w:tc>
          <w:tcPr>
            <w:tcW w:w="752" w:type="dxa"/>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7</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3</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12" w:type="dxa"/>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9</w:t>
            </w:r>
            <w:r>
              <w:rPr>
                <w:position w:val="4"/>
                <w:sz w:val="20"/>
              </w:rPr>
              <w:t>1</w:t>
            </w: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0</w:t>
            </w:r>
          </w:p>
        </w:tc>
        <w:tc>
          <w:tcPr>
            <w:tcW w:w="720" w:type="dxa"/>
            <w:gridSpan w:val="2"/>
          </w:tcPr>
          <w:p w:rsidR="00B40966" w:rsidRDefault="00B40966">
            <w:pPr>
              <w:pStyle w:val="TableText"/>
              <w:jc w:val="center"/>
              <w:rPr>
                <w:sz w:val="20"/>
              </w:rPr>
            </w:pPr>
            <w:r>
              <w:rPr>
                <w:sz w:val="20"/>
              </w:rPr>
              <w:t>18</w:t>
            </w:r>
            <w:r>
              <w:rPr>
                <w:position w:val="4"/>
                <w:sz w:val="20"/>
              </w:rPr>
              <w:t>1</w:t>
            </w:r>
            <w:r>
              <w:rPr>
                <w:sz w:val="20"/>
              </w:rPr>
              <w:t>/2</w:t>
            </w:r>
          </w:p>
        </w:tc>
        <w:tc>
          <w:tcPr>
            <w:tcW w:w="752" w:type="dxa"/>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16</w:t>
            </w:r>
            <w:r>
              <w:rPr>
                <w:position w:val="4"/>
                <w:sz w:val="20"/>
              </w:rPr>
              <w:t>1</w:t>
            </w:r>
            <w:r>
              <w:rPr>
                <w:sz w:val="20"/>
              </w:rPr>
              <w:t>/2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13</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9</w:t>
            </w:r>
            <w:r>
              <w:rPr>
                <w:position w:val="4"/>
                <w:sz w:val="20"/>
              </w:rPr>
              <w:t>1</w:t>
            </w:r>
            <w:r>
              <w:rPr>
                <w:sz w:val="20"/>
              </w:rPr>
              <w:t>/2</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5</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12" w:type="dxa"/>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11</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w:t>
            </w:r>
          </w:p>
        </w:tc>
        <w:tc>
          <w:tcPr>
            <w:tcW w:w="752" w:type="dxa"/>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11</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5</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12" w:type="dxa"/>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13</w:t>
            </w:r>
            <w:r>
              <w:rPr>
                <w:position w:val="4"/>
                <w:sz w:val="20"/>
              </w:rPr>
              <w:t>1</w:t>
            </w:r>
            <w:r>
              <w:rPr>
                <w:sz w:val="20"/>
              </w:rPr>
              <w:t>/2</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6</w:t>
            </w:r>
          </w:p>
        </w:tc>
        <w:tc>
          <w:tcPr>
            <w:tcW w:w="752" w:type="dxa"/>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3</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19</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13</w:t>
            </w:r>
            <w:r>
              <w:rPr>
                <w:position w:val="4"/>
                <w:sz w:val="20"/>
              </w:rPr>
              <w:t>1</w:t>
            </w:r>
            <w:r>
              <w:rPr>
                <w:sz w:val="20"/>
              </w:rPr>
              <w:t>/2</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7</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12" w:type="dxa"/>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16</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11</w:t>
            </w:r>
          </w:p>
        </w:tc>
        <w:tc>
          <w:tcPr>
            <w:tcW w:w="752" w:type="dxa"/>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16</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8</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12" w:type="dxa"/>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696" w:type="dxa"/>
            <w:gridSpan w:val="4"/>
          </w:tcPr>
          <w:p w:rsidR="00B40966" w:rsidRDefault="00B40966">
            <w:pPr>
              <w:pStyle w:val="TableText"/>
              <w:jc w:val="center"/>
              <w:rPr>
                <w:sz w:val="20"/>
              </w:rPr>
            </w:pPr>
            <w:r>
              <w:rPr>
                <w:sz w:val="20"/>
              </w:rPr>
              <w:t>0</w:t>
            </w:r>
          </w:p>
        </w:tc>
        <w:tc>
          <w:tcPr>
            <w:tcW w:w="840" w:type="dxa"/>
          </w:tcPr>
          <w:p w:rsidR="00B40966" w:rsidRDefault="00B40966">
            <w:pPr>
              <w:pStyle w:val="TableText"/>
              <w:jc w:val="center"/>
              <w:rPr>
                <w:sz w:val="20"/>
              </w:rPr>
            </w:pPr>
            <w:r>
              <w:rPr>
                <w:sz w:val="20"/>
              </w:rPr>
              <w:t>19</w:t>
            </w:r>
          </w:p>
        </w:tc>
        <w:tc>
          <w:tcPr>
            <w:tcW w:w="600" w:type="dxa"/>
            <w:gridSpan w:val="2"/>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19</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10</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12" w:type="dxa"/>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696" w:type="dxa"/>
            <w:gridSpan w:val="4"/>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w:t>
            </w:r>
          </w:p>
        </w:tc>
        <w:tc>
          <w:tcPr>
            <w:tcW w:w="600" w:type="dxa"/>
            <w:gridSpan w:val="2"/>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w:t>
            </w:r>
          </w:p>
        </w:tc>
        <w:tc>
          <w:tcPr>
            <w:tcW w:w="752" w:type="dxa"/>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16</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11</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12" w:type="dxa"/>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696" w:type="dxa"/>
            <w:gridSpan w:val="4"/>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5</w:t>
            </w:r>
          </w:p>
        </w:tc>
        <w:tc>
          <w:tcPr>
            <w:tcW w:w="600" w:type="dxa"/>
            <w:gridSpan w:val="2"/>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8</w:t>
            </w:r>
          </w:p>
        </w:tc>
        <w:tc>
          <w:tcPr>
            <w:tcW w:w="752" w:type="dxa"/>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3</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15</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5</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13</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p>
        </w:tc>
        <w:tc>
          <w:tcPr>
            <w:tcW w:w="912" w:type="dxa"/>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696" w:type="dxa"/>
            <w:gridSpan w:val="4"/>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9</w:t>
            </w:r>
          </w:p>
        </w:tc>
        <w:tc>
          <w:tcPr>
            <w:tcW w:w="600" w:type="dxa"/>
            <w:gridSpan w:val="2"/>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16</w:t>
            </w:r>
          </w:p>
        </w:tc>
        <w:tc>
          <w:tcPr>
            <w:tcW w:w="752" w:type="dxa"/>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10</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9</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15</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12" w:type="dxa"/>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696" w:type="dxa"/>
            <w:gridSpan w:val="4"/>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12</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2</w:t>
            </w:r>
          </w:p>
        </w:tc>
        <w:tc>
          <w:tcPr>
            <w:tcW w:w="752" w:type="dxa"/>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15</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5</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12</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16</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12" w:type="dxa"/>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696" w:type="dxa"/>
            <w:gridSpan w:val="4"/>
          </w:tcPr>
          <w:p w:rsidR="00B40966" w:rsidRDefault="00B40966">
            <w:pPr>
              <w:pStyle w:val="TableText"/>
              <w:jc w:val="center"/>
              <w:rPr>
                <w:sz w:val="20"/>
              </w:rPr>
            </w:pPr>
            <w:r>
              <w:rPr>
                <w:sz w:val="20"/>
              </w:rPr>
              <w:t>1</w:t>
            </w:r>
          </w:p>
        </w:tc>
        <w:tc>
          <w:tcPr>
            <w:tcW w:w="840" w:type="dxa"/>
          </w:tcPr>
          <w:p w:rsidR="00B40966" w:rsidRDefault="00B40966">
            <w:pPr>
              <w:pStyle w:val="TableText"/>
              <w:jc w:val="center"/>
              <w:rPr>
                <w:sz w:val="20"/>
              </w:rPr>
            </w:pPr>
            <w:r>
              <w:rPr>
                <w:sz w:val="20"/>
              </w:rPr>
              <w:t>16</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10</w:t>
            </w:r>
          </w:p>
        </w:tc>
        <w:tc>
          <w:tcPr>
            <w:tcW w:w="752" w:type="dxa"/>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2</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11</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16</w:t>
            </w:r>
          </w:p>
        </w:tc>
        <w:tc>
          <w:tcPr>
            <w:tcW w:w="838" w:type="dxa"/>
            <w:gridSpan w:val="2"/>
          </w:tcPr>
          <w:p w:rsidR="00B40966" w:rsidRDefault="00B40966">
            <w:pPr>
              <w:pStyle w:val="TableText"/>
              <w:jc w:val="center"/>
              <w:rPr>
                <w:sz w:val="20"/>
              </w:rPr>
            </w:pPr>
            <w:r>
              <w:rPr>
                <w:sz w:val="20"/>
              </w:rPr>
              <w:t>0</w:t>
            </w:r>
          </w:p>
        </w:tc>
        <w:tc>
          <w:tcPr>
            <w:tcW w:w="686" w:type="dxa"/>
            <w:gridSpan w:val="2"/>
          </w:tcPr>
          <w:p w:rsidR="00B40966" w:rsidRDefault="00B40966">
            <w:pPr>
              <w:pStyle w:val="TableText"/>
              <w:jc w:val="center"/>
              <w:rPr>
                <w:sz w:val="20"/>
              </w:rPr>
            </w:pPr>
            <w:r>
              <w:rPr>
                <w:sz w:val="20"/>
              </w:rPr>
              <w:t>18</w:t>
            </w:r>
            <w:r>
              <w:rPr>
                <w:position w:val="4"/>
                <w:sz w:val="20"/>
              </w:rPr>
              <w:t>1</w:t>
            </w:r>
            <w:r>
              <w:rPr>
                <w:sz w:val="20"/>
              </w:rPr>
              <w:t>/2</w:t>
            </w:r>
          </w:p>
        </w:tc>
      </w:tr>
      <w:tr w:rsidR="00B40966">
        <w:trPr>
          <w:cantSplit/>
          <w:trHeight w:val="200"/>
        </w:trPr>
        <w:tc>
          <w:tcPr>
            <w:tcW w:w="980"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12" w:type="dxa"/>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696" w:type="dxa"/>
            <w:gridSpan w:val="4"/>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0</w:t>
            </w:r>
          </w:p>
        </w:tc>
        <w:tc>
          <w:tcPr>
            <w:tcW w:w="600" w:type="dxa"/>
            <w:gridSpan w:val="2"/>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9</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0</w:t>
            </w:r>
          </w:p>
        </w:tc>
        <w:tc>
          <w:tcPr>
            <w:tcW w:w="838" w:type="dxa"/>
            <w:gridSpan w:val="2"/>
          </w:tcPr>
          <w:p w:rsidR="00B40966" w:rsidRDefault="00B40966">
            <w:pPr>
              <w:pStyle w:val="TableText"/>
              <w:jc w:val="center"/>
              <w:rPr>
                <w:sz w:val="20"/>
              </w:rPr>
            </w:pPr>
            <w:r>
              <w:rPr>
                <w:sz w:val="20"/>
              </w:rPr>
              <w:t>1</w:t>
            </w:r>
          </w:p>
        </w:tc>
        <w:tc>
          <w:tcPr>
            <w:tcW w:w="686" w:type="dxa"/>
            <w:gridSpan w:val="2"/>
          </w:tcPr>
          <w:p w:rsidR="00B40966" w:rsidRDefault="00B40966">
            <w:pPr>
              <w:pStyle w:val="TableText"/>
              <w:jc w:val="center"/>
              <w:rPr>
                <w:sz w:val="20"/>
              </w:rPr>
            </w:pPr>
            <w:r>
              <w:rPr>
                <w:sz w:val="20"/>
              </w:rPr>
              <w:t>1</w:t>
            </w:r>
          </w:p>
        </w:tc>
      </w:tr>
      <w:tr w:rsidR="00B40966">
        <w:trPr>
          <w:cantSplit/>
          <w:trHeight w:val="200"/>
        </w:trPr>
        <w:tc>
          <w:tcPr>
            <w:tcW w:w="980" w:type="dxa"/>
          </w:tcPr>
          <w:p w:rsidR="00B40966" w:rsidRDefault="00B40966">
            <w:pPr>
              <w:pStyle w:val="TableText"/>
              <w:jc w:val="center"/>
              <w:rPr>
                <w:sz w:val="20"/>
              </w:rPr>
            </w:pPr>
            <w:r>
              <w:rPr>
                <w:sz w:val="20"/>
              </w:rPr>
              <w:t>2</w:t>
            </w:r>
            <w:r>
              <w:rPr>
                <w:position w:val="4"/>
                <w:sz w:val="20"/>
              </w:rPr>
              <w:t>1</w:t>
            </w:r>
            <w:r>
              <w:rPr>
                <w:sz w:val="20"/>
              </w:rPr>
              <w:t>/2</w:t>
            </w:r>
          </w:p>
        </w:tc>
        <w:tc>
          <w:tcPr>
            <w:tcW w:w="912" w:type="dxa"/>
            <w:tcBorders>
              <w:left w:val="single" w:sz="6" w:space="0" w:color="auto"/>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696" w:type="dxa"/>
            <w:gridSpan w:val="4"/>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6</w:t>
            </w:r>
          </w:p>
        </w:tc>
        <w:tc>
          <w:tcPr>
            <w:tcW w:w="600" w:type="dxa"/>
            <w:gridSpan w:val="2"/>
            <w:tcBorders>
              <w:left w:val="single" w:sz="6" w:space="0" w:color="auto"/>
            </w:tcBorders>
          </w:tcPr>
          <w:p w:rsidR="00B40966" w:rsidRDefault="00B40966">
            <w:pPr>
              <w:pStyle w:val="TableText"/>
              <w:jc w:val="center"/>
              <w:rPr>
                <w:sz w:val="20"/>
              </w:rPr>
            </w:pPr>
            <w:r>
              <w:rPr>
                <w:sz w:val="20"/>
              </w:rPr>
              <w:t>4</w:t>
            </w:r>
          </w:p>
        </w:tc>
        <w:tc>
          <w:tcPr>
            <w:tcW w:w="720" w:type="dxa"/>
            <w:gridSpan w:val="2"/>
          </w:tcPr>
          <w:p w:rsidR="00B40966" w:rsidRDefault="00B40966">
            <w:pPr>
              <w:pStyle w:val="TableText"/>
              <w:jc w:val="center"/>
              <w:rPr>
                <w:sz w:val="20"/>
              </w:rPr>
            </w:pPr>
            <w:r>
              <w:rPr>
                <w:sz w:val="20"/>
              </w:rPr>
              <w:t>9</w:t>
            </w:r>
          </w:p>
        </w:tc>
        <w:tc>
          <w:tcPr>
            <w:tcW w:w="752" w:type="dxa"/>
            <w:tcBorders>
              <w:left w:val="single" w:sz="6" w:space="0" w:color="auto"/>
            </w:tcBorders>
          </w:tcPr>
          <w:p w:rsidR="00B40966" w:rsidRDefault="00B40966">
            <w:pPr>
              <w:pStyle w:val="TableText"/>
              <w:jc w:val="center"/>
              <w:rPr>
                <w:sz w:val="20"/>
              </w:rPr>
            </w:pPr>
            <w:r>
              <w:rPr>
                <w:sz w:val="20"/>
              </w:rPr>
              <w:t>4</w:t>
            </w:r>
          </w:p>
        </w:tc>
        <w:tc>
          <w:tcPr>
            <w:tcW w:w="832" w:type="dxa"/>
          </w:tcPr>
          <w:p w:rsidR="00B40966" w:rsidRDefault="00B40966">
            <w:pPr>
              <w:pStyle w:val="TableText"/>
              <w:jc w:val="center"/>
              <w:rPr>
                <w:sz w:val="20"/>
              </w:rPr>
            </w:pPr>
            <w:r>
              <w:rPr>
                <w:sz w:val="20"/>
              </w:rPr>
              <w:t>0</w:t>
            </w:r>
          </w:p>
        </w:tc>
        <w:tc>
          <w:tcPr>
            <w:tcW w:w="768"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5</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Pr>
          <w:p w:rsidR="00B40966" w:rsidRDefault="00B40966">
            <w:pPr>
              <w:pStyle w:val="TableText"/>
              <w:jc w:val="center"/>
              <w:rPr>
                <w:sz w:val="20"/>
              </w:rPr>
            </w:pPr>
            <w:r>
              <w:rPr>
                <w:sz w:val="20"/>
              </w:rPr>
              <w:t>6</w:t>
            </w:r>
          </w:p>
        </w:tc>
        <w:tc>
          <w:tcPr>
            <w:tcW w:w="838" w:type="dxa"/>
            <w:gridSpan w:val="2"/>
            <w:tcBorders>
              <w:left w:val="single" w:sz="6" w:space="0" w:color="auto"/>
            </w:tcBorders>
          </w:tcPr>
          <w:p w:rsidR="00B40966" w:rsidRDefault="00B40966">
            <w:pPr>
              <w:pStyle w:val="TableText"/>
              <w:jc w:val="center"/>
              <w:rPr>
                <w:sz w:val="20"/>
              </w:rPr>
            </w:pPr>
            <w:r>
              <w:rPr>
                <w:sz w:val="20"/>
              </w:rPr>
              <w:t>1</w:t>
            </w:r>
          </w:p>
        </w:tc>
        <w:tc>
          <w:tcPr>
            <w:tcW w:w="686" w:type="dxa"/>
            <w:gridSpan w:val="2"/>
          </w:tcPr>
          <w:p w:rsidR="00B40966" w:rsidRDefault="00B40966">
            <w:pPr>
              <w:pStyle w:val="TableText"/>
              <w:jc w:val="center"/>
              <w:rPr>
                <w:sz w:val="20"/>
              </w:rPr>
            </w:pPr>
            <w:r>
              <w:rPr>
                <w:sz w:val="20"/>
              </w:rPr>
              <w:t>4</w:t>
            </w:r>
          </w:p>
        </w:tc>
      </w:tr>
      <w:tr w:rsidR="00B40966">
        <w:trPr>
          <w:cantSplit/>
          <w:trHeight w:val="200"/>
        </w:trPr>
        <w:tc>
          <w:tcPr>
            <w:tcW w:w="980" w:type="dxa"/>
          </w:tcPr>
          <w:p w:rsidR="00B40966" w:rsidRDefault="00B40966">
            <w:pPr>
              <w:pStyle w:val="TableText"/>
              <w:jc w:val="center"/>
              <w:rPr>
                <w:sz w:val="20"/>
              </w:rPr>
            </w:pPr>
            <w:r>
              <w:rPr>
                <w:sz w:val="20"/>
              </w:rPr>
              <w:t>2</w:t>
            </w:r>
            <w:r>
              <w:rPr>
                <w:position w:val="4"/>
                <w:sz w:val="20"/>
              </w:rPr>
              <w:t>3</w:t>
            </w:r>
            <w:r>
              <w:rPr>
                <w:sz w:val="20"/>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696" w:type="dxa"/>
            <w:gridSpan w:val="4"/>
          </w:tcPr>
          <w:p w:rsidR="00B40966" w:rsidRDefault="00B40966">
            <w:pPr>
              <w:pStyle w:val="TableText"/>
              <w:jc w:val="center"/>
              <w:rPr>
                <w:sz w:val="20"/>
              </w:rPr>
            </w:pPr>
            <w:r>
              <w:rPr>
                <w:sz w:val="20"/>
              </w:rPr>
              <w:t>2</w:t>
            </w:r>
          </w:p>
        </w:tc>
        <w:tc>
          <w:tcPr>
            <w:tcW w:w="840" w:type="dxa"/>
          </w:tcPr>
          <w:p w:rsidR="00B40966" w:rsidRDefault="00B40966">
            <w:pPr>
              <w:pStyle w:val="TableText"/>
              <w:jc w:val="center"/>
              <w:rPr>
                <w:sz w:val="20"/>
              </w:rPr>
            </w:pPr>
            <w:r>
              <w:rPr>
                <w:sz w:val="20"/>
              </w:rPr>
              <w:t>14</w:t>
            </w:r>
          </w:p>
        </w:tc>
        <w:tc>
          <w:tcPr>
            <w:tcW w:w="600" w:type="dxa"/>
            <w:gridSpan w:val="2"/>
            <w:tcBorders>
              <w:left w:val="single" w:sz="6" w:space="0" w:color="auto"/>
            </w:tcBorders>
          </w:tcPr>
          <w:p w:rsidR="00B40966" w:rsidRDefault="00B40966">
            <w:pPr>
              <w:pStyle w:val="TableText"/>
              <w:jc w:val="center"/>
              <w:rPr>
                <w:sz w:val="20"/>
              </w:rPr>
            </w:pPr>
            <w:r>
              <w:rPr>
                <w:sz w:val="20"/>
              </w:rPr>
              <w:t>5</w:t>
            </w:r>
          </w:p>
        </w:tc>
        <w:tc>
          <w:tcPr>
            <w:tcW w:w="720" w:type="dxa"/>
            <w:gridSpan w:val="2"/>
          </w:tcPr>
          <w:p w:rsidR="00B40966" w:rsidRDefault="00B40966">
            <w:pPr>
              <w:pStyle w:val="TableText"/>
              <w:jc w:val="center"/>
              <w:rPr>
                <w:sz w:val="20"/>
              </w:rPr>
            </w:pPr>
            <w:r>
              <w:rPr>
                <w:sz w:val="20"/>
              </w:rPr>
              <w:t>4</w:t>
            </w:r>
          </w:p>
        </w:tc>
        <w:tc>
          <w:tcPr>
            <w:tcW w:w="752" w:type="dxa"/>
            <w:tcBorders>
              <w:left w:val="single" w:sz="6" w:space="0" w:color="auto"/>
            </w:tcBorders>
          </w:tcPr>
          <w:p w:rsidR="00B40966" w:rsidRDefault="00B40966">
            <w:pPr>
              <w:pStyle w:val="TableText"/>
              <w:jc w:val="center"/>
              <w:rPr>
                <w:sz w:val="20"/>
              </w:rPr>
            </w:pPr>
            <w:r>
              <w:rPr>
                <w:sz w:val="20"/>
              </w:rPr>
              <w:t>4</w:t>
            </w:r>
          </w:p>
        </w:tc>
        <w:tc>
          <w:tcPr>
            <w:tcW w:w="832" w:type="dxa"/>
          </w:tcPr>
          <w:p w:rsidR="00B40966" w:rsidRDefault="00B40966">
            <w:pPr>
              <w:pStyle w:val="TableText"/>
              <w:jc w:val="center"/>
              <w:rPr>
                <w:sz w:val="20"/>
              </w:rPr>
            </w:pPr>
            <w:r>
              <w:rPr>
                <w:sz w:val="20"/>
              </w:rPr>
              <w:t>14</w:t>
            </w:r>
          </w:p>
        </w:tc>
        <w:tc>
          <w:tcPr>
            <w:tcW w:w="768"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Pr>
          <w:p w:rsidR="00B40966" w:rsidRDefault="00B40966">
            <w:pPr>
              <w:pStyle w:val="TableText"/>
              <w:jc w:val="center"/>
              <w:rPr>
                <w:sz w:val="20"/>
              </w:rPr>
            </w:pPr>
            <w:r>
              <w:rPr>
                <w:sz w:val="20"/>
              </w:rPr>
              <w:t>14</w:t>
            </w:r>
          </w:p>
        </w:tc>
        <w:tc>
          <w:tcPr>
            <w:tcW w:w="838" w:type="dxa"/>
            <w:gridSpan w:val="2"/>
            <w:tcBorders>
              <w:left w:val="single" w:sz="6" w:space="0" w:color="auto"/>
            </w:tcBorders>
          </w:tcPr>
          <w:p w:rsidR="00B40966" w:rsidRDefault="00B40966">
            <w:pPr>
              <w:pStyle w:val="TableText"/>
              <w:jc w:val="center"/>
              <w:rPr>
                <w:sz w:val="20"/>
              </w:rPr>
            </w:pPr>
            <w:r>
              <w:rPr>
                <w:sz w:val="20"/>
              </w:rPr>
              <w:t>1</w:t>
            </w:r>
          </w:p>
        </w:tc>
        <w:tc>
          <w:tcPr>
            <w:tcW w:w="686" w:type="dxa"/>
            <w:gridSpan w:val="2"/>
          </w:tcPr>
          <w:p w:rsidR="00B40966" w:rsidRDefault="00B40966">
            <w:pPr>
              <w:pStyle w:val="TableText"/>
              <w:jc w:val="center"/>
              <w:rPr>
                <w:sz w:val="20"/>
              </w:rPr>
            </w:pPr>
            <w:r>
              <w:rPr>
                <w:sz w:val="20"/>
              </w:rPr>
              <w:t>8</w:t>
            </w:r>
          </w:p>
        </w:tc>
      </w:tr>
      <w:tr w:rsidR="00B40966">
        <w:trPr>
          <w:cantSplit/>
          <w:trHeight w:val="200"/>
        </w:trPr>
        <w:tc>
          <w:tcPr>
            <w:tcW w:w="980" w:type="dxa"/>
          </w:tcPr>
          <w:p w:rsidR="00B40966" w:rsidRDefault="00B40966">
            <w:pPr>
              <w:pStyle w:val="TableText"/>
              <w:jc w:val="center"/>
              <w:rPr>
                <w:sz w:val="20"/>
              </w:rPr>
            </w:pPr>
            <w:r>
              <w:rPr>
                <w:sz w:val="20"/>
              </w:rPr>
              <w:t>3</w:t>
            </w:r>
          </w:p>
        </w:tc>
        <w:tc>
          <w:tcPr>
            <w:tcW w:w="912" w:type="dxa"/>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696" w:type="dxa"/>
            <w:gridSpan w:val="4"/>
          </w:tcPr>
          <w:p w:rsidR="00B40966" w:rsidRDefault="00B40966">
            <w:pPr>
              <w:pStyle w:val="TableText"/>
              <w:jc w:val="center"/>
              <w:rPr>
                <w:sz w:val="20"/>
              </w:rPr>
            </w:pPr>
            <w:r>
              <w:rPr>
                <w:sz w:val="20"/>
              </w:rPr>
              <w:t>3</w:t>
            </w:r>
          </w:p>
        </w:tc>
        <w:tc>
          <w:tcPr>
            <w:tcW w:w="840" w:type="dxa"/>
          </w:tcPr>
          <w:p w:rsidR="00B40966" w:rsidRDefault="00B40966">
            <w:pPr>
              <w:pStyle w:val="TableText"/>
              <w:jc w:val="center"/>
              <w:rPr>
                <w:sz w:val="20"/>
              </w:rPr>
            </w:pPr>
            <w:r>
              <w:rPr>
                <w:sz w:val="20"/>
              </w:rPr>
              <w:t>3</w:t>
            </w:r>
          </w:p>
        </w:tc>
        <w:tc>
          <w:tcPr>
            <w:tcW w:w="600" w:type="dxa"/>
            <w:gridSpan w:val="2"/>
            <w:tcBorders>
              <w:left w:val="single" w:sz="6" w:space="0" w:color="auto"/>
            </w:tcBorders>
          </w:tcPr>
          <w:p w:rsidR="00B40966" w:rsidRDefault="00B40966">
            <w:pPr>
              <w:pStyle w:val="TableText"/>
              <w:jc w:val="center"/>
              <w:rPr>
                <w:sz w:val="20"/>
              </w:rPr>
            </w:pPr>
            <w:r>
              <w:rPr>
                <w:sz w:val="20"/>
              </w:rPr>
              <w:t>6</w:t>
            </w:r>
          </w:p>
        </w:tc>
        <w:tc>
          <w:tcPr>
            <w:tcW w:w="720" w:type="dxa"/>
            <w:gridSpan w:val="2"/>
          </w:tcPr>
          <w:p w:rsidR="00B40966" w:rsidRDefault="00B40966">
            <w:pPr>
              <w:pStyle w:val="TableText"/>
              <w:jc w:val="center"/>
              <w:rPr>
                <w:sz w:val="20"/>
              </w:rPr>
            </w:pPr>
            <w:r>
              <w:rPr>
                <w:sz w:val="20"/>
              </w:rPr>
              <w:t>2</w:t>
            </w:r>
          </w:p>
        </w:tc>
        <w:tc>
          <w:tcPr>
            <w:tcW w:w="752" w:type="dxa"/>
            <w:tcBorders>
              <w:left w:val="single" w:sz="6" w:space="0" w:color="auto"/>
            </w:tcBorders>
          </w:tcPr>
          <w:p w:rsidR="00B40966" w:rsidRDefault="00B40966">
            <w:pPr>
              <w:pStyle w:val="TableText"/>
              <w:jc w:val="center"/>
              <w:rPr>
                <w:sz w:val="20"/>
              </w:rPr>
            </w:pPr>
            <w:r>
              <w:rPr>
                <w:sz w:val="20"/>
              </w:rPr>
              <w:t>5</w:t>
            </w:r>
          </w:p>
        </w:tc>
        <w:tc>
          <w:tcPr>
            <w:tcW w:w="832" w:type="dxa"/>
          </w:tcPr>
          <w:p w:rsidR="00B40966" w:rsidRDefault="00B40966">
            <w:pPr>
              <w:pStyle w:val="TableText"/>
              <w:jc w:val="center"/>
              <w:rPr>
                <w:sz w:val="20"/>
              </w:rPr>
            </w:pPr>
            <w:r>
              <w:rPr>
                <w:sz w:val="20"/>
              </w:rPr>
              <w:t>9</w:t>
            </w:r>
          </w:p>
        </w:tc>
        <w:tc>
          <w:tcPr>
            <w:tcW w:w="768" w:type="dxa"/>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3</w:t>
            </w:r>
          </w:p>
        </w:tc>
        <w:tc>
          <w:tcPr>
            <w:tcW w:w="722" w:type="dxa"/>
          </w:tcPr>
          <w:p w:rsidR="00B40966" w:rsidRDefault="00B40966">
            <w:pPr>
              <w:pStyle w:val="TableText"/>
              <w:jc w:val="center"/>
              <w:rPr>
                <w:sz w:val="20"/>
              </w:rPr>
            </w:pPr>
            <w:r>
              <w:rPr>
                <w:sz w:val="20"/>
              </w:rPr>
              <w:t>3</w:t>
            </w:r>
          </w:p>
        </w:tc>
        <w:tc>
          <w:tcPr>
            <w:tcW w:w="838" w:type="dxa"/>
            <w:gridSpan w:val="2"/>
            <w:tcBorders>
              <w:left w:val="single" w:sz="6" w:space="0" w:color="auto"/>
            </w:tcBorders>
          </w:tcPr>
          <w:p w:rsidR="00B40966" w:rsidRDefault="00B40966">
            <w:pPr>
              <w:pStyle w:val="TableText"/>
              <w:jc w:val="center"/>
              <w:rPr>
                <w:sz w:val="20"/>
              </w:rPr>
            </w:pPr>
            <w:r>
              <w:rPr>
                <w:sz w:val="20"/>
              </w:rPr>
              <w:t>1</w:t>
            </w:r>
          </w:p>
        </w:tc>
        <w:tc>
          <w:tcPr>
            <w:tcW w:w="686" w:type="dxa"/>
            <w:gridSpan w:val="2"/>
          </w:tcPr>
          <w:p w:rsidR="00B40966" w:rsidRDefault="00B40966">
            <w:pPr>
              <w:pStyle w:val="TableText"/>
              <w:jc w:val="center"/>
              <w:rPr>
                <w:sz w:val="20"/>
              </w:rPr>
            </w:pPr>
            <w:r>
              <w:rPr>
                <w:sz w:val="20"/>
              </w:rPr>
              <w:t>13</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696" w:type="dxa"/>
            <w:gridSpan w:val="4"/>
          </w:tcPr>
          <w:p w:rsidR="00B40966" w:rsidRDefault="00B40966">
            <w:pPr>
              <w:pStyle w:val="TableText"/>
              <w:jc w:val="center"/>
              <w:rPr>
                <w:sz w:val="20"/>
              </w:rPr>
            </w:pPr>
            <w:r>
              <w:rPr>
                <w:sz w:val="20"/>
              </w:rPr>
              <w:t>3</w:t>
            </w:r>
          </w:p>
        </w:tc>
        <w:tc>
          <w:tcPr>
            <w:tcW w:w="840" w:type="dxa"/>
          </w:tcPr>
          <w:p w:rsidR="00B40966" w:rsidRDefault="00B40966">
            <w:pPr>
              <w:pStyle w:val="TableText"/>
              <w:jc w:val="center"/>
              <w:rPr>
                <w:sz w:val="20"/>
              </w:rPr>
            </w:pPr>
            <w:r>
              <w:rPr>
                <w:sz w:val="20"/>
              </w:rPr>
              <w:t>17</w:t>
            </w:r>
          </w:p>
        </w:tc>
        <w:tc>
          <w:tcPr>
            <w:tcW w:w="600" w:type="dxa"/>
            <w:gridSpan w:val="2"/>
            <w:tcBorders>
              <w:left w:val="single" w:sz="6" w:space="0" w:color="auto"/>
            </w:tcBorders>
          </w:tcPr>
          <w:p w:rsidR="00B40966" w:rsidRDefault="00B40966">
            <w:pPr>
              <w:pStyle w:val="TableText"/>
              <w:jc w:val="center"/>
              <w:rPr>
                <w:sz w:val="20"/>
              </w:rPr>
            </w:pPr>
            <w:r>
              <w:rPr>
                <w:sz w:val="20"/>
              </w:rPr>
              <w:t>7</w:t>
            </w:r>
          </w:p>
        </w:tc>
        <w:tc>
          <w:tcPr>
            <w:tcW w:w="720" w:type="dxa"/>
            <w:gridSpan w:val="2"/>
          </w:tcPr>
          <w:p w:rsidR="00B40966" w:rsidRDefault="00B40966">
            <w:pPr>
              <w:pStyle w:val="TableText"/>
              <w:jc w:val="center"/>
              <w:rPr>
                <w:sz w:val="20"/>
              </w:rPr>
            </w:pPr>
            <w:r>
              <w:rPr>
                <w:sz w:val="20"/>
              </w:rPr>
              <w:t>9</w:t>
            </w:r>
          </w:p>
        </w:tc>
        <w:tc>
          <w:tcPr>
            <w:tcW w:w="752" w:type="dxa"/>
            <w:tcBorders>
              <w:left w:val="single" w:sz="6" w:space="0" w:color="auto"/>
            </w:tcBorders>
          </w:tcPr>
          <w:p w:rsidR="00B40966" w:rsidRDefault="00B40966">
            <w:pPr>
              <w:pStyle w:val="TableText"/>
              <w:jc w:val="center"/>
              <w:rPr>
                <w:sz w:val="20"/>
              </w:rPr>
            </w:pPr>
            <w:r>
              <w:rPr>
                <w:sz w:val="20"/>
              </w:rPr>
              <w:t>6</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5</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3</w:t>
            </w:r>
          </w:p>
        </w:tc>
        <w:tc>
          <w:tcPr>
            <w:tcW w:w="722" w:type="dxa"/>
          </w:tcPr>
          <w:p w:rsidR="00B40966" w:rsidRDefault="00B40966">
            <w:pPr>
              <w:pStyle w:val="TableText"/>
              <w:jc w:val="center"/>
              <w:rPr>
                <w:sz w:val="20"/>
              </w:rPr>
            </w:pPr>
            <w:r>
              <w:rPr>
                <w:sz w:val="20"/>
              </w:rPr>
              <w:t>17</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86" w:type="dxa"/>
            <w:gridSpan w:val="2"/>
          </w:tcPr>
          <w:p w:rsidR="00B40966" w:rsidRDefault="00B40966">
            <w:pPr>
              <w:pStyle w:val="TableText"/>
              <w:jc w:val="center"/>
              <w:rPr>
                <w:sz w:val="20"/>
              </w:rPr>
            </w:pPr>
            <w:r>
              <w:rPr>
                <w:sz w:val="20"/>
              </w:rPr>
              <w:t>0</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696" w:type="dxa"/>
            <w:gridSpan w:val="4"/>
          </w:tcPr>
          <w:p w:rsidR="00B40966" w:rsidRDefault="00B40966">
            <w:pPr>
              <w:pStyle w:val="TableText"/>
              <w:jc w:val="center"/>
              <w:rPr>
                <w:sz w:val="20"/>
              </w:rPr>
            </w:pPr>
            <w:r>
              <w:rPr>
                <w:sz w:val="20"/>
              </w:rPr>
              <w:t>4</w:t>
            </w:r>
          </w:p>
        </w:tc>
        <w:tc>
          <w:tcPr>
            <w:tcW w:w="840" w:type="dxa"/>
          </w:tcPr>
          <w:p w:rsidR="00B40966" w:rsidRDefault="00B40966">
            <w:pPr>
              <w:pStyle w:val="TableText"/>
              <w:jc w:val="center"/>
              <w:rPr>
                <w:sz w:val="20"/>
              </w:rPr>
            </w:pPr>
            <w:r>
              <w:rPr>
                <w:sz w:val="20"/>
              </w:rPr>
              <w:t>8</w:t>
            </w:r>
          </w:p>
        </w:tc>
        <w:tc>
          <w:tcPr>
            <w:tcW w:w="600" w:type="dxa"/>
            <w:gridSpan w:val="2"/>
            <w:tcBorders>
              <w:left w:val="single" w:sz="6" w:space="0" w:color="auto"/>
            </w:tcBorders>
          </w:tcPr>
          <w:p w:rsidR="00B40966" w:rsidRDefault="00B40966">
            <w:pPr>
              <w:pStyle w:val="TableText"/>
              <w:jc w:val="center"/>
              <w:rPr>
                <w:sz w:val="20"/>
              </w:rPr>
            </w:pPr>
            <w:r>
              <w:rPr>
                <w:sz w:val="20"/>
              </w:rPr>
              <w:t>8</w:t>
            </w:r>
          </w:p>
        </w:tc>
        <w:tc>
          <w:tcPr>
            <w:tcW w:w="720" w:type="dxa"/>
            <w:gridSpan w:val="2"/>
          </w:tcPr>
          <w:p w:rsidR="00B40966" w:rsidRDefault="00B40966">
            <w:pPr>
              <w:pStyle w:val="TableText"/>
              <w:jc w:val="center"/>
              <w:rPr>
                <w:sz w:val="20"/>
              </w:rPr>
            </w:pPr>
            <w:r>
              <w:rPr>
                <w:sz w:val="20"/>
              </w:rPr>
              <w:t>10</w:t>
            </w:r>
          </w:p>
        </w:tc>
        <w:tc>
          <w:tcPr>
            <w:tcW w:w="752" w:type="dxa"/>
            <w:tcBorders>
              <w:left w:val="single" w:sz="6" w:space="0" w:color="auto"/>
            </w:tcBorders>
          </w:tcPr>
          <w:p w:rsidR="00B40966" w:rsidRDefault="00B40966">
            <w:pPr>
              <w:pStyle w:val="TableText"/>
              <w:jc w:val="center"/>
              <w:rPr>
                <w:sz w:val="20"/>
              </w:rPr>
            </w:pPr>
            <w:r>
              <w:rPr>
                <w:sz w:val="20"/>
              </w:rPr>
              <w:t>7</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6</w:t>
            </w:r>
          </w:p>
        </w:tc>
        <w:tc>
          <w:tcPr>
            <w:tcW w:w="786" w:type="dxa"/>
            <w:gridSpan w:val="2"/>
          </w:tcPr>
          <w:p w:rsidR="00B40966" w:rsidRDefault="00B40966">
            <w:pPr>
              <w:pStyle w:val="TableText"/>
              <w:jc w:val="center"/>
              <w:rPr>
                <w:sz w:val="20"/>
              </w:rPr>
            </w:pPr>
            <w:r>
              <w:rPr>
                <w:sz w:val="20"/>
              </w:rPr>
              <w:t>4</w:t>
            </w:r>
          </w:p>
        </w:tc>
        <w:tc>
          <w:tcPr>
            <w:tcW w:w="760" w:type="dxa"/>
            <w:tcBorders>
              <w:left w:val="single" w:sz="6" w:space="0" w:color="auto"/>
            </w:tcBorders>
          </w:tcPr>
          <w:p w:rsidR="00B40966" w:rsidRDefault="00B40966">
            <w:pPr>
              <w:pStyle w:val="TableText"/>
              <w:jc w:val="center"/>
              <w:rPr>
                <w:sz w:val="20"/>
              </w:rPr>
            </w:pPr>
            <w:r>
              <w:rPr>
                <w:sz w:val="20"/>
              </w:rPr>
              <w:t>4</w:t>
            </w:r>
          </w:p>
        </w:tc>
        <w:tc>
          <w:tcPr>
            <w:tcW w:w="722" w:type="dxa"/>
          </w:tcPr>
          <w:p w:rsidR="00B40966" w:rsidRDefault="00B40966">
            <w:pPr>
              <w:pStyle w:val="TableText"/>
              <w:jc w:val="center"/>
              <w:rPr>
                <w:sz w:val="20"/>
              </w:rPr>
            </w:pPr>
            <w:r>
              <w:rPr>
                <w:sz w:val="20"/>
              </w:rPr>
              <w:t>8</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86" w:type="dxa"/>
            <w:gridSpan w:val="2"/>
          </w:tcPr>
          <w:p w:rsidR="00B40966" w:rsidRDefault="00B40966">
            <w:pPr>
              <w:pStyle w:val="TableText"/>
              <w:jc w:val="center"/>
              <w:rPr>
                <w:sz w:val="20"/>
              </w:rPr>
            </w:pPr>
            <w:r>
              <w:rPr>
                <w:sz w:val="20"/>
              </w:rPr>
              <w:t>6</w:t>
            </w:r>
          </w:p>
        </w:tc>
      </w:tr>
      <w:tr w:rsidR="00B40966">
        <w:trPr>
          <w:cantSplit/>
          <w:trHeight w:val="200"/>
        </w:trPr>
        <w:tc>
          <w:tcPr>
            <w:tcW w:w="980"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696" w:type="dxa"/>
            <w:gridSpan w:val="4"/>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0</w:t>
            </w:r>
          </w:p>
        </w:tc>
        <w:tc>
          <w:tcPr>
            <w:tcW w:w="600" w:type="dxa"/>
            <w:gridSpan w:val="2"/>
            <w:tcBorders>
              <w:left w:val="single" w:sz="6" w:space="0" w:color="auto"/>
            </w:tcBorders>
          </w:tcPr>
          <w:p w:rsidR="00B40966" w:rsidRDefault="00B40966">
            <w:pPr>
              <w:pStyle w:val="TableText"/>
              <w:jc w:val="center"/>
              <w:rPr>
                <w:sz w:val="20"/>
              </w:rPr>
            </w:pPr>
            <w:r>
              <w:rPr>
                <w:sz w:val="20"/>
              </w:rPr>
              <w:t>9</w:t>
            </w:r>
          </w:p>
        </w:tc>
        <w:tc>
          <w:tcPr>
            <w:tcW w:w="720" w:type="dxa"/>
            <w:gridSpan w:val="2"/>
          </w:tcPr>
          <w:p w:rsidR="00B40966" w:rsidRDefault="00B40966">
            <w:pPr>
              <w:pStyle w:val="TableText"/>
              <w:jc w:val="center"/>
              <w:rPr>
                <w:sz w:val="20"/>
              </w:rPr>
            </w:pPr>
            <w:r>
              <w:rPr>
                <w:sz w:val="20"/>
              </w:rPr>
              <w:t>13</w:t>
            </w:r>
          </w:p>
        </w:tc>
        <w:tc>
          <w:tcPr>
            <w:tcW w:w="752" w:type="dxa"/>
            <w:tcBorders>
              <w:left w:val="single" w:sz="6" w:space="0" w:color="auto"/>
            </w:tcBorders>
          </w:tcPr>
          <w:p w:rsidR="00B40966" w:rsidRDefault="00B40966">
            <w:pPr>
              <w:pStyle w:val="TableText"/>
              <w:jc w:val="center"/>
              <w:rPr>
                <w:sz w:val="20"/>
              </w:rPr>
            </w:pPr>
            <w:r>
              <w:rPr>
                <w:sz w:val="20"/>
              </w:rPr>
              <w:t>8</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7</w:t>
            </w:r>
          </w:p>
        </w:tc>
        <w:tc>
          <w:tcPr>
            <w:tcW w:w="786" w:type="dxa"/>
            <w:gridSpan w:val="2"/>
          </w:tcPr>
          <w:p w:rsidR="00B40966" w:rsidRDefault="00B40966">
            <w:pPr>
              <w:pStyle w:val="TableText"/>
              <w:jc w:val="center"/>
              <w:rPr>
                <w:sz w:val="20"/>
              </w:rPr>
            </w:pPr>
            <w:r>
              <w:rPr>
                <w:sz w:val="20"/>
              </w:rPr>
              <w:t>1</w:t>
            </w:r>
          </w:p>
        </w:tc>
        <w:tc>
          <w:tcPr>
            <w:tcW w:w="760" w:type="dxa"/>
            <w:tcBorders>
              <w:left w:val="single" w:sz="6" w:space="0" w:color="auto"/>
            </w:tcBorders>
          </w:tcPr>
          <w:p w:rsidR="00B40966" w:rsidRDefault="00B40966">
            <w:pPr>
              <w:pStyle w:val="TableText"/>
              <w:jc w:val="center"/>
              <w:rPr>
                <w:sz w:val="20"/>
              </w:rPr>
            </w:pPr>
            <w:r>
              <w:rPr>
                <w:sz w:val="20"/>
              </w:rPr>
              <w:t>5</w:t>
            </w:r>
          </w:p>
        </w:tc>
        <w:tc>
          <w:tcPr>
            <w:tcW w:w="722" w:type="dxa"/>
          </w:tcPr>
          <w:p w:rsidR="00B40966" w:rsidRDefault="00B40966">
            <w:pPr>
              <w:pStyle w:val="TableText"/>
              <w:jc w:val="center"/>
              <w:rPr>
                <w:sz w:val="20"/>
              </w:rPr>
            </w:pPr>
            <w:r>
              <w:rPr>
                <w:sz w:val="20"/>
              </w:rPr>
              <w:t>0</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86" w:type="dxa"/>
            <w:gridSpan w:val="2"/>
          </w:tcPr>
          <w:p w:rsidR="00B40966" w:rsidRDefault="00B40966">
            <w:pPr>
              <w:pStyle w:val="TableText"/>
              <w:jc w:val="center"/>
              <w:rPr>
                <w:sz w:val="20"/>
              </w:rPr>
            </w:pPr>
            <w:r>
              <w:rPr>
                <w:sz w:val="20"/>
              </w:rPr>
              <w:t>12</w:t>
            </w:r>
          </w:p>
        </w:tc>
      </w:tr>
      <w:tr w:rsidR="00B40966">
        <w:trPr>
          <w:cantSplit/>
          <w:trHeight w:val="200"/>
        </w:trPr>
        <w:tc>
          <w:tcPr>
            <w:tcW w:w="980" w:type="dxa"/>
          </w:tcPr>
          <w:p w:rsidR="00B40966" w:rsidRDefault="00B40966">
            <w:pPr>
              <w:pStyle w:val="TableText"/>
              <w:jc w:val="center"/>
              <w:rPr>
                <w:sz w:val="20"/>
              </w:rPr>
            </w:pPr>
            <w:r>
              <w:rPr>
                <w:sz w:val="20"/>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696" w:type="dxa"/>
            <w:gridSpan w:val="4"/>
          </w:tcPr>
          <w:p w:rsidR="00B40966" w:rsidRDefault="00B40966">
            <w:pPr>
              <w:pStyle w:val="TableText"/>
              <w:jc w:val="center"/>
              <w:rPr>
                <w:sz w:val="20"/>
              </w:rPr>
            </w:pPr>
            <w:r>
              <w:rPr>
                <w:sz w:val="20"/>
              </w:rPr>
              <w:t>5</w:t>
            </w:r>
          </w:p>
        </w:tc>
        <w:tc>
          <w:tcPr>
            <w:tcW w:w="840" w:type="dxa"/>
          </w:tcPr>
          <w:p w:rsidR="00B40966" w:rsidRDefault="00B40966">
            <w:pPr>
              <w:pStyle w:val="TableText"/>
              <w:jc w:val="center"/>
              <w:rPr>
                <w:sz w:val="20"/>
              </w:rPr>
            </w:pPr>
            <w:r>
              <w:rPr>
                <w:sz w:val="20"/>
              </w:rPr>
              <w:t>15</w:t>
            </w:r>
          </w:p>
        </w:tc>
        <w:tc>
          <w:tcPr>
            <w:tcW w:w="600" w:type="dxa"/>
            <w:gridSpan w:val="2"/>
            <w:tcBorders>
              <w:left w:val="single" w:sz="6" w:space="0" w:color="auto"/>
            </w:tcBorders>
          </w:tcPr>
          <w:p w:rsidR="00B40966" w:rsidRDefault="00B40966">
            <w:pPr>
              <w:pStyle w:val="TableText"/>
              <w:jc w:val="center"/>
              <w:rPr>
                <w:sz w:val="20"/>
              </w:rPr>
            </w:pPr>
            <w:r>
              <w:rPr>
                <w:sz w:val="20"/>
              </w:rPr>
              <w:t>11</w:t>
            </w:r>
          </w:p>
        </w:tc>
        <w:tc>
          <w:tcPr>
            <w:tcW w:w="720" w:type="dxa"/>
            <w:gridSpan w:val="2"/>
          </w:tcPr>
          <w:p w:rsidR="00B40966" w:rsidRDefault="00B40966">
            <w:pPr>
              <w:pStyle w:val="TableText"/>
              <w:jc w:val="center"/>
              <w:rPr>
                <w:sz w:val="20"/>
              </w:rPr>
            </w:pPr>
            <w:r>
              <w:rPr>
                <w:sz w:val="20"/>
              </w:rPr>
              <w:t>2</w:t>
            </w:r>
          </w:p>
        </w:tc>
        <w:tc>
          <w:tcPr>
            <w:tcW w:w="752" w:type="dxa"/>
            <w:tcBorders>
              <w:left w:val="single" w:sz="6" w:space="0" w:color="auto"/>
            </w:tcBorders>
          </w:tcPr>
          <w:p w:rsidR="00B40966" w:rsidRDefault="00B40966">
            <w:pPr>
              <w:pStyle w:val="TableText"/>
              <w:jc w:val="center"/>
              <w:rPr>
                <w:sz w:val="20"/>
              </w:rPr>
            </w:pPr>
            <w:r>
              <w:rPr>
                <w:sz w:val="20"/>
              </w:rPr>
              <w:t>9</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8</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5</w:t>
            </w:r>
          </w:p>
        </w:tc>
        <w:tc>
          <w:tcPr>
            <w:tcW w:w="722" w:type="dxa"/>
          </w:tcPr>
          <w:p w:rsidR="00B40966" w:rsidRDefault="00B40966">
            <w:pPr>
              <w:pStyle w:val="TableText"/>
              <w:jc w:val="center"/>
              <w:rPr>
                <w:sz w:val="20"/>
              </w:rPr>
            </w:pPr>
            <w:r>
              <w:rPr>
                <w:sz w:val="20"/>
              </w:rPr>
              <w:t>15</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86" w:type="dxa"/>
            <w:gridSpan w:val="2"/>
          </w:tcPr>
          <w:p w:rsidR="00B40966" w:rsidRDefault="00B40966">
            <w:pPr>
              <w:pStyle w:val="TableText"/>
              <w:jc w:val="center"/>
              <w:rPr>
                <w:sz w:val="20"/>
              </w:rPr>
            </w:pPr>
            <w:r>
              <w:rPr>
                <w:sz w:val="20"/>
              </w:rPr>
              <w:t>0</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696" w:type="dxa"/>
            <w:gridSpan w:val="4"/>
          </w:tcPr>
          <w:p w:rsidR="00B40966" w:rsidRDefault="00B40966">
            <w:pPr>
              <w:pStyle w:val="TableText"/>
              <w:jc w:val="center"/>
              <w:rPr>
                <w:sz w:val="20"/>
              </w:rPr>
            </w:pPr>
            <w:r>
              <w:rPr>
                <w:sz w:val="20"/>
              </w:rPr>
              <w:t>6</w:t>
            </w:r>
          </w:p>
        </w:tc>
        <w:tc>
          <w:tcPr>
            <w:tcW w:w="840" w:type="dxa"/>
          </w:tcPr>
          <w:p w:rsidR="00B40966" w:rsidRDefault="00B40966">
            <w:pPr>
              <w:pStyle w:val="TableText"/>
              <w:jc w:val="center"/>
              <w:rPr>
                <w:sz w:val="20"/>
              </w:rPr>
            </w:pPr>
            <w:r>
              <w:rPr>
                <w:sz w:val="20"/>
              </w:rPr>
              <w:t>9</w:t>
            </w:r>
          </w:p>
        </w:tc>
        <w:tc>
          <w:tcPr>
            <w:tcW w:w="600" w:type="dxa"/>
            <w:gridSpan w:val="2"/>
            <w:tcBorders>
              <w:left w:val="single" w:sz="6" w:space="0" w:color="auto"/>
            </w:tcBorders>
          </w:tcPr>
          <w:p w:rsidR="00B40966" w:rsidRDefault="00B40966">
            <w:pPr>
              <w:pStyle w:val="TableText"/>
              <w:jc w:val="center"/>
              <w:rPr>
                <w:sz w:val="20"/>
              </w:rPr>
            </w:pPr>
            <w:r>
              <w:rPr>
                <w:sz w:val="20"/>
              </w:rPr>
              <w:t>12</w:t>
            </w:r>
          </w:p>
        </w:tc>
        <w:tc>
          <w:tcPr>
            <w:tcW w:w="720" w:type="dxa"/>
            <w:gridSpan w:val="2"/>
          </w:tcPr>
          <w:p w:rsidR="00B40966" w:rsidRDefault="00B40966">
            <w:pPr>
              <w:pStyle w:val="TableText"/>
              <w:jc w:val="center"/>
              <w:rPr>
                <w:sz w:val="20"/>
              </w:rPr>
            </w:pPr>
            <w:r>
              <w:rPr>
                <w:sz w:val="20"/>
              </w:rPr>
              <w:t>9</w:t>
            </w:r>
          </w:p>
        </w:tc>
        <w:tc>
          <w:tcPr>
            <w:tcW w:w="752" w:type="dxa"/>
            <w:tcBorders>
              <w:left w:val="single" w:sz="6" w:space="0" w:color="auto"/>
            </w:tcBorders>
          </w:tcPr>
          <w:p w:rsidR="00B40966" w:rsidRDefault="00B40966">
            <w:pPr>
              <w:pStyle w:val="TableText"/>
              <w:jc w:val="center"/>
              <w:rPr>
                <w:sz w:val="20"/>
              </w:rPr>
            </w:pPr>
            <w:r>
              <w:rPr>
                <w:sz w:val="20"/>
              </w:rPr>
              <w:t>11</w:t>
            </w:r>
          </w:p>
        </w:tc>
        <w:tc>
          <w:tcPr>
            <w:tcW w:w="832" w:type="dxa"/>
          </w:tcPr>
          <w:p w:rsidR="00B40966" w:rsidRDefault="00B40966">
            <w:pPr>
              <w:pStyle w:val="TableText"/>
              <w:jc w:val="center"/>
              <w:rPr>
                <w:sz w:val="20"/>
              </w:rPr>
            </w:pPr>
            <w:r>
              <w:rPr>
                <w:sz w:val="20"/>
              </w:rPr>
              <w:t>4</w:t>
            </w:r>
          </w:p>
        </w:tc>
        <w:tc>
          <w:tcPr>
            <w:tcW w:w="768" w:type="dxa"/>
            <w:tcBorders>
              <w:left w:val="single" w:sz="6" w:space="0" w:color="auto"/>
            </w:tcBorders>
          </w:tcPr>
          <w:p w:rsidR="00B40966" w:rsidRDefault="00B40966">
            <w:pPr>
              <w:pStyle w:val="TableText"/>
              <w:jc w:val="center"/>
              <w:rPr>
                <w:sz w:val="20"/>
              </w:rPr>
            </w:pPr>
            <w:r>
              <w:rPr>
                <w:sz w:val="20"/>
              </w:rPr>
              <w:t>9</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6</w:t>
            </w:r>
          </w:p>
        </w:tc>
        <w:tc>
          <w:tcPr>
            <w:tcW w:w="722" w:type="dxa"/>
          </w:tcPr>
          <w:p w:rsidR="00B40966" w:rsidRDefault="00B40966">
            <w:pPr>
              <w:pStyle w:val="TableText"/>
              <w:jc w:val="center"/>
              <w:rPr>
                <w:sz w:val="20"/>
              </w:rPr>
            </w:pPr>
            <w:r>
              <w:rPr>
                <w:sz w:val="20"/>
              </w:rPr>
              <w:t>9</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86" w:type="dxa"/>
            <w:gridSpan w:val="2"/>
          </w:tcPr>
          <w:p w:rsidR="00B40966" w:rsidRDefault="00B40966">
            <w:pPr>
              <w:pStyle w:val="TableText"/>
              <w:jc w:val="center"/>
              <w:rPr>
                <w:sz w:val="20"/>
              </w:rPr>
            </w:pPr>
            <w:r>
              <w:rPr>
                <w:sz w:val="20"/>
              </w:rPr>
              <w:t>7</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696" w:type="dxa"/>
            <w:gridSpan w:val="4"/>
          </w:tcPr>
          <w:p w:rsidR="00B40966" w:rsidRDefault="00B40966">
            <w:pPr>
              <w:pStyle w:val="TableText"/>
              <w:jc w:val="center"/>
              <w:rPr>
                <w:sz w:val="20"/>
              </w:rPr>
            </w:pPr>
            <w:r>
              <w:rPr>
                <w:sz w:val="20"/>
              </w:rPr>
              <w:t>7</w:t>
            </w:r>
          </w:p>
        </w:tc>
        <w:tc>
          <w:tcPr>
            <w:tcW w:w="840" w:type="dxa"/>
          </w:tcPr>
          <w:p w:rsidR="00B40966" w:rsidRDefault="00B40966">
            <w:pPr>
              <w:pStyle w:val="TableText"/>
              <w:jc w:val="center"/>
              <w:rPr>
                <w:sz w:val="20"/>
              </w:rPr>
            </w:pPr>
            <w:r>
              <w:rPr>
                <w:sz w:val="20"/>
              </w:rPr>
              <w:t>3</w:t>
            </w:r>
          </w:p>
        </w:tc>
        <w:tc>
          <w:tcPr>
            <w:tcW w:w="600" w:type="dxa"/>
            <w:gridSpan w:val="2"/>
            <w:tcBorders>
              <w:left w:val="single" w:sz="6" w:space="0" w:color="auto"/>
            </w:tcBorders>
          </w:tcPr>
          <w:p w:rsidR="00B40966" w:rsidRDefault="00B40966">
            <w:pPr>
              <w:pStyle w:val="TableText"/>
              <w:jc w:val="center"/>
              <w:rPr>
                <w:sz w:val="20"/>
              </w:rPr>
            </w:pPr>
            <w:r>
              <w:rPr>
                <w:sz w:val="20"/>
              </w:rPr>
              <w:t>13</w:t>
            </w:r>
          </w:p>
        </w:tc>
        <w:tc>
          <w:tcPr>
            <w:tcW w:w="720" w:type="dxa"/>
            <w:gridSpan w:val="2"/>
          </w:tcPr>
          <w:p w:rsidR="00B40966" w:rsidRDefault="00B40966">
            <w:pPr>
              <w:pStyle w:val="TableText"/>
              <w:jc w:val="center"/>
              <w:rPr>
                <w:sz w:val="20"/>
              </w:rPr>
            </w:pPr>
            <w:r>
              <w:rPr>
                <w:sz w:val="20"/>
              </w:rPr>
              <w:t>16</w:t>
            </w:r>
          </w:p>
        </w:tc>
        <w:tc>
          <w:tcPr>
            <w:tcW w:w="752" w:type="dxa"/>
            <w:tcBorders>
              <w:left w:val="single" w:sz="6" w:space="0" w:color="auto"/>
            </w:tcBorders>
          </w:tcPr>
          <w:p w:rsidR="00B40966" w:rsidRDefault="00B40966">
            <w:pPr>
              <w:pStyle w:val="TableText"/>
              <w:jc w:val="center"/>
              <w:rPr>
                <w:sz w:val="20"/>
              </w:rPr>
            </w:pPr>
            <w:r>
              <w:rPr>
                <w:sz w:val="20"/>
              </w:rPr>
              <w:t>12</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10</w:t>
            </w:r>
          </w:p>
        </w:tc>
        <w:tc>
          <w:tcPr>
            <w:tcW w:w="786" w:type="dxa"/>
            <w:gridSpan w:val="2"/>
          </w:tcPr>
          <w:p w:rsidR="00B40966" w:rsidRDefault="00B40966">
            <w:pPr>
              <w:pStyle w:val="TableText"/>
              <w:jc w:val="center"/>
              <w:rPr>
                <w:sz w:val="20"/>
              </w:rPr>
            </w:pPr>
            <w:r>
              <w:rPr>
                <w:sz w:val="20"/>
              </w:rPr>
              <w:t>2</w:t>
            </w:r>
          </w:p>
        </w:tc>
        <w:tc>
          <w:tcPr>
            <w:tcW w:w="760" w:type="dxa"/>
            <w:tcBorders>
              <w:left w:val="single" w:sz="6" w:space="0" w:color="auto"/>
            </w:tcBorders>
          </w:tcPr>
          <w:p w:rsidR="00B40966" w:rsidRDefault="00B40966">
            <w:pPr>
              <w:pStyle w:val="TableText"/>
              <w:jc w:val="center"/>
              <w:rPr>
                <w:sz w:val="20"/>
              </w:rPr>
            </w:pPr>
            <w:r>
              <w:rPr>
                <w:sz w:val="20"/>
              </w:rPr>
              <w:t>7</w:t>
            </w:r>
          </w:p>
        </w:tc>
        <w:tc>
          <w:tcPr>
            <w:tcW w:w="722" w:type="dxa"/>
          </w:tcPr>
          <w:p w:rsidR="00B40966" w:rsidRDefault="00B40966">
            <w:pPr>
              <w:pStyle w:val="TableText"/>
              <w:jc w:val="center"/>
              <w:rPr>
                <w:sz w:val="20"/>
              </w:rPr>
            </w:pPr>
            <w:r>
              <w:rPr>
                <w:sz w:val="20"/>
              </w:rPr>
              <w:t>3</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86" w:type="dxa"/>
            <w:gridSpan w:val="2"/>
          </w:tcPr>
          <w:p w:rsidR="00B40966" w:rsidRDefault="00B40966">
            <w:pPr>
              <w:pStyle w:val="TableText"/>
              <w:jc w:val="center"/>
              <w:rPr>
                <w:sz w:val="20"/>
              </w:rPr>
            </w:pPr>
            <w:r>
              <w:rPr>
                <w:sz w:val="20"/>
              </w:rPr>
              <w:t>14</w:t>
            </w:r>
          </w:p>
        </w:tc>
      </w:tr>
      <w:tr w:rsidR="00B40966">
        <w:trPr>
          <w:cantSplit/>
          <w:trHeight w:val="200"/>
        </w:trPr>
        <w:tc>
          <w:tcPr>
            <w:tcW w:w="980"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696" w:type="dxa"/>
            <w:gridSpan w:val="4"/>
          </w:tcPr>
          <w:p w:rsidR="00B40966" w:rsidRDefault="00B40966">
            <w:pPr>
              <w:pStyle w:val="TableText"/>
              <w:jc w:val="center"/>
              <w:rPr>
                <w:sz w:val="20"/>
              </w:rPr>
            </w:pPr>
            <w:r>
              <w:rPr>
                <w:sz w:val="20"/>
              </w:rPr>
              <w:t>8</w:t>
            </w:r>
          </w:p>
        </w:tc>
        <w:tc>
          <w:tcPr>
            <w:tcW w:w="840" w:type="dxa"/>
          </w:tcPr>
          <w:p w:rsidR="00B40966" w:rsidRDefault="00B40966">
            <w:pPr>
              <w:pStyle w:val="TableText"/>
              <w:jc w:val="center"/>
              <w:rPr>
                <w:sz w:val="20"/>
              </w:rPr>
            </w:pPr>
            <w:r>
              <w:rPr>
                <w:sz w:val="20"/>
              </w:rPr>
              <w:t>3</w:t>
            </w:r>
          </w:p>
        </w:tc>
        <w:tc>
          <w:tcPr>
            <w:tcW w:w="600" w:type="dxa"/>
            <w:gridSpan w:val="2"/>
            <w:tcBorders>
              <w:left w:val="single" w:sz="6" w:space="0" w:color="auto"/>
            </w:tcBorders>
          </w:tcPr>
          <w:p w:rsidR="00B40966" w:rsidRDefault="00B40966">
            <w:pPr>
              <w:pStyle w:val="TableText"/>
              <w:jc w:val="center"/>
              <w:rPr>
                <w:sz w:val="20"/>
              </w:rPr>
            </w:pPr>
            <w:r>
              <w:rPr>
                <w:sz w:val="20"/>
              </w:rPr>
              <w:t>15</w:t>
            </w:r>
          </w:p>
        </w:tc>
        <w:tc>
          <w:tcPr>
            <w:tcW w:w="720" w:type="dxa"/>
            <w:gridSpan w:val="2"/>
          </w:tcPr>
          <w:p w:rsidR="00B40966" w:rsidRDefault="00B40966">
            <w:pPr>
              <w:pStyle w:val="TableText"/>
              <w:jc w:val="center"/>
              <w:rPr>
                <w:sz w:val="20"/>
              </w:rPr>
            </w:pPr>
            <w:r>
              <w:rPr>
                <w:sz w:val="20"/>
              </w:rPr>
              <w:t>15</w:t>
            </w:r>
          </w:p>
        </w:tc>
        <w:tc>
          <w:tcPr>
            <w:tcW w:w="752" w:type="dxa"/>
            <w:tcBorders>
              <w:left w:val="single" w:sz="6" w:space="0" w:color="auto"/>
            </w:tcBorders>
          </w:tcPr>
          <w:p w:rsidR="00B40966" w:rsidRDefault="00B40966">
            <w:pPr>
              <w:pStyle w:val="TableText"/>
              <w:jc w:val="center"/>
              <w:rPr>
                <w:sz w:val="20"/>
              </w:rPr>
            </w:pPr>
            <w:r>
              <w:rPr>
                <w:sz w:val="20"/>
              </w:rPr>
              <w:t>14</w:t>
            </w:r>
          </w:p>
        </w:tc>
        <w:tc>
          <w:tcPr>
            <w:tcW w:w="832" w:type="dxa"/>
          </w:tcPr>
          <w:p w:rsidR="00B40966" w:rsidRDefault="00B40966">
            <w:pPr>
              <w:pStyle w:val="TableText"/>
              <w:jc w:val="center"/>
              <w:rPr>
                <w:sz w:val="20"/>
              </w:rPr>
            </w:pPr>
            <w:r>
              <w:rPr>
                <w:sz w:val="20"/>
              </w:rPr>
              <w:t>2</w:t>
            </w:r>
          </w:p>
        </w:tc>
        <w:tc>
          <w:tcPr>
            <w:tcW w:w="768" w:type="dxa"/>
            <w:tcBorders>
              <w:left w:val="single" w:sz="6" w:space="0" w:color="auto"/>
            </w:tcBorders>
          </w:tcPr>
          <w:p w:rsidR="00B40966" w:rsidRDefault="00B40966">
            <w:pPr>
              <w:pStyle w:val="TableText"/>
              <w:jc w:val="center"/>
              <w:rPr>
                <w:sz w:val="20"/>
              </w:rPr>
            </w:pPr>
            <w:r>
              <w:rPr>
                <w:sz w:val="20"/>
              </w:rPr>
              <w:t>11</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8</w:t>
            </w:r>
          </w:p>
        </w:tc>
        <w:tc>
          <w:tcPr>
            <w:tcW w:w="722" w:type="dxa"/>
          </w:tcPr>
          <w:p w:rsidR="00B40966" w:rsidRDefault="00B40966">
            <w:pPr>
              <w:pStyle w:val="TableText"/>
              <w:jc w:val="center"/>
              <w:rPr>
                <w:sz w:val="20"/>
              </w:rPr>
            </w:pPr>
            <w:r>
              <w:rPr>
                <w:sz w:val="20"/>
              </w:rPr>
              <w:t>3</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86" w:type="dxa"/>
            <w:gridSpan w:val="2"/>
          </w:tcPr>
          <w:p w:rsidR="00B40966" w:rsidRDefault="00B40966">
            <w:pPr>
              <w:pStyle w:val="TableText"/>
              <w:jc w:val="center"/>
              <w:rPr>
                <w:sz w:val="20"/>
              </w:rPr>
            </w:pPr>
            <w:r>
              <w:rPr>
                <w:sz w:val="20"/>
              </w:rPr>
              <w:t>5</w:t>
            </w:r>
          </w:p>
        </w:tc>
      </w:tr>
      <w:tr w:rsidR="00B40966">
        <w:trPr>
          <w:cantSplit/>
          <w:trHeight w:val="200"/>
        </w:trPr>
        <w:tc>
          <w:tcPr>
            <w:tcW w:w="980" w:type="dxa"/>
          </w:tcPr>
          <w:p w:rsidR="00B40966" w:rsidRDefault="00B40966">
            <w:pPr>
              <w:pStyle w:val="TableText"/>
              <w:jc w:val="center"/>
              <w:rPr>
                <w:sz w:val="20"/>
              </w:rPr>
            </w:pPr>
            <w:r>
              <w:rPr>
                <w:sz w:val="20"/>
              </w:rPr>
              <w:t>5</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696" w:type="dxa"/>
            <w:gridSpan w:val="4"/>
          </w:tcPr>
          <w:p w:rsidR="00B40966" w:rsidRDefault="00B40966">
            <w:pPr>
              <w:pStyle w:val="TableText"/>
              <w:jc w:val="center"/>
              <w:rPr>
                <w:sz w:val="20"/>
              </w:rPr>
            </w:pPr>
            <w:r>
              <w:rPr>
                <w:sz w:val="20"/>
              </w:rPr>
              <w:t>8</w:t>
            </w:r>
          </w:p>
        </w:tc>
        <w:tc>
          <w:tcPr>
            <w:tcW w:w="840" w:type="dxa"/>
          </w:tcPr>
          <w:p w:rsidR="00B40966" w:rsidRDefault="00B40966">
            <w:pPr>
              <w:pStyle w:val="TableText"/>
              <w:jc w:val="center"/>
              <w:rPr>
                <w:sz w:val="20"/>
              </w:rPr>
            </w:pPr>
            <w:r>
              <w:rPr>
                <w:sz w:val="20"/>
              </w:rPr>
              <w:t>19</w:t>
            </w:r>
          </w:p>
        </w:tc>
        <w:tc>
          <w:tcPr>
            <w:tcW w:w="600" w:type="dxa"/>
            <w:gridSpan w:val="2"/>
            <w:tcBorders>
              <w:left w:val="single" w:sz="6" w:space="0" w:color="auto"/>
            </w:tcBorders>
          </w:tcPr>
          <w:p w:rsidR="00B40966" w:rsidRDefault="00B40966">
            <w:pPr>
              <w:pStyle w:val="TableText"/>
              <w:jc w:val="center"/>
              <w:rPr>
                <w:sz w:val="20"/>
              </w:rPr>
            </w:pPr>
            <w:r>
              <w:rPr>
                <w:sz w:val="20"/>
              </w:rPr>
              <w:t>17</w:t>
            </w:r>
          </w:p>
        </w:tc>
        <w:tc>
          <w:tcPr>
            <w:tcW w:w="720" w:type="dxa"/>
            <w:gridSpan w:val="2"/>
          </w:tcPr>
          <w:p w:rsidR="00B40966" w:rsidRDefault="00B40966">
            <w:pPr>
              <w:pStyle w:val="TableText"/>
              <w:jc w:val="center"/>
              <w:rPr>
                <w:sz w:val="20"/>
              </w:rPr>
            </w:pPr>
            <w:r>
              <w:rPr>
                <w:sz w:val="20"/>
              </w:rPr>
              <w:t>6</w:t>
            </w:r>
          </w:p>
        </w:tc>
        <w:tc>
          <w:tcPr>
            <w:tcW w:w="752" w:type="dxa"/>
            <w:tcBorders>
              <w:left w:val="single" w:sz="6" w:space="0" w:color="auto"/>
            </w:tcBorders>
          </w:tcPr>
          <w:p w:rsidR="00B40966" w:rsidRDefault="00B40966">
            <w:pPr>
              <w:pStyle w:val="TableText"/>
              <w:jc w:val="center"/>
              <w:rPr>
                <w:sz w:val="20"/>
              </w:rPr>
            </w:pPr>
            <w:r>
              <w:rPr>
                <w:sz w:val="20"/>
              </w:rPr>
              <w:t>15</w:t>
            </w:r>
          </w:p>
        </w:tc>
        <w:tc>
          <w:tcPr>
            <w:tcW w:w="832" w:type="dxa"/>
          </w:tcPr>
          <w:p w:rsidR="00B40966" w:rsidRDefault="00B40966">
            <w:pPr>
              <w:pStyle w:val="TableText"/>
              <w:jc w:val="center"/>
              <w:rPr>
                <w:sz w:val="20"/>
              </w:rPr>
            </w:pPr>
            <w:r>
              <w:rPr>
                <w:sz w:val="20"/>
              </w:rPr>
              <w:t>10</w:t>
            </w:r>
          </w:p>
        </w:tc>
        <w:tc>
          <w:tcPr>
            <w:tcW w:w="768" w:type="dxa"/>
            <w:tcBorders>
              <w:left w:val="single" w:sz="6" w:space="0" w:color="auto"/>
            </w:tcBorders>
          </w:tcPr>
          <w:p w:rsidR="00B40966" w:rsidRDefault="00B40966">
            <w:pPr>
              <w:pStyle w:val="TableText"/>
              <w:jc w:val="center"/>
              <w:rPr>
                <w:sz w:val="20"/>
              </w:rPr>
            </w:pPr>
            <w:r>
              <w:rPr>
                <w:sz w:val="20"/>
              </w:rPr>
              <w:t>12</w:t>
            </w:r>
          </w:p>
        </w:tc>
        <w:tc>
          <w:tcPr>
            <w:tcW w:w="786" w:type="dxa"/>
            <w:gridSpan w:val="2"/>
          </w:tcPr>
          <w:p w:rsidR="00B40966" w:rsidRDefault="00B40966">
            <w:pPr>
              <w:pStyle w:val="TableText"/>
              <w:jc w:val="center"/>
              <w:rPr>
                <w:sz w:val="20"/>
              </w:rPr>
            </w:pPr>
            <w:r>
              <w:rPr>
                <w:sz w:val="20"/>
              </w:rPr>
              <w:t>13</w:t>
            </w:r>
          </w:p>
        </w:tc>
        <w:tc>
          <w:tcPr>
            <w:tcW w:w="760" w:type="dxa"/>
            <w:tcBorders>
              <w:left w:val="single" w:sz="6" w:space="0" w:color="auto"/>
            </w:tcBorders>
          </w:tcPr>
          <w:p w:rsidR="00B40966" w:rsidRDefault="00B40966">
            <w:pPr>
              <w:pStyle w:val="TableText"/>
              <w:jc w:val="center"/>
              <w:rPr>
                <w:sz w:val="20"/>
              </w:rPr>
            </w:pPr>
            <w:r>
              <w:rPr>
                <w:sz w:val="20"/>
              </w:rPr>
              <w:t>8</w:t>
            </w:r>
          </w:p>
        </w:tc>
        <w:tc>
          <w:tcPr>
            <w:tcW w:w="722" w:type="dxa"/>
          </w:tcPr>
          <w:p w:rsidR="00B40966" w:rsidRDefault="00B40966">
            <w:pPr>
              <w:pStyle w:val="TableText"/>
              <w:jc w:val="center"/>
              <w:rPr>
                <w:sz w:val="20"/>
              </w:rPr>
            </w:pPr>
            <w:r>
              <w:rPr>
                <w:sz w:val="20"/>
              </w:rPr>
              <w:t>19</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86" w:type="dxa"/>
            <w:gridSpan w:val="2"/>
          </w:tcPr>
          <w:p w:rsidR="00B40966" w:rsidRDefault="00B40966">
            <w:pPr>
              <w:pStyle w:val="TableText"/>
              <w:jc w:val="center"/>
              <w:rPr>
                <w:sz w:val="20"/>
              </w:rPr>
            </w:pPr>
            <w:r>
              <w:rPr>
                <w:sz w:val="20"/>
              </w:rPr>
              <w:t>13</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696" w:type="dxa"/>
            <w:gridSpan w:val="4"/>
          </w:tcPr>
          <w:p w:rsidR="00B40966" w:rsidRDefault="00B40966">
            <w:pPr>
              <w:pStyle w:val="TableText"/>
              <w:jc w:val="center"/>
              <w:rPr>
                <w:sz w:val="20"/>
              </w:rPr>
            </w:pPr>
            <w:r>
              <w:rPr>
                <w:sz w:val="20"/>
              </w:rPr>
              <w:t>9</w:t>
            </w:r>
          </w:p>
        </w:tc>
        <w:tc>
          <w:tcPr>
            <w:tcW w:w="840" w:type="dxa"/>
          </w:tcPr>
          <w:p w:rsidR="00B40966" w:rsidRDefault="00B40966">
            <w:pPr>
              <w:pStyle w:val="TableText"/>
              <w:jc w:val="center"/>
              <w:rPr>
                <w:sz w:val="20"/>
              </w:rPr>
            </w:pPr>
            <w:r>
              <w:rPr>
                <w:sz w:val="20"/>
              </w:rPr>
              <w:t>15</w:t>
            </w:r>
          </w:p>
        </w:tc>
        <w:tc>
          <w:tcPr>
            <w:tcW w:w="600" w:type="dxa"/>
            <w:gridSpan w:val="2"/>
            <w:tcBorders>
              <w:left w:val="single" w:sz="6" w:space="0" w:color="auto"/>
            </w:tcBorders>
          </w:tcPr>
          <w:p w:rsidR="00B40966" w:rsidRDefault="00B40966">
            <w:pPr>
              <w:pStyle w:val="TableText"/>
              <w:jc w:val="center"/>
              <w:rPr>
                <w:sz w:val="20"/>
              </w:rPr>
            </w:pPr>
            <w:r>
              <w:rPr>
                <w:sz w:val="20"/>
              </w:rPr>
              <w:t>18</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16</w:t>
            </w:r>
          </w:p>
        </w:tc>
        <w:tc>
          <w:tcPr>
            <w:tcW w:w="832" w:type="dxa"/>
          </w:tcPr>
          <w:p w:rsidR="00B40966" w:rsidRDefault="00B40966">
            <w:pPr>
              <w:pStyle w:val="TableText"/>
              <w:jc w:val="center"/>
              <w:rPr>
                <w:sz w:val="20"/>
              </w:rPr>
            </w:pPr>
            <w:r>
              <w:rPr>
                <w:sz w:val="20"/>
              </w:rPr>
              <w:t>18</w:t>
            </w:r>
          </w:p>
        </w:tc>
        <w:tc>
          <w:tcPr>
            <w:tcW w:w="768" w:type="dxa"/>
            <w:tcBorders>
              <w:left w:val="single" w:sz="6" w:space="0" w:color="auto"/>
            </w:tcBorders>
          </w:tcPr>
          <w:p w:rsidR="00B40966" w:rsidRDefault="00B40966">
            <w:pPr>
              <w:pStyle w:val="TableText"/>
              <w:jc w:val="center"/>
              <w:rPr>
                <w:sz w:val="20"/>
              </w:rPr>
            </w:pPr>
            <w:r>
              <w:rPr>
                <w:sz w:val="20"/>
              </w:rPr>
              <w:t>13</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9</w:t>
            </w:r>
          </w:p>
        </w:tc>
        <w:tc>
          <w:tcPr>
            <w:tcW w:w="722" w:type="dxa"/>
          </w:tcPr>
          <w:p w:rsidR="00B40966" w:rsidRDefault="00B40966">
            <w:pPr>
              <w:pStyle w:val="TableText"/>
              <w:jc w:val="center"/>
              <w:rPr>
                <w:sz w:val="20"/>
              </w:rPr>
            </w:pPr>
            <w:r>
              <w:rPr>
                <w:sz w:val="20"/>
              </w:rPr>
              <w:t>15</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86" w:type="dxa"/>
            <w:gridSpan w:val="2"/>
          </w:tcPr>
          <w:p w:rsidR="00B40966" w:rsidRDefault="00B40966">
            <w:pPr>
              <w:pStyle w:val="TableText"/>
              <w:jc w:val="center"/>
              <w:rPr>
                <w:sz w:val="20"/>
              </w:rPr>
            </w:pPr>
            <w:r>
              <w:rPr>
                <w:sz w:val="20"/>
              </w:rPr>
              <w:t>1</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696" w:type="dxa"/>
            <w:gridSpan w:val="4"/>
          </w:tcPr>
          <w:p w:rsidR="00B40966" w:rsidRDefault="00B40966">
            <w:pPr>
              <w:pStyle w:val="TableText"/>
              <w:jc w:val="center"/>
              <w:rPr>
                <w:sz w:val="20"/>
              </w:rPr>
            </w:pPr>
            <w:r>
              <w:rPr>
                <w:sz w:val="20"/>
              </w:rPr>
              <w:t>10</w:t>
            </w:r>
          </w:p>
        </w:tc>
        <w:tc>
          <w:tcPr>
            <w:tcW w:w="840" w:type="dxa"/>
          </w:tcPr>
          <w:p w:rsidR="00B40966" w:rsidRDefault="00B40966">
            <w:pPr>
              <w:pStyle w:val="TableText"/>
              <w:jc w:val="center"/>
              <w:rPr>
                <w:sz w:val="20"/>
              </w:rPr>
            </w:pPr>
            <w:r>
              <w:rPr>
                <w:sz w:val="20"/>
              </w:rPr>
              <w:t>12</w:t>
            </w:r>
          </w:p>
        </w:tc>
        <w:tc>
          <w:tcPr>
            <w:tcW w:w="600" w:type="dxa"/>
            <w:gridSpan w:val="2"/>
            <w:tcBorders>
              <w:left w:val="single" w:sz="6" w:space="0" w:color="auto"/>
            </w:tcBorders>
          </w:tcPr>
          <w:p w:rsidR="00B40966" w:rsidRDefault="00B40966">
            <w:pPr>
              <w:pStyle w:val="TableText"/>
              <w:jc w:val="center"/>
              <w:rPr>
                <w:sz w:val="20"/>
              </w:rPr>
            </w:pPr>
            <w:r>
              <w:rPr>
                <w:sz w:val="20"/>
              </w:rPr>
              <w:t>20</w:t>
            </w:r>
          </w:p>
        </w:tc>
        <w:tc>
          <w:tcPr>
            <w:tcW w:w="720" w:type="dxa"/>
            <w:gridSpan w:val="2"/>
          </w:tcPr>
          <w:p w:rsidR="00B40966" w:rsidRDefault="00B40966">
            <w:pPr>
              <w:pStyle w:val="TableText"/>
              <w:jc w:val="center"/>
              <w:rPr>
                <w:sz w:val="20"/>
              </w:rPr>
            </w:pPr>
            <w:r>
              <w:rPr>
                <w:sz w:val="20"/>
              </w:rPr>
              <w:t>10</w:t>
            </w:r>
          </w:p>
        </w:tc>
        <w:tc>
          <w:tcPr>
            <w:tcW w:w="752" w:type="dxa"/>
            <w:tcBorders>
              <w:left w:val="single" w:sz="6" w:space="0" w:color="auto"/>
            </w:tcBorders>
          </w:tcPr>
          <w:p w:rsidR="00B40966" w:rsidRDefault="00B40966">
            <w:pPr>
              <w:pStyle w:val="TableText"/>
              <w:jc w:val="center"/>
              <w:rPr>
                <w:sz w:val="20"/>
              </w:rPr>
            </w:pPr>
            <w:r>
              <w:rPr>
                <w:sz w:val="20"/>
              </w:rPr>
              <w:t>18</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15</w:t>
            </w:r>
          </w:p>
        </w:tc>
        <w:tc>
          <w:tcPr>
            <w:tcW w:w="786" w:type="dxa"/>
            <w:gridSpan w:val="2"/>
          </w:tcPr>
          <w:p w:rsidR="00B40966" w:rsidRDefault="00B40966">
            <w:pPr>
              <w:pStyle w:val="TableText"/>
              <w:jc w:val="center"/>
              <w:rPr>
                <w:sz w:val="20"/>
              </w:rPr>
            </w:pPr>
            <w:r>
              <w:rPr>
                <w:sz w:val="20"/>
              </w:rPr>
              <w:t>0</w:t>
            </w:r>
          </w:p>
        </w:tc>
        <w:tc>
          <w:tcPr>
            <w:tcW w:w="760" w:type="dxa"/>
            <w:tcBorders>
              <w:left w:val="single" w:sz="6" w:space="0" w:color="auto"/>
            </w:tcBorders>
          </w:tcPr>
          <w:p w:rsidR="00B40966" w:rsidRDefault="00B40966">
            <w:pPr>
              <w:pStyle w:val="TableText"/>
              <w:jc w:val="center"/>
              <w:rPr>
                <w:sz w:val="20"/>
              </w:rPr>
            </w:pPr>
            <w:r>
              <w:rPr>
                <w:sz w:val="20"/>
              </w:rPr>
              <w:t>10</w:t>
            </w:r>
          </w:p>
        </w:tc>
        <w:tc>
          <w:tcPr>
            <w:tcW w:w="722" w:type="dxa"/>
          </w:tcPr>
          <w:p w:rsidR="00B40966" w:rsidRDefault="00B40966">
            <w:pPr>
              <w:pStyle w:val="TableText"/>
              <w:jc w:val="center"/>
              <w:rPr>
                <w:sz w:val="20"/>
              </w:rPr>
            </w:pPr>
            <w:r>
              <w:rPr>
                <w:sz w:val="20"/>
              </w:rPr>
              <w:t>12</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86" w:type="dxa"/>
            <w:gridSpan w:val="2"/>
          </w:tcPr>
          <w:p w:rsidR="00B40966" w:rsidRDefault="00B40966">
            <w:pPr>
              <w:pStyle w:val="TableText"/>
              <w:jc w:val="center"/>
              <w:rPr>
                <w:sz w:val="20"/>
              </w:rPr>
            </w:pPr>
            <w:r>
              <w:rPr>
                <w:sz w:val="20"/>
              </w:rPr>
              <w:t>11</w:t>
            </w:r>
          </w:p>
        </w:tc>
      </w:tr>
      <w:tr w:rsidR="00B40966">
        <w:trPr>
          <w:cantSplit/>
          <w:trHeight w:val="200"/>
        </w:trPr>
        <w:tc>
          <w:tcPr>
            <w:tcW w:w="980"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12" w:type="dxa"/>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696" w:type="dxa"/>
            <w:gridSpan w:val="4"/>
          </w:tcPr>
          <w:p w:rsidR="00B40966" w:rsidRDefault="00B40966">
            <w:pPr>
              <w:pStyle w:val="TableText"/>
              <w:jc w:val="center"/>
              <w:rPr>
                <w:sz w:val="20"/>
              </w:rPr>
            </w:pPr>
            <w:r>
              <w:rPr>
                <w:sz w:val="20"/>
              </w:rPr>
              <w:t>11</w:t>
            </w:r>
          </w:p>
        </w:tc>
        <w:tc>
          <w:tcPr>
            <w:tcW w:w="840" w:type="dxa"/>
          </w:tcPr>
          <w:p w:rsidR="00B40966" w:rsidRDefault="00B40966">
            <w:pPr>
              <w:pStyle w:val="TableText"/>
              <w:jc w:val="center"/>
              <w:rPr>
                <w:sz w:val="20"/>
              </w:rPr>
            </w:pPr>
            <w:r>
              <w:rPr>
                <w:sz w:val="20"/>
              </w:rPr>
              <w:t>16</w:t>
            </w:r>
          </w:p>
        </w:tc>
        <w:tc>
          <w:tcPr>
            <w:tcW w:w="600" w:type="dxa"/>
            <w:gridSpan w:val="2"/>
            <w:tcBorders>
              <w:left w:val="single" w:sz="6" w:space="0" w:color="auto"/>
            </w:tcBorders>
          </w:tcPr>
          <w:p w:rsidR="00B40966" w:rsidRDefault="00B40966">
            <w:pPr>
              <w:pStyle w:val="TableText"/>
              <w:jc w:val="center"/>
              <w:rPr>
                <w:sz w:val="20"/>
              </w:rPr>
            </w:pPr>
            <w:r>
              <w:rPr>
                <w:sz w:val="20"/>
              </w:rPr>
              <w:t>22</w:t>
            </w:r>
          </w:p>
        </w:tc>
        <w:tc>
          <w:tcPr>
            <w:tcW w:w="720" w:type="dxa"/>
            <w:gridSpan w:val="2"/>
          </w:tcPr>
          <w:p w:rsidR="00B40966" w:rsidRDefault="00B40966">
            <w:pPr>
              <w:pStyle w:val="TableText"/>
              <w:jc w:val="center"/>
              <w:rPr>
                <w:sz w:val="20"/>
              </w:rPr>
            </w:pPr>
            <w:r>
              <w:rPr>
                <w:sz w:val="20"/>
              </w:rPr>
              <w:t>16</w:t>
            </w:r>
          </w:p>
        </w:tc>
        <w:tc>
          <w:tcPr>
            <w:tcW w:w="752" w:type="dxa"/>
            <w:tcBorders>
              <w:left w:val="single" w:sz="6" w:space="0" w:color="auto"/>
            </w:tcBorders>
          </w:tcPr>
          <w:p w:rsidR="00B40966" w:rsidRDefault="00B40966">
            <w:pPr>
              <w:pStyle w:val="TableText"/>
              <w:jc w:val="center"/>
              <w:rPr>
                <w:sz w:val="20"/>
              </w:rPr>
            </w:pPr>
            <w:r>
              <w:rPr>
                <w:sz w:val="20"/>
              </w:rPr>
              <w:t>20</w:t>
            </w:r>
          </w:p>
        </w:tc>
        <w:tc>
          <w:tcPr>
            <w:tcW w:w="832" w:type="dxa"/>
          </w:tcPr>
          <w:p w:rsidR="00B40966" w:rsidRDefault="00B40966">
            <w:pPr>
              <w:pStyle w:val="TableText"/>
              <w:jc w:val="center"/>
              <w:rPr>
                <w:sz w:val="20"/>
              </w:rPr>
            </w:pPr>
            <w:r>
              <w:rPr>
                <w:sz w:val="20"/>
              </w:rPr>
              <w:t>9</w:t>
            </w:r>
          </w:p>
        </w:tc>
        <w:tc>
          <w:tcPr>
            <w:tcW w:w="768" w:type="dxa"/>
            <w:tcBorders>
              <w:left w:val="single" w:sz="6" w:space="0" w:color="auto"/>
            </w:tcBorders>
          </w:tcPr>
          <w:p w:rsidR="00B40966" w:rsidRDefault="00B40966">
            <w:pPr>
              <w:pStyle w:val="TableText"/>
              <w:jc w:val="center"/>
              <w:rPr>
                <w:sz w:val="20"/>
              </w:rPr>
            </w:pPr>
            <w:r>
              <w:rPr>
                <w:sz w:val="20"/>
              </w:rPr>
              <w:t>16</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11</w:t>
            </w:r>
          </w:p>
        </w:tc>
        <w:tc>
          <w:tcPr>
            <w:tcW w:w="722" w:type="dxa"/>
          </w:tcPr>
          <w:p w:rsidR="00B40966" w:rsidRDefault="00B40966">
            <w:pPr>
              <w:pStyle w:val="TableText"/>
              <w:jc w:val="center"/>
              <w:rPr>
                <w:sz w:val="20"/>
              </w:rPr>
            </w:pPr>
            <w:r>
              <w:rPr>
                <w:sz w:val="20"/>
              </w:rPr>
              <w:t>16</w:t>
            </w:r>
          </w:p>
        </w:tc>
        <w:tc>
          <w:tcPr>
            <w:tcW w:w="838" w:type="dxa"/>
            <w:gridSpan w:val="2"/>
            <w:tcBorders>
              <w:left w:val="single" w:sz="6" w:space="0" w:color="auto"/>
            </w:tcBorders>
          </w:tcPr>
          <w:p w:rsidR="00B40966" w:rsidRDefault="00B40966">
            <w:pPr>
              <w:pStyle w:val="TableText"/>
              <w:jc w:val="center"/>
              <w:rPr>
                <w:sz w:val="20"/>
              </w:rPr>
            </w:pPr>
            <w:r>
              <w:rPr>
                <w:sz w:val="20"/>
              </w:rPr>
              <w:t>6</w:t>
            </w:r>
          </w:p>
        </w:tc>
        <w:tc>
          <w:tcPr>
            <w:tcW w:w="686" w:type="dxa"/>
            <w:gridSpan w:val="2"/>
          </w:tcPr>
          <w:p w:rsidR="00B40966" w:rsidRDefault="00B40966">
            <w:pPr>
              <w:pStyle w:val="TableText"/>
              <w:jc w:val="center"/>
              <w:rPr>
                <w:sz w:val="20"/>
              </w:rPr>
            </w:pPr>
            <w:r>
              <w:rPr>
                <w:sz w:val="20"/>
              </w:rPr>
              <w:t>2</w:t>
            </w:r>
          </w:p>
        </w:tc>
      </w:tr>
      <w:tr w:rsidR="00B40966">
        <w:trPr>
          <w:cantSplit/>
          <w:trHeight w:val="200"/>
        </w:trPr>
        <w:tc>
          <w:tcPr>
            <w:tcW w:w="980" w:type="dxa"/>
            <w:tcBorders>
              <w:bottom w:val="single" w:sz="6" w:space="0" w:color="auto"/>
            </w:tcBorders>
          </w:tcPr>
          <w:p w:rsidR="00B40966" w:rsidRDefault="00B40966">
            <w:pPr>
              <w:pStyle w:val="TableText"/>
              <w:jc w:val="center"/>
              <w:rPr>
                <w:sz w:val="20"/>
              </w:rPr>
            </w:pPr>
            <w:r>
              <w:rPr>
                <w:sz w:val="20"/>
              </w:rPr>
              <w:t>6</w:t>
            </w:r>
          </w:p>
        </w:tc>
        <w:tc>
          <w:tcPr>
            <w:tcW w:w="912" w:type="dxa"/>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696" w:type="dxa"/>
            <w:gridSpan w:val="4"/>
            <w:tcBorders>
              <w:bottom w:val="single" w:sz="6" w:space="0" w:color="auto"/>
            </w:tcBorders>
          </w:tcPr>
          <w:p w:rsidR="00B40966" w:rsidRDefault="00B40966">
            <w:pPr>
              <w:pStyle w:val="TableText"/>
              <w:jc w:val="center"/>
              <w:rPr>
                <w:sz w:val="20"/>
              </w:rPr>
            </w:pPr>
            <w:r>
              <w:rPr>
                <w:sz w:val="20"/>
              </w:rPr>
              <w:t>12</w:t>
            </w:r>
          </w:p>
        </w:tc>
        <w:tc>
          <w:tcPr>
            <w:tcW w:w="840" w:type="dxa"/>
            <w:tcBorders>
              <w:bottom w:val="single" w:sz="6" w:space="0" w:color="auto"/>
            </w:tcBorders>
          </w:tcPr>
          <w:p w:rsidR="00B40966" w:rsidRDefault="00B40966">
            <w:pPr>
              <w:pStyle w:val="TableText"/>
              <w:jc w:val="center"/>
              <w:rPr>
                <w:sz w:val="20"/>
              </w:rPr>
            </w:pPr>
            <w:r>
              <w:rPr>
                <w:sz w:val="20"/>
              </w:rPr>
              <w:t>15</w:t>
            </w:r>
          </w:p>
        </w:tc>
        <w:tc>
          <w:tcPr>
            <w:tcW w:w="600" w:type="dxa"/>
            <w:gridSpan w:val="2"/>
            <w:tcBorders>
              <w:left w:val="single" w:sz="6" w:space="0" w:color="auto"/>
              <w:bottom w:val="single" w:sz="6" w:space="0" w:color="auto"/>
            </w:tcBorders>
          </w:tcPr>
          <w:p w:rsidR="00B40966" w:rsidRDefault="00B40966">
            <w:pPr>
              <w:pStyle w:val="TableText"/>
              <w:jc w:val="center"/>
              <w:rPr>
                <w:sz w:val="20"/>
              </w:rPr>
            </w:pPr>
            <w:r>
              <w:rPr>
                <w:sz w:val="20"/>
              </w:rPr>
              <w:t>24</w:t>
            </w:r>
          </w:p>
        </w:tc>
        <w:tc>
          <w:tcPr>
            <w:tcW w:w="720" w:type="dxa"/>
            <w:gridSpan w:val="2"/>
            <w:tcBorders>
              <w:bottom w:val="single" w:sz="6" w:space="0" w:color="auto"/>
            </w:tcBorders>
          </w:tcPr>
          <w:p w:rsidR="00B40966" w:rsidRDefault="00B40966">
            <w:pPr>
              <w:pStyle w:val="TableText"/>
              <w:jc w:val="center"/>
              <w:rPr>
                <w:sz w:val="20"/>
              </w:rPr>
            </w:pPr>
            <w:r>
              <w:rPr>
                <w:sz w:val="20"/>
              </w:rPr>
              <w:t>12</w:t>
            </w:r>
          </w:p>
        </w:tc>
        <w:tc>
          <w:tcPr>
            <w:tcW w:w="752" w:type="dxa"/>
            <w:tcBorders>
              <w:left w:val="single" w:sz="6" w:space="0" w:color="auto"/>
              <w:bottom w:val="single" w:sz="6" w:space="0" w:color="auto"/>
            </w:tcBorders>
          </w:tcPr>
          <w:p w:rsidR="00B40966" w:rsidRDefault="00B40966">
            <w:pPr>
              <w:pStyle w:val="TableText"/>
              <w:jc w:val="center"/>
              <w:rPr>
                <w:sz w:val="20"/>
              </w:rPr>
            </w:pPr>
            <w:r>
              <w:rPr>
                <w:sz w:val="20"/>
              </w:rPr>
              <w:t>22</w:t>
            </w:r>
          </w:p>
        </w:tc>
        <w:tc>
          <w:tcPr>
            <w:tcW w:w="832" w:type="dxa"/>
            <w:tcBorders>
              <w:bottom w:val="single" w:sz="6" w:space="0" w:color="auto"/>
            </w:tcBorders>
          </w:tcPr>
          <w:p w:rsidR="00B40966" w:rsidRDefault="00B40966">
            <w:pPr>
              <w:pStyle w:val="TableText"/>
              <w:jc w:val="center"/>
              <w:rPr>
                <w:sz w:val="20"/>
              </w:rPr>
            </w:pPr>
            <w:r>
              <w:rPr>
                <w:sz w:val="20"/>
              </w:rPr>
              <w:t>2</w:t>
            </w:r>
          </w:p>
        </w:tc>
        <w:tc>
          <w:tcPr>
            <w:tcW w:w="768" w:type="dxa"/>
            <w:tcBorders>
              <w:left w:val="single" w:sz="6" w:space="0" w:color="auto"/>
              <w:bottom w:val="single" w:sz="6" w:space="0" w:color="auto"/>
            </w:tcBorders>
          </w:tcPr>
          <w:p w:rsidR="00B40966" w:rsidRDefault="00B40966">
            <w:pPr>
              <w:pStyle w:val="TableText"/>
              <w:jc w:val="center"/>
              <w:rPr>
                <w:sz w:val="20"/>
              </w:rPr>
            </w:pPr>
            <w:r>
              <w:rPr>
                <w:sz w:val="20"/>
              </w:rPr>
              <w:t>18</w:t>
            </w:r>
          </w:p>
        </w:tc>
        <w:tc>
          <w:tcPr>
            <w:tcW w:w="786" w:type="dxa"/>
            <w:gridSpan w:val="2"/>
            <w:tcBorders>
              <w:bottom w:val="single" w:sz="6" w:space="0" w:color="auto"/>
            </w:tcBorders>
          </w:tcPr>
          <w:p w:rsidR="00B40966" w:rsidRDefault="00B40966">
            <w:pPr>
              <w:pStyle w:val="TableText"/>
              <w:jc w:val="center"/>
              <w:rPr>
                <w:sz w:val="20"/>
              </w:rPr>
            </w:pPr>
            <w:r>
              <w:rPr>
                <w:sz w:val="20"/>
              </w:rPr>
              <w:t>1</w:t>
            </w:r>
          </w:p>
        </w:tc>
        <w:tc>
          <w:tcPr>
            <w:tcW w:w="760" w:type="dxa"/>
            <w:tcBorders>
              <w:left w:val="single" w:sz="6" w:space="0" w:color="auto"/>
              <w:bottom w:val="single" w:sz="6" w:space="0" w:color="auto"/>
            </w:tcBorders>
          </w:tcPr>
          <w:p w:rsidR="00B40966" w:rsidRDefault="00B40966">
            <w:pPr>
              <w:pStyle w:val="TableText"/>
              <w:jc w:val="center"/>
              <w:rPr>
                <w:sz w:val="20"/>
              </w:rPr>
            </w:pPr>
            <w:r>
              <w:rPr>
                <w:sz w:val="20"/>
              </w:rPr>
              <w:t>12</w:t>
            </w:r>
          </w:p>
        </w:tc>
        <w:tc>
          <w:tcPr>
            <w:tcW w:w="722" w:type="dxa"/>
            <w:tcBorders>
              <w:bottom w:val="single" w:sz="6" w:space="0" w:color="auto"/>
            </w:tcBorders>
          </w:tcPr>
          <w:p w:rsidR="00B40966" w:rsidRDefault="00B40966">
            <w:pPr>
              <w:pStyle w:val="TableText"/>
              <w:jc w:val="center"/>
              <w:rPr>
                <w:sz w:val="20"/>
              </w:rPr>
            </w:pPr>
            <w:r>
              <w:rPr>
                <w:sz w:val="20"/>
              </w:rPr>
              <w:t>15</w:t>
            </w:r>
          </w:p>
        </w:tc>
        <w:tc>
          <w:tcPr>
            <w:tcW w:w="838" w:type="dxa"/>
            <w:gridSpan w:val="2"/>
            <w:tcBorders>
              <w:left w:val="single" w:sz="6" w:space="0" w:color="auto"/>
              <w:bottom w:val="single" w:sz="6" w:space="0" w:color="auto"/>
            </w:tcBorders>
          </w:tcPr>
          <w:p w:rsidR="00B40966" w:rsidRDefault="00B40966">
            <w:pPr>
              <w:pStyle w:val="TableText"/>
              <w:jc w:val="center"/>
              <w:rPr>
                <w:sz w:val="20"/>
              </w:rPr>
            </w:pPr>
            <w:r>
              <w:rPr>
                <w:sz w:val="20"/>
              </w:rPr>
              <w:t>6</w:t>
            </w:r>
          </w:p>
        </w:tc>
        <w:tc>
          <w:tcPr>
            <w:tcW w:w="686" w:type="dxa"/>
            <w:gridSpan w:val="2"/>
            <w:tcBorders>
              <w:bottom w:val="single" w:sz="6" w:space="0" w:color="auto"/>
            </w:tcBorders>
          </w:tcPr>
          <w:p w:rsidR="00B40966" w:rsidRDefault="00B40966">
            <w:pPr>
              <w:pStyle w:val="TableText"/>
              <w:jc w:val="center"/>
              <w:rPr>
                <w:sz w:val="20"/>
              </w:rPr>
            </w:pPr>
            <w:r>
              <w:rPr>
                <w:sz w:val="20"/>
              </w:rPr>
              <w:t>12</w:t>
            </w:r>
          </w:p>
        </w:tc>
      </w:tr>
    </w:tbl>
    <w:p w:rsidR="00B40966" w:rsidRDefault="00B40966"/>
    <w:p w:rsidR="00B40966" w:rsidRDefault="00B40966">
      <w:pPr>
        <w:pStyle w:val="TableHd"/>
      </w:pPr>
      <w:r>
        <w:t>Maximum safe working load for steel wire rope—Classification 1</w:t>
      </w:r>
    </w:p>
    <w:p w:rsidR="00B40966" w:rsidRDefault="00B40966">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32"/>
        <w:gridCol w:w="816"/>
        <w:gridCol w:w="600"/>
        <w:gridCol w:w="708"/>
        <w:gridCol w:w="12"/>
        <w:gridCol w:w="752"/>
        <w:gridCol w:w="820"/>
        <w:gridCol w:w="12"/>
        <w:gridCol w:w="768"/>
        <w:gridCol w:w="780"/>
        <w:gridCol w:w="6"/>
        <w:gridCol w:w="760"/>
        <w:gridCol w:w="722"/>
        <w:gridCol w:w="12"/>
        <w:gridCol w:w="826"/>
        <w:gridCol w:w="654"/>
        <w:gridCol w:w="12"/>
      </w:tblGrid>
      <w:tr w:rsidR="00B40966">
        <w:trPr>
          <w:gridAfter w:val="1"/>
          <w:wAfter w:w="12" w:type="dxa"/>
          <w:cantSplit/>
          <w:tblHeader/>
        </w:trPr>
        <w:tc>
          <w:tcPr>
            <w:tcW w:w="984" w:type="dxa"/>
            <w:gridSpan w:val="2"/>
            <w:tcBorders>
              <w:top w:val="single" w:sz="6" w:space="0" w:color="auto"/>
              <w:right w:val="single" w:sz="6" w:space="0" w:color="auto"/>
            </w:tcBorders>
          </w:tcPr>
          <w:p w:rsidR="00B40966" w:rsidRDefault="00B40966">
            <w:pPr>
              <w:pStyle w:val="TableColHd"/>
              <w:jc w:val="center"/>
            </w:pPr>
          </w:p>
        </w:tc>
        <w:tc>
          <w:tcPr>
            <w:tcW w:w="924" w:type="dxa"/>
            <w:gridSpan w:val="2"/>
            <w:tcBorders>
              <w:top w:val="single" w:sz="6" w:space="0" w:color="auto"/>
              <w:right w:val="single" w:sz="6" w:space="0" w:color="auto"/>
            </w:tcBorders>
          </w:tcPr>
          <w:p w:rsidR="00B40966" w:rsidRDefault="00B40966">
            <w:pPr>
              <w:pStyle w:val="TableColHd"/>
              <w:jc w:val="center"/>
            </w:pPr>
          </w:p>
        </w:tc>
        <w:tc>
          <w:tcPr>
            <w:tcW w:w="579" w:type="dxa"/>
            <w:tcBorders>
              <w:top w:val="single" w:sz="6" w:space="0" w:color="auto"/>
            </w:tcBorders>
          </w:tcPr>
          <w:p w:rsidR="00B40966" w:rsidRDefault="00B40966">
            <w:pPr>
              <w:pStyle w:val="TableColHd"/>
              <w:jc w:val="center"/>
            </w:pPr>
          </w:p>
        </w:tc>
        <w:tc>
          <w:tcPr>
            <w:tcW w:w="941" w:type="dxa"/>
            <w:gridSpan w:val="3"/>
            <w:tcBorders>
              <w:top w:val="single" w:sz="6" w:space="0" w:color="auto"/>
            </w:tcBorders>
          </w:tcPr>
          <w:p w:rsidR="00B40966" w:rsidRDefault="00B40966">
            <w:pPr>
              <w:pStyle w:val="TableColHd"/>
              <w:jc w:val="center"/>
            </w:pPr>
          </w:p>
        </w:tc>
        <w:tc>
          <w:tcPr>
            <w:tcW w:w="7428" w:type="dxa"/>
            <w:gridSpan w:val="14"/>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gridAfter w:val="1"/>
          <w:wAfter w:w="12" w:type="dxa"/>
          <w:cantSplit/>
          <w:tblHeader/>
        </w:trPr>
        <w:tc>
          <w:tcPr>
            <w:tcW w:w="984" w:type="dxa"/>
            <w:gridSpan w:val="2"/>
            <w:tcBorders>
              <w:right w:val="single" w:sz="6" w:space="0" w:color="auto"/>
            </w:tcBorders>
            <w:vAlign w:val="bottom"/>
          </w:tcPr>
          <w:p w:rsidR="00B40966" w:rsidRDefault="00B40966">
            <w:pPr>
              <w:pStyle w:val="TableColHd"/>
            </w:pPr>
            <w:r>
              <w:t>circum-</w:t>
            </w:r>
            <w:r>
              <w:br/>
              <w:t>ference</w:t>
            </w:r>
            <w:r>
              <w:br/>
              <w:t>of rope</w:t>
            </w:r>
          </w:p>
        </w:tc>
        <w:tc>
          <w:tcPr>
            <w:tcW w:w="924" w:type="dxa"/>
            <w:gridSpan w:val="2"/>
            <w:tcBorders>
              <w:right w:val="single" w:sz="6" w:space="0" w:color="auto"/>
            </w:tcBorders>
            <w:vAlign w:val="bottom"/>
          </w:tcPr>
          <w:p w:rsidR="00B40966" w:rsidRDefault="00B40966">
            <w:pPr>
              <w:pStyle w:val="TableColHd"/>
            </w:pPr>
            <w:r>
              <w:t>approx.</w:t>
            </w:r>
            <w:r>
              <w:br/>
              <w:t>diameter</w:t>
            </w:r>
            <w:r>
              <w:br/>
              <w:t>of rope</w:t>
            </w:r>
          </w:p>
        </w:tc>
        <w:tc>
          <w:tcPr>
            <w:tcW w:w="1520" w:type="dxa"/>
            <w:gridSpan w:val="4"/>
            <w:vAlign w:val="bottom"/>
          </w:tcPr>
          <w:p w:rsidR="00B40966" w:rsidRDefault="00B40966">
            <w:pPr>
              <w:pStyle w:val="TableColHd"/>
            </w:pPr>
            <w:r>
              <w:t>safe load for 1 single fall (part) of rope</w:t>
            </w:r>
          </w:p>
        </w:tc>
        <w:tc>
          <w:tcPr>
            <w:tcW w:w="1320" w:type="dxa"/>
            <w:gridSpan w:val="3"/>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3"/>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B40966" w:rsidRDefault="00DA6E8C">
            <w:pPr>
              <w:rPr>
                <w:color w:val="000000"/>
                <w:sz w:val="18"/>
              </w:rPr>
            </w:pPr>
            <w:r>
              <w:rPr>
                <w:noProof/>
                <w:color w:val="000000"/>
                <w:sz w:val="20"/>
                <w:lang w:eastAsia="en-AU"/>
              </w:rPr>
              <w:drawing>
                <wp:inline distT="0" distB="0" distL="0" distR="0">
                  <wp:extent cx="790575" cy="52387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2"/>
            <w:tcBorders>
              <w:top w:val="single" w:sz="6" w:space="0" w:color="auto"/>
              <w:bottom w:val="single" w:sz="6" w:space="0" w:color="auto"/>
            </w:tcBorders>
            <w:vAlign w:val="bottom"/>
          </w:tcPr>
          <w:p w:rsidR="00B40966" w:rsidRDefault="00B40966">
            <w:pPr>
              <w:pStyle w:val="TableColHd"/>
              <w:spacing w:after="0"/>
              <w:jc w:val="center"/>
            </w:pPr>
            <w:r>
              <w:t>tons</w:t>
            </w:r>
          </w:p>
        </w:tc>
        <w:tc>
          <w:tcPr>
            <w:tcW w:w="848"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600"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08"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32" w:type="dxa"/>
            <w:gridSpan w:val="2"/>
            <w:tcBorders>
              <w:top w:val="single" w:sz="6" w:space="0" w:color="auto"/>
              <w:bottom w:val="single" w:sz="6" w:space="0" w:color="auto"/>
            </w:tcBorders>
            <w:vAlign w:val="bottom"/>
          </w:tcPr>
          <w:p w:rsidR="00B40966" w:rsidRDefault="00B40966">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8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826"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68" w:type="dxa"/>
            <w:tcBorders>
              <w:top w:val="single" w:sz="6" w:space="0" w:color="auto"/>
              <w:right w:val="single" w:sz="6" w:space="0" w:color="auto"/>
            </w:tcBorders>
          </w:tcPr>
          <w:p w:rsidR="00B40966" w:rsidRDefault="00B40966">
            <w:pPr>
              <w:pStyle w:val="TableText"/>
              <w:jc w:val="center"/>
              <w:rPr>
                <w:sz w:val="20"/>
              </w:rPr>
            </w:pPr>
            <w:r>
              <w:rPr>
                <w:sz w:val="20"/>
              </w:rPr>
              <w:t>1</w:t>
            </w:r>
          </w:p>
        </w:tc>
        <w:tc>
          <w:tcPr>
            <w:tcW w:w="924" w:type="dxa"/>
            <w:gridSpan w:val="2"/>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720" w:type="dxa"/>
            <w:gridSpan w:val="4"/>
            <w:tcBorders>
              <w:top w:val="single" w:sz="6" w:space="0" w:color="auto"/>
            </w:tcBorders>
          </w:tcPr>
          <w:p w:rsidR="00B40966" w:rsidRDefault="00B40966">
            <w:pPr>
              <w:pStyle w:val="TableText"/>
              <w:jc w:val="center"/>
              <w:rPr>
                <w:sz w:val="20"/>
              </w:rPr>
            </w:pPr>
            <w:r>
              <w:rPr>
                <w:sz w:val="20"/>
              </w:rPr>
              <w:t>0</w:t>
            </w:r>
          </w:p>
        </w:tc>
        <w:tc>
          <w:tcPr>
            <w:tcW w:w="816" w:type="dxa"/>
            <w:tcBorders>
              <w:top w:val="single" w:sz="6" w:space="0" w:color="auto"/>
            </w:tcBorders>
          </w:tcPr>
          <w:p w:rsidR="00B40966" w:rsidRDefault="00B40966">
            <w:pPr>
              <w:pStyle w:val="TableText"/>
              <w:jc w:val="center"/>
              <w:rPr>
                <w:sz w:val="20"/>
              </w:rPr>
            </w:pPr>
            <w:r>
              <w:rPr>
                <w:sz w:val="20"/>
              </w:rPr>
              <w:t>8</w:t>
            </w:r>
            <w:r>
              <w:rPr>
                <w:position w:val="4"/>
                <w:sz w:val="20"/>
              </w:rPr>
              <w:t>1</w:t>
            </w:r>
            <w:r>
              <w:rPr>
                <w:sz w:val="20"/>
              </w:rPr>
              <w:t>/2</w:t>
            </w:r>
          </w:p>
        </w:tc>
        <w:tc>
          <w:tcPr>
            <w:tcW w:w="60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0" w:type="dxa"/>
            <w:gridSpan w:val="2"/>
            <w:tcBorders>
              <w:top w:val="single" w:sz="6" w:space="0" w:color="auto"/>
            </w:tcBorders>
          </w:tcPr>
          <w:p w:rsidR="00B40966" w:rsidRDefault="00B40966">
            <w:pPr>
              <w:pStyle w:val="TableText"/>
              <w:jc w:val="center"/>
              <w:rPr>
                <w:sz w:val="20"/>
              </w:rPr>
            </w:pPr>
            <w:r>
              <w:rPr>
                <w:sz w:val="20"/>
              </w:rPr>
              <w:t>16</w:t>
            </w:r>
          </w:p>
        </w:tc>
        <w:tc>
          <w:tcPr>
            <w:tcW w:w="752"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820" w:type="dxa"/>
            <w:tcBorders>
              <w:top w:val="single" w:sz="6" w:space="0" w:color="auto"/>
            </w:tcBorders>
          </w:tcPr>
          <w:p w:rsidR="00B40966" w:rsidRDefault="00B40966">
            <w:pPr>
              <w:pStyle w:val="TableText"/>
              <w:jc w:val="center"/>
              <w:rPr>
                <w:sz w:val="20"/>
              </w:rPr>
            </w:pPr>
            <w:r>
              <w:rPr>
                <w:sz w:val="20"/>
              </w:rPr>
              <w:t>15</w:t>
            </w:r>
          </w:p>
        </w:tc>
        <w:tc>
          <w:tcPr>
            <w:tcW w:w="780"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786" w:type="dxa"/>
            <w:gridSpan w:val="2"/>
            <w:tcBorders>
              <w:top w:val="single" w:sz="6" w:space="0" w:color="auto"/>
            </w:tcBorders>
          </w:tcPr>
          <w:p w:rsidR="00B40966" w:rsidRDefault="00B40966">
            <w:pPr>
              <w:pStyle w:val="TableText"/>
              <w:jc w:val="center"/>
              <w:rPr>
                <w:sz w:val="20"/>
              </w:rPr>
            </w:pPr>
            <w:r>
              <w:rPr>
                <w:sz w:val="20"/>
              </w:rPr>
              <w:t>12</w:t>
            </w:r>
          </w:p>
        </w:tc>
        <w:tc>
          <w:tcPr>
            <w:tcW w:w="76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2" w:type="dxa"/>
            <w:tcBorders>
              <w:top w:val="single" w:sz="6" w:space="0" w:color="auto"/>
              <w:right w:val="single" w:sz="6" w:space="0" w:color="auto"/>
            </w:tcBorders>
          </w:tcPr>
          <w:p w:rsidR="00B40966" w:rsidRDefault="00B40966">
            <w:pPr>
              <w:pStyle w:val="TableText"/>
              <w:jc w:val="center"/>
              <w:rPr>
                <w:sz w:val="20"/>
              </w:rPr>
            </w:pPr>
            <w:r>
              <w:rPr>
                <w:sz w:val="20"/>
              </w:rPr>
              <w:t>8</w:t>
            </w:r>
            <w:r>
              <w:rPr>
                <w:position w:val="4"/>
                <w:sz w:val="20"/>
              </w:rPr>
              <w:t>1</w:t>
            </w:r>
            <w:r>
              <w:rPr>
                <w:sz w:val="20"/>
              </w:rPr>
              <w:t>/2</w:t>
            </w:r>
          </w:p>
        </w:tc>
        <w:tc>
          <w:tcPr>
            <w:tcW w:w="838" w:type="dxa"/>
            <w:gridSpan w:val="2"/>
            <w:tcBorders>
              <w:top w:val="single" w:sz="6" w:space="0" w:color="auto"/>
            </w:tcBorders>
          </w:tcPr>
          <w:p w:rsidR="00B40966" w:rsidRDefault="00B40966">
            <w:pPr>
              <w:pStyle w:val="TableText"/>
              <w:jc w:val="center"/>
              <w:rPr>
                <w:sz w:val="20"/>
              </w:rPr>
            </w:pPr>
            <w:r>
              <w:rPr>
                <w:sz w:val="20"/>
              </w:rPr>
              <w:t>0</w:t>
            </w:r>
          </w:p>
        </w:tc>
        <w:tc>
          <w:tcPr>
            <w:tcW w:w="662" w:type="dxa"/>
            <w:gridSpan w:val="2"/>
            <w:tcBorders>
              <w:top w:val="single" w:sz="6" w:space="0" w:color="auto"/>
            </w:tcBorders>
          </w:tcPr>
          <w:p w:rsidR="00B40966" w:rsidRDefault="00B40966">
            <w:pPr>
              <w:pStyle w:val="TableText"/>
              <w:jc w:val="center"/>
              <w:rPr>
                <w:sz w:val="20"/>
              </w:rPr>
            </w:pPr>
            <w:r>
              <w:rPr>
                <w:sz w:val="20"/>
              </w:rPr>
              <w:t>4</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720" w:type="dxa"/>
            <w:gridSpan w:val="4"/>
          </w:tcPr>
          <w:p w:rsidR="00B40966" w:rsidRDefault="00B40966">
            <w:pPr>
              <w:pStyle w:val="TableText"/>
              <w:jc w:val="center"/>
              <w:rPr>
                <w:sz w:val="20"/>
              </w:rPr>
            </w:pPr>
            <w:r>
              <w:rPr>
                <w:sz w:val="20"/>
              </w:rPr>
              <w:t>0</w:t>
            </w:r>
          </w:p>
        </w:tc>
        <w:tc>
          <w:tcPr>
            <w:tcW w:w="816" w:type="dxa"/>
          </w:tcPr>
          <w:p w:rsidR="00B40966" w:rsidRDefault="00B40966">
            <w:pPr>
              <w:pStyle w:val="TableText"/>
              <w:jc w:val="center"/>
              <w:rPr>
                <w:sz w:val="20"/>
              </w:rPr>
            </w:pPr>
            <w:r>
              <w:rPr>
                <w:sz w:val="20"/>
              </w:rPr>
              <w:t>11</w:t>
            </w:r>
            <w:r>
              <w:rPr>
                <w:position w:val="4"/>
                <w:sz w:val="20"/>
              </w:rPr>
              <w:t>1</w:t>
            </w:r>
            <w:r>
              <w:rPr>
                <w:sz w:val="20"/>
              </w:rPr>
              <w:t>/2</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2</w:t>
            </w:r>
          </w:p>
        </w:tc>
        <w:tc>
          <w:tcPr>
            <w:tcW w:w="752" w:type="dxa"/>
            <w:tcBorders>
              <w:left w:val="single" w:sz="6" w:space="0" w:color="auto"/>
            </w:tcBorders>
          </w:tcPr>
          <w:p w:rsidR="00B40966" w:rsidRDefault="00B40966">
            <w:pPr>
              <w:pStyle w:val="TableText"/>
              <w:jc w:val="center"/>
              <w:rPr>
                <w:sz w:val="20"/>
              </w:rPr>
            </w:pPr>
            <w:r>
              <w:rPr>
                <w:sz w:val="20"/>
              </w:rPr>
              <w:t>1</w:t>
            </w:r>
          </w:p>
        </w:tc>
        <w:tc>
          <w:tcPr>
            <w:tcW w:w="820" w:type="dxa"/>
          </w:tcPr>
          <w:p w:rsidR="00B40966" w:rsidRDefault="00B40966">
            <w:pPr>
              <w:pStyle w:val="TableText"/>
              <w:jc w:val="center"/>
              <w:rPr>
                <w:sz w:val="20"/>
              </w:rPr>
            </w:pPr>
            <w:r>
              <w:rPr>
                <w:sz w:val="20"/>
              </w:rPr>
              <w:t>0</w:t>
            </w:r>
          </w:p>
        </w:tc>
        <w:tc>
          <w:tcPr>
            <w:tcW w:w="780"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16</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11</w:t>
            </w:r>
            <w:r>
              <w:rPr>
                <w:position w:val="4"/>
                <w:sz w:val="20"/>
              </w:rPr>
              <w:t>1</w:t>
            </w:r>
            <w:r>
              <w:rPr>
                <w:sz w:val="20"/>
              </w:rPr>
              <w:t>/2</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6</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720" w:type="dxa"/>
            <w:gridSpan w:val="4"/>
          </w:tcPr>
          <w:p w:rsidR="00B40966" w:rsidRDefault="00B40966">
            <w:pPr>
              <w:pStyle w:val="TableText"/>
              <w:jc w:val="center"/>
              <w:rPr>
                <w:sz w:val="20"/>
              </w:rPr>
            </w:pPr>
            <w:r>
              <w:rPr>
                <w:sz w:val="20"/>
              </w:rPr>
              <w:t>0</w:t>
            </w:r>
          </w:p>
        </w:tc>
        <w:tc>
          <w:tcPr>
            <w:tcW w:w="816" w:type="dxa"/>
          </w:tcPr>
          <w:p w:rsidR="00B40966" w:rsidRDefault="00B40966">
            <w:pPr>
              <w:pStyle w:val="TableText"/>
              <w:jc w:val="center"/>
              <w:rPr>
                <w:sz w:val="20"/>
              </w:rPr>
            </w:pPr>
            <w:r>
              <w:rPr>
                <w:sz w:val="20"/>
              </w:rPr>
              <w:t>13</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5</w:t>
            </w:r>
          </w:p>
        </w:tc>
        <w:tc>
          <w:tcPr>
            <w:tcW w:w="752" w:type="dxa"/>
            <w:tcBorders>
              <w:left w:val="single" w:sz="6" w:space="0" w:color="auto"/>
            </w:tcBorders>
          </w:tcPr>
          <w:p w:rsidR="00B40966" w:rsidRDefault="00B40966">
            <w:pPr>
              <w:pStyle w:val="TableText"/>
              <w:jc w:val="center"/>
              <w:rPr>
                <w:sz w:val="20"/>
              </w:rPr>
            </w:pPr>
            <w:r>
              <w:rPr>
                <w:sz w:val="20"/>
              </w:rPr>
              <w:t>1</w:t>
            </w:r>
          </w:p>
        </w:tc>
        <w:tc>
          <w:tcPr>
            <w:tcW w:w="820" w:type="dxa"/>
          </w:tcPr>
          <w:p w:rsidR="00B40966" w:rsidRDefault="00B40966">
            <w:pPr>
              <w:pStyle w:val="TableText"/>
              <w:jc w:val="center"/>
              <w:rPr>
                <w:sz w:val="20"/>
              </w:rPr>
            </w:pPr>
            <w:r>
              <w:rPr>
                <w:sz w:val="20"/>
              </w:rPr>
              <w:t>2</w:t>
            </w:r>
            <w:r>
              <w:rPr>
                <w:position w:val="4"/>
                <w:sz w:val="20"/>
              </w:rPr>
              <w:t>1</w:t>
            </w:r>
            <w:r>
              <w:rPr>
                <w:sz w:val="20"/>
              </w:rPr>
              <w:t>/2</w:t>
            </w:r>
          </w:p>
        </w:tc>
        <w:tc>
          <w:tcPr>
            <w:tcW w:w="780" w:type="dxa"/>
            <w:gridSpan w:val="2"/>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13</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7</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720" w:type="dxa"/>
            <w:gridSpan w:val="4"/>
          </w:tcPr>
          <w:p w:rsidR="00B40966" w:rsidRDefault="00B40966">
            <w:pPr>
              <w:pStyle w:val="TableText"/>
              <w:jc w:val="center"/>
              <w:rPr>
                <w:sz w:val="20"/>
              </w:rPr>
            </w:pPr>
            <w:r>
              <w:rPr>
                <w:sz w:val="20"/>
              </w:rPr>
              <w:t>0</w:t>
            </w:r>
          </w:p>
        </w:tc>
        <w:tc>
          <w:tcPr>
            <w:tcW w:w="816" w:type="dxa"/>
          </w:tcPr>
          <w:p w:rsidR="00B40966" w:rsidRDefault="00B40966">
            <w:pPr>
              <w:pStyle w:val="TableText"/>
              <w:jc w:val="center"/>
              <w:rPr>
                <w:sz w:val="20"/>
              </w:rPr>
            </w:pPr>
            <w:r>
              <w:rPr>
                <w:sz w:val="20"/>
              </w:rPr>
              <w:t>15</w:t>
            </w:r>
            <w:r>
              <w:rPr>
                <w:position w:val="4"/>
                <w:sz w:val="20"/>
              </w:rPr>
              <w:t>1</w:t>
            </w:r>
            <w:r>
              <w:rPr>
                <w:sz w:val="20"/>
              </w:rPr>
              <w:t>/2</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10</w:t>
            </w:r>
          </w:p>
        </w:tc>
        <w:tc>
          <w:tcPr>
            <w:tcW w:w="752" w:type="dxa"/>
            <w:tcBorders>
              <w:left w:val="single" w:sz="6" w:space="0" w:color="auto"/>
            </w:tcBorders>
          </w:tcPr>
          <w:p w:rsidR="00B40966" w:rsidRDefault="00B40966">
            <w:pPr>
              <w:pStyle w:val="TableText"/>
              <w:jc w:val="center"/>
              <w:rPr>
                <w:sz w:val="20"/>
              </w:rPr>
            </w:pPr>
            <w:r>
              <w:rPr>
                <w:sz w:val="20"/>
              </w:rPr>
              <w:t>1</w:t>
            </w:r>
          </w:p>
        </w:tc>
        <w:tc>
          <w:tcPr>
            <w:tcW w:w="820" w:type="dxa"/>
          </w:tcPr>
          <w:p w:rsidR="00B40966" w:rsidRDefault="00B40966">
            <w:pPr>
              <w:pStyle w:val="TableText"/>
              <w:jc w:val="center"/>
              <w:rPr>
                <w:sz w:val="20"/>
              </w:rPr>
            </w:pPr>
            <w:r>
              <w:rPr>
                <w:sz w:val="20"/>
              </w:rPr>
              <w:t>7</w:t>
            </w:r>
          </w:p>
        </w:tc>
        <w:tc>
          <w:tcPr>
            <w:tcW w:w="780"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15</w:t>
            </w:r>
            <w:r>
              <w:rPr>
                <w:position w:val="4"/>
                <w:sz w:val="20"/>
              </w:rPr>
              <w:t>1</w:t>
            </w:r>
            <w:r>
              <w:rPr>
                <w:sz w:val="20"/>
              </w:rPr>
              <w:t>/2</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720" w:type="dxa"/>
            <w:gridSpan w:val="4"/>
          </w:tcPr>
          <w:p w:rsidR="00B40966" w:rsidRDefault="00B40966">
            <w:pPr>
              <w:pStyle w:val="TableText"/>
              <w:jc w:val="center"/>
              <w:rPr>
                <w:sz w:val="20"/>
              </w:rPr>
            </w:pPr>
            <w:r>
              <w:rPr>
                <w:sz w:val="20"/>
              </w:rPr>
              <w:t>0</w:t>
            </w:r>
          </w:p>
        </w:tc>
        <w:tc>
          <w:tcPr>
            <w:tcW w:w="816" w:type="dxa"/>
          </w:tcPr>
          <w:p w:rsidR="00B40966" w:rsidRDefault="00B40966">
            <w:pPr>
              <w:pStyle w:val="TableText"/>
              <w:jc w:val="center"/>
              <w:rPr>
                <w:sz w:val="20"/>
              </w:rPr>
            </w:pPr>
            <w:r>
              <w:rPr>
                <w:sz w:val="20"/>
              </w:rPr>
              <w:t>19</w:t>
            </w:r>
          </w:p>
        </w:tc>
        <w:tc>
          <w:tcPr>
            <w:tcW w:w="600"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1</w:t>
            </w:r>
          </w:p>
        </w:tc>
        <w:tc>
          <w:tcPr>
            <w:tcW w:w="820" w:type="dxa"/>
          </w:tcPr>
          <w:p w:rsidR="00B40966" w:rsidRDefault="00B40966">
            <w:pPr>
              <w:pStyle w:val="TableText"/>
              <w:jc w:val="center"/>
              <w:rPr>
                <w:sz w:val="20"/>
              </w:rPr>
            </w:pPr>
            <w:r>
              <w:rPr>
                <w:sz w:val="20"/>
              </w:rPr>
              <w:t>13</w:t>
            </w:r>
          </w:p>
        </w:tc>
        <w:tc>
          <w:tcPr>
            <w:tcW w:w="780"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19</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720" w:type="dxa"/>
            <w:gridSpan w:val="4"/>
          </w:tcPr>
          <w:p w:rsidR="00B40966" w:rsidRDefault="00B40966">
            <w:pPr>
              <w:pStyle w:val="TableText"/>
              <w:jc w:val="center"/>
              <w:rPr>
                <w:sz w:val="20"/>
              </w:rPr>
            </w:pPr>
            <w:r>
              <w:rPr>
                <w:sz w:val="20"/>
              </w:rPr>
              <w:t>1</w:t>
            </w:r>
          </w:p>
        </w:tc>
        <w:tc>
          <w:tcPr>
            <w:tcW w:w="816" w:type="dxa"/>
          </w:tcPr>
          <w:p w:rsidR="00B40966" w:rsidRDefault="00B40966">
            <w:pPr>
              <w:pStyle w:val="TableText"/>
              <w:jc w:val="center"/>
              <w:rPr>
                <w:sz w:val="20"/>
              </w:rPr>
            </w:pPr>
            <w:r>
              <w:rPr>
                <w:sz w:val="20"/>
              </w:rPr>
              <w:t>3</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2</w:t>
            </w:r>
          </w:p>
        </w:tc>
        <w:tc>
          <w:tcPr>
            <w:tcW w:w="752" w:type="dxa"/>
            <w:tcBorders>
              <w:left w:val="single" w:sz="6" w:space="0" w:color="auto"/>
            </w:tcBorders>
          </w:tcPr>
          <w:p w:rsidR="00B40966" w:rsidRDefault="00B40966">
            <w:pPr>
              <w:pStyle w:val="TableText"/>
              <w:jc w:val="center"/>
              <w:rPr>
                <w:sz w:val="20"/>
              </w:rPr>
            </w:pPr>
            <w:r>
              <w:rPr>
                <w:sz w:val="20"/>
              </w:rPr>
              <w:t>2</w:t>
            </w:r>
          </w:p>
        </w:tc>
        <w:tc>
          <w:tcPr>
            <w:tcW w:w="820" w:type="dxa"/>
          </w:tcPr>
          <w:p w:rsidR="00B40966" w:rsidRDefault="00B40966">
            <w:pPr>
              <w:pStyle w:val="TableText"/>
              <w:jc w:val="center"/>
              <w:rPr>
                <w:sz w:val="20"/>
              </w:rPr>
            </w:pPr>
            <w:r>
              <w:rPr>
                <w:sz w:val="20"/>
              </w:rPr>
              <w:t>0</w:t>
            </w:r>
          </w:p>
        </w:tc>
        <w:tc>
          <w:tcPr>
            <w:tcW w:w="780"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13</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3</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720" w:type="dxa"/>
            <w:gridSpan w:val="4"/>
          </w:tcPr>
          <w:p w:rsidR="00B40966" w:rsidRDefault="00B40966">
            <w:pPr>
              <w:pStyle w:val="TableText"/>
              <w:jc w:val="center"/>
              <w:rPr>
                <w:sz w:val="20"/>
              </w:rPr>
            </w:pPr>
            <w:r>
              <w:rPr>
                <w:sz w:val="20"/>
              </w:rPr>
              <w:t>1</w:t>
            </w:r>
          </w:p>
        </w:tc>
        <w:tc>
          <w:tcPr>
            <w:tcW w:w="816" w:type="dxa"/>
          </w:tcPr>
          <w:p w:rsidR="00B40966" w:rsidRDefault="00B40966">
            <w:pPr>
              <w:pStyle w:val="TableText"/>
              <w:jc w:val="center"/>
              <w:rPr>
                <w:sz w:val="20"/>
              </w:rPr>
            </w:pPr>
            <w:r>
              <w:rPr>
                <w:sz w:val="20"/>
              </w:rPr>
              <w:t>6</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11</w:t>
            </w:r>
          </w:p>
        </w:tc>
        <w:tc>
          <w:tcPr>
            <w:tcW w:w="752" w:type="dxa"/>
            <w:tcBorders>
              <w:left w:val="single" w:sz="6" w:space="0" w:color="auto"/>
            </w:tcBorders>
          </w:tcPr>
          <w:p w:rsidR="00B40966" w:rsidRDefault="00B40966">
            <w:pPr>
              <w:pStyle w:val="TableText"/>
              <w:jc w:val="center"/>
              <w:rPr>
                <w:sz w:val="20"/>
              </w:rPr>
            </w:pPr>
            <w:r>
              <w:rPr>
                <w:sz w:val="20"/>
              </w:rPr>
              <w:t>2</w:t>
            </w:r>
          </w:p>
        </w:tc>
        <w:tc>
          <w:tcPr>
            <w:tcW w:w="820" w:type="dxa"/>
          </w:tcPr>
          <w:p w:rsidR="00B40966" w:rsidRDefault="00B40966">
            <w:pPr>
              <w:pStyle w:val="TableText"/>
              <w:jc w:val="center"/>
              <w:rPr>
                <w:sz w:val="20"/>
              </w:rPr>
            </w:pPr>
            <w:r>
              <w:rPr>
                <w:sz w:val="20"/>
              </w:rPr>
              <w:t>6</w:t>
            </w:r>
          </w:p>
        </w:tc>
        <w:tc>
          <w:tcPr>
            <w:tcW w:w="780" w:type="dxa"/>
            <w:gridSpan w:val="2"/>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18</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6</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13</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720" w:type="dxa"/>
            <w:gridSpan w:val="4"/>
          </w:tcPr>
          <w:p w:rsidR="00B40966" w:rsidRDefault="00B40966">
            <w:pPr>
              <w:pStyle w:val="TableText"/>
              <w:jc w:val="center"/>
              <w:rPr>
                <w:sz w:val="20"/>
              </w:rPr>
            </w:pPr>
            <w:r>
              <w:rPr>
                <w:sz w:val="20"/>
              </w:rPr>
              <w:t>1</w:t>
            </w:r>
          </w:p>
        </w:tc>
        <w:tc>
          <w:tcPr>
            <w:tcW w:w="816" w:type="dxa"/>
          </w:tcPr>
          <w:p w:rsidR="00B40966" w:rsidRDefault="00B40966">
            <w:pPr>
              <w:pStyle w:val="TableText"/>
              <w:jc w:val="center"/>
              <w:rPr>
                <w:sz w:val="20"/>
              </w:rPr>
            </w:pPr>
            <w:r>
              <w:rPr>
                <w:sz w:val="20"/>
              </w:rPr>
              <w:t>10</w:t>
            </w:r>
          </w:p>
        </w:tc>
        <w:tc>
          <w:tcPr>
            <w:tcW w:w="600"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18</w:t>
            </w:r>
          </w:p>
        </w:tc>
        <w:tc>
          <w:tcPr>
            <w:tcW w:w="752" w:type="dxa"/>
            <w:tcBorders>
              <w:left w:val="single" w:sz="6" w:space="0" w:color="auto"/>
            </w:tcBorders>
          </w:tcPr>
          <w:p w:rsidR="00B40966" w:rsidRDefault="00B40966">
            <w:pPr>
              <w:pStyle w:val="TableText"/>
              <w:jc w:val="center"/>
              <w:rPr>
                <w:sz w:val="20"/>
              </w:rPr>
            </w:pPr>
            <w:r>
              <w:rPr>
                <w:sz w:val="20"/>
              </w:rPr>
              <w:t>2</w:t>
            </w:r>
          </w:p>
        </w:tc>
        <w:tc>
          <w:tcPr>
            <w:tcW w:w="820" w:type="dxa"/>
          </w:tcPr>
          <w:p w:rsidR="00B40966" w:rsidRDefault="00B40966">
            <w:pPr>
              <w:pStyle w:val="TableText"/>
              <w:jc w:val="center"/>
              <w:rPr>
                <w:sz w:val="20"/>
              </w:rPr>
            </w:pPr>
            <w:r>
              <w:rPr>
                <w:sz w:val="20"/>
              </w:rPr>
              <w:t>12</w:t>
            </w:r>
          </w:p>
        </w:tc>
        <w:tc>
          <w:tcPr>
            <w:tcW w:w="780"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2</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10</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15</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720" w:type="dxa"/>
            <w:gridSpan w:val="4"/>
          </w:tcPr>
          <w:p w:rsidR="00B40966" w:rsidRDefault="00B40966">
            <w:pPr>
              <w:pStyle w:val="TableText"/>
              <w:jc w:val="center"/>
              <w:rPr>
                <w:sz w:val="20"/>
              </w:rPr>
            </w:pPr>
            <w:r>
              <w:rPr>
                <w:sz w:val="20"/>
              </w:rPr>
              <w:t>1</w:t>
            </w:r>
          </w:p>
        </w:tc>
        <w:tc>
          <w:tcPr>
            <w:tcW w:w="816" w:type="dxa"/>
          </w:tcPr>
          <w:p w:rsidR="00B40966" w:rsidRDefault="00B40966">
            <w:pPr>
              <w:pStyle w:val="TableText"/>
              <w:jc w:val="center"/>
              <w:rPr>
                <w:sz w:val="20"/>
              </w:rPr>
            </w:pPr>
            <w:r>
              <w:rPr>
                <w:sz w:val="20"/>
              </w:rPr>
              <w:t>15</w:t>
            </w:r>
          </w:p>
        </w:tc>
        <w:tc>
          <w:tcPr>
            <w:tcW w:w="600" w:type="dxa"/>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9</w:t>
            </w:r>
          </w:p>
        </w:tc>
        <w:tc>
          <w:tcPr>
            <w:tcW w:w="752" w:type="dxa"/>
            <w:tcBorders>
              <w:left w:val="single" w:sz="6" w:space="0" w:color="auto"/>
            </w:tcBorders>
          </w:tcPr>
          <w:p w:rsidR="00B40966" w:rsidRDefault="00B40966">
            <w:pPr>
              <w:pStyle w:val="TableText"/>
              <w:jc w:val="center"/>
              <w:rPr>
                <w:sz w:val="20"/>
              </w:rPr>
            </w:pPr>
            <w:r>
              <w:rPr>
                <w:sz w:val="20"/>
              </w:rPr>
              <w:t>3</w:t>
            </w:r>
          </w:p>
        </w:tc>
        <w:tc>
          <w:tcPr>
            <w:tcW w:w="820" w:type="dxa"/>
          </w:tcPr>
          <w:p w:rsidR="00B40966" w:rsidRDefault="00B40966">
            <w:pPr>
              <w:pStyle w:val="TableText"/>
              <w:jc w:val="center"/>
              <w:rPr>
                <w:sz w:val="20"/>
              </w:rPr>
            </w:pPr>
            <w:r>
              <w:rPr>
                <w:sz w:val="20"/>
              </w:rPr>
              <w:t>2</w:t>
            </w:r>
          </w:p>
        </w:tc>
        <w:tc>
          <w:tcPr>
            <w:tcW w:w="780"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15</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18</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720" w:type="dxa"/>
            <w:gridSpan w:val="4"/>
          </w:tcPr>
          <w:p w:rsidR="00B40966" w:rsidRDefault="00B40966">
            <w:pPr>
              <w:pStyle w:val="TableText"/>
              <w:jc w:val="center"/>
              <w:rPr>
                <w:sz w:val="20"/>
              </w:rPr>
            </w:pPr>
            <w:r>
              <w:rPr>
                <w:sz w:val="20"/>
              </w:rPr>
              <w:t>2</w:t>
            </w:r>
          </w:p>
        </w:tc>
        <w:tc>
          <w:tcPr>
            <w:tcW w:w="816" w:type="dxa"/>
          </w:tcPr>
          <w:p w:rsidR="00B40966" w:rsidRDefault="00B40966">
            <w:pPr>
              <w:pStyle w:val="TableText"/>
              <w:jc w:val="center"/>
              <w:rPr>
                <w:sz w:val="20"/>
              </w:rPr>
            </w:pPr>
            <w:r>
              <w:rPr>
                <w:sz w:val="20"/>
              </w:rPr>
              <w:t>0</w:t>
            </w:r>
          </w:p>
        </w:tc>
        <w:tc>
          <w:tcPr>
            <w:tcW w:w="600" w:type="dxa"/>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3</w:t>
            </w:r>
          </w:p>
        </w:tc>
        <w:tc>
          <w:tcPr>
            <w:tcW w:w="820" w:type="dxa"/>
          </w:tcPr>
          <w:p w:rsidR="00B40966" w:rsidRDefault="00B40966">
            <w:pPr>
              <w:pStyle w:val="TableText"/>
              <w:jc w:val="center"/>
              <w:rPr>
                <w:sz w:val="20"/>
              </w:rPr>
            </w:pPr>
            <w:r>
              <w:rPr>
                <w:sz w:val="20"/>
              </w:rPr>
              <w:t>9</w:t>
            </w:r>
          </w:p>
        </w:tc>
        <w:tc>
          <w:tcPr>
            <w:tcW w:w="780" w:type="dxa"/>
            <w:gridSpan w:val="2"/>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0</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1</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720" w:type="dxa"/>
            <w:gridSpan w:val="4"/>
          </w:tcPr>
          <w:p w:rsidR="00B40966" w:rsidRDefault="00B40966">
            <w:pPr>
              <w:pStyle w:val="TableText"/>
              <w:jc w:val="center"/>
              <w:rPr>
                <w:sz w:val="20"/>
              </w:rPr>
            </w:pPr>
            <w:r>
              <w:rPr>
                <w:sz w:val="20"/>
              </w:rPr>
              <w:t>2</w:t>
            </w:r>
          </w:p>
        </w:tc>
        <w:tc>
          <w:tcPr>
            <w:tcW w:w="816" w:type="dxa"/>
          </w:tcPr>
          <w:p w:rsidR="00B40966" w:rsidRDefault="00B40966">
            <w:pPr>
              <w:pStyle w:val="TableText"/>
              <w:jc w:val="center"/>
              <w:rPr>
                <w:sz w:val="20"/>
              </w:rPr>
            </w:pPr>
            <w:r>
              <w:rPr>
                <w:sz w:val="20"/>
              </w:rPr>
              <w:t>6</w:t>
            </w:r>
          </w:p>
        </w:tc>
        <w:tc>
          <w:tcPr>
            <w:tcW w:w="600" w:type="dxa"/>
            <w:tcBorders>
              <w:left w:val="single" w:sz="6" w:space="0" w:color="auto"/>
            </w:tcBorders>
          </w:tcPr>
          <w:p w:rsidR="00B40966" w:rsidRDefault="00B40966">
            <w:pPr>
              <w:pStyle w:val="TableText"/>
              <w:jc w:val="center"/>
              <w:rPr>
                <w:sz w:val="20"/>
              </w:rPr>
            </w:pPr>
            <w:r>
              <w:rPr>
                <w:sz w:val="20"/>
              </w:rPr>
              <w:t>4</w:t>
            </w:r>
          </w:p>
        </w:tc>
        <w:tc>
          <w:tcPr>
            <w:tcW w:w="720" w:type="dxa"/>
            <w:gridSpan w:val="2"/>
          </w:tcPr>
          <w:p w:rsidR="00B40966" w:rsidRDefault="00B40966">
            <w:pPr>
              <w:pStyle w:val="TableText"/>
              <w:jc w:val="center"/>
              <w:rPr>
                <w:sz w:val="20"/>
              </w:rPr>
            </w:pPr>
            <w:r>
              <w:rPr>
                <w:sz w:val="20"/>
              </w:rPr>
              <w:t>9</w:t>
            </w:r>
          </w:p>
        </w:tc>
        <w:tc>
          <w:tcPr>
            <w:tcW w:w="752" w:type="dxa"/>
            <w:tcBorders>
              <w:left w:val="single" w:sz="6" w:space="0" w:color="auto"/>
            </w:tcBorders>
          </w:tcPr>
          <w:p w:rsidR="00B40966" w:rsidRDefault="00B40966">
            <w:pPr>
              <w:pStyle w:val="TableText"/>
              <w:jc w:val="center"/>
              <w:rPr>
                <w:sz w:val="20"/>
              </w:rPr>
            </w:pPr>
            <w:r>
              <w:rPr>
                <w:sz w:val="20"/>
              </w:rPr>
              <w:t>4</w:t>
            </w:r>
          </w:p>
        </w:tc>
        <w:tc>
          <w:tcPr>
            <w:tcW w:w="820" w:type="dxa"/>
          </w:tcPr>
          <w:p w:rsidR="00B40966" w:rsidRDefault="00B40966">
            <w:pPr>
              <w:pStyle w:val="TableText"/>
              <w:jc w:val="center"/>
              <w:rPr>
                <w:sz w:val="20"/>
              </w:rPr>
            </w:pPr>
            <w:r>
              <w:rPr>
                <w:sz w:val="20"/>
              </w:rPr>
              <w:t>0</w:t>
            </w:r>
          </w:p>
        </w:tc>
        <w:tc>
          <w:tcPr>
            <w:tcW w:w="780"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5</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6</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720" w:type="dxa"/>
            <w:gridSpan w:val="4"/>
          </w:tcPr>
          <w:p w:rsidR="00B40966" w:rsidRDefault="00B40966">
            <w:pPr>
              <w:pStyle w:val="TableText"/>
              <w:jc w:val="center"/>
              <w:rPr>
                <w:sz w:val="20"/>
              </w:rPr>
            </w:pPr>
            <w:r>
              <w:rPr>
                <w:sz w:val="20"/>
              </w:rPr>
              <w:t>2</w:t>
            </w:r>
          </w:p>
        </w:tc>
        <w:tc>
          <w:tcPr>
            <w:tcW w:w="816" w:type="dxa"/>
          </w:tcPr>
          <w:p w:rsidR="00B40966" w:rsidRDefault="00B40966">
            <w:pPr>
              <w:pStyle w:val="TableText"/>
              <w:jc w:val="center"/>
              <w:rPr>
                <w:sz w:val="20"/>
              </w:rPr>
            </w:pPr>
            <w:r>
              <w:rPr>
                <w:sz w:val="20"/>
              </w:rPr>
              <w:t>9</w:t>
            </w:r>
          </w:p>
        </w:tc>
        <w:tc>
          <w:tcPr>
            <w:tcW w:w="600" w:type="dxa"/>
            <w:tcBorders>
              <w:left w:val="single" w:sz="6" w:space="0" w:color="auto"/>
            </w:tcBorders>
          </w:tcPr>
          <w:p w:rsidR="00B40966" w:rsidRDefault="00B40966">
            <w:pPr>
              <w:pStyle w:val="TableText"/>
              <w:jc w:val="center"/>
              <w:rPr>
                <w:sz w:val="20"/>
              </w:rPr>
            </w:pPr>
            <w:r>
              <w:rPr>
                <w:sz w:val="20"/>
              </w:rPr>
              <w:t>4</w:t>
            </w:r>
          </w:p>
        </w:tc>
        <w:tc>
          <w:tcPr>
            <w:tcW w:w="720" w:type="dxa"/>
            <w:gridSpan w:val="2"/>
          </w:tcPr>
          <w:p w:rsidR="00B40966" w:rsidRDefault="00B40966">
            <w:pPr>
              <w:pStyle w:val="TableText"/>
              <w:jc w:val="center"/>
              <w:rPr>
                <w:sz w:val="20"/>
              </w:rPr>
            </w:pPr>
            <w:r>
              <w:rPr>
                <w:sz w:val="20"/>
              </w:rPr>
              <w:t>15</w:t>
            </w:r>
          </w:p>
        </w:tc>
        <w:tc>
          <w:tcPr>
            <w:tcW w:w="752" w:type="dxa"/>
            <w:tcBorders>
              <w:left w:val="single" w:sz="6" w:space="0" w:color="auto"/>
            </w:tcBorders>
          </w:tcPr>
          <w:p w:rsidR="00B40966" w:rsidRDefault="00B40966">
            <w:pPr>
              <w:pStyle w:val="TableText"/>
              <w:jc w:val="center"/>
              <w:rPr>
                <w:sz w:val="20"/>
              </w:rPr>
            </w:pPr>
            <w:r>
              <w:rPr>
                <w:sz w:val="20"/>
              </w:rPr>
              <w:t>4</w:t>
            </w:r>
          </w:p>
        </w:tc>
        <w:tc>
          <w:tcPr>
            <w:tcW w:w="820" w:type="dxa"/>
          </w:tcPr>
          <w:p w:rsidR="00B40966" w:rsidRDefault="00B40966">
            <w:pPr>
              <w:pStyle w:val="TableText"/>
              <w:jc w:val="center"/>
              <w:rPr>
                <w:sz w:val="20"/>
              </w:rPr>
            </w:pPr>
            <w:r>
              <w:rPr>
                <w:sz w:val="20"/>
              </w:rPr>
              <w:t>5</w:t>
            </w:r>
          </w:p>
        </w:tc>
        <w:tc>
          <w:tcPr>
            <w:tcW w:w="780"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9</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6</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720" w:type="dxa"/>
            <w:gridSpan w:val="4"/>
          </w:tcPr>
          <w:p w:rsidR="00B40966" w:rsidRDefault="00B40966">
            <w:pPr>
              <w:pStyle w:val="TableText"/>
              <w:jc w:val="center"/>
              <w:rPr>
                <w:sz w:val="20"/>
              </w:rPr>
            </w:pPr>
            <w:r>
              <w:rPr>
                <w:sz w:val="20"/>
              </w:rPr>
              <w:t>2</w:t>
            </w:r>
          </w:p>
        </w:tc>
        <w:tc>
          <w:tcPr>
            <w:tcW w:w="816" w:type="dxa"/>
          </w:tcPr>
          <w:p w:rsidR="00B40966" w:rsidRDefault="00B40966">
            <w:pPr>
              <w:pStyle w:val="TableText"/>
              <w:jc w:val="center"/>
              <w:rPr>
                <w:sz w:val="20"/>
              </w:rPr>
            </w:pPr>
            <w:r>
              <w:rPr>
                <w:sz w:val="20"/>
              </w:rPr>
              <w:t>14</w:t>
            </w:r>
          </w:p>
        </w:tc>
        <w:tc>
          <w:tcPr>
            <w:tcW w:w="600" w:type="dxa"/>
            <w:tcBorders>
              <w:left w:val="single" w:sz="6" w:space="0" w:color="auto"/>
            </w:tcBorders>
          </w:tcPr>
          <w:p w:rsidR="00B40966" w:rsidRDefault="00B40966">
            <w:pPr>
              <w:pStyle w:val="TableText"/>
              <w:jc w:val="center"/>
              <w:rPr>
                <w:sz w:val="20"/>
              </w:rPr>
            </w:pPr>
            <w:r>
              <w:rPr>
                <w:sz w:val="20"/>
              </w:rPr>
              <w:t>5</w:t>
            </w:r>
          </w:p>
        </w:tc>
        <w:tc>
          <w:tcPr>
            <w:tcW w:w="720" w:type="dxa"/>
            <w:gridSpan w:val="2"/>
          </w:tcPr>
          <w:p w:rsidR="00B40966" w:rsidRDefault="00B40966">
            <w:pPr>
              <w:pStyle w:val="TableText"/>
              <w:jc w:val="center"/>
              <w:rPr>
                <w:sz w:val="20"/>
              </w:rPr>
            </w:pPr>
            <w:r>
              <w:rPr>
                <w:sz w:val="20"/>
              </w:rPr>
              <w:t>4</w:t>
            </w:r>
          </w:p>
        </w:tc>
        <w:tc>
          <w:tcPr>
            <w:tcW w:w="752" w:type="dxa"/>
            <w:tcBorders>
              <w:left w:val="single" w:sz="6" w:space="0" w:color="auto"/>
            </w:tcBorders>
          </w:tcPr>
          <w:p w:rsidR="00B40966" w:rsidRDefault="00B40966">
            <w:pPr>
              <w:pStyle w:val="TableText"/>
              <w:jc w:val="center"/>
              <w:rPr>
                <w:sz w:val="20"/>
              </w:rPr>
            </w:pPr>
            <w:r>
              <w:rPr>
                <w:sz w:val="20"/>
              </w:rPr>
              <w:t>4</w:t>
            </w:r>
          </w:p>
        </w:tc>
        <w:tc>
          <w:tcPr>
            <w:tcW w:w="820" w:type="dxa"/>
          </w:tcPr>
          <w:p w:rsidR="00B40966" w:rsidRDefault="00B40966">
            <w:pPr>
              <w:pStyle w:val="TableText"/>
              <w:jc w:val="center"/>
              <w:rPr>
                <w:sz w:val="20"/>
              </w:rPr>
            </w:pPr>
            <w:r>
              <w:rPr>
                <w:sz w:val="20"/>
              </w:rPr>
              <w:t>13</w:t>
            </w:r>
          </w:p>
        </w:tc>
        <w:tc>
          <w:tcPr>
            <w:tcW w:w="780" w:type="dxa"/>
            <w:gridSpan w:val="2"/>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14</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720" w:type="dxa"/>
            <w:gridSpan w:val="4"/>
          </w:tcPr>
          <w:p w:rsidR="00B40966" w:rsidRDefault="00B40966">
            <w:pPr>
              <w:pStyle w:val="TableText"/>
              <w:jc w:val="center"/>
              <w:rPr>
                <w:sz w:val="20"/>
              </w:rPr>
            </w:pPr>
            <w:r>
              <w:rPr>
                <w:sz w:val="20"/>
              </w:rPr>
              <w:t>3</w:t>
            </w:r>
          </w:p>
        </w:tc>
        <w:tc>
          <w:tcPr>
            <w:tcW w:w="816" w:type="dxa"/>
          </w:tcPr>
          <w:p w:rsidR="00B40966" w:rsidRDefault="00B40966">
            <w:pPr>
              <w:pStyle w:val="TableText"/>
              <w:jc w:val="center"/>
              <w:rPr>
                <w:sz w:val="20"/>
              </w:rPr>
            </w:pPr>
            <w:r>
              <w:rPr>
                <w:sz w:val="20"/>
              </w:rPr>
              <w:t>6</w:t>
            </w:r>
          </w:p>
        </w:tc>
        <w:tc>
          <w:tcPr>
            <w:tcW w:w="600" w:type="dxa"/>
            <w:tcBorders>
              <w:left w:val="single" w:sz="6" w:space="0" w:color="auto"/>
            </w:tcBorders>
          </w:tcPr>
          <w:p w:rsidR="00B40966" w:rsidRDefault="00B40966">
            <w:pPr>
              <w:pStyle w:val="TableText"/>
              <w:jc w:val="center"/>
              <w:rPr>
                <w:sz w:val="20"/>
              </w:rPr>
            </w:pPr>
            <w:r>
              <w:rPr>
                <w:sz w:val="20"/>
              </w:rPr>
              <w:t>6</w:t>
            </w:r>
          </w:p>
        </w:tc>
        <w:tc>
          <w:tcPr>
            <w:tcW w:w="720" w:type="dxa"/>
            <w:gridSpan w:val="2"/>
          </w:tcPr>
          <w:p w:rsidR="00B40966" w:rsidRDefault="00B40966">
            <w:pPr>
              <w:pStyle w:val="TableText"/>
              <w:jc w:val="center"/>
              <w:rPr>
                <w:sz w:val="20"/>
              </w:rPr>
            </w:pPr>
            <w:r>
              <w:rPr>
                <w:sz w:val="20"/>
              </w:rPr>
              <w:t>8</w:t>
            </w:r>
          </w:p>
        </w:tc>
        <w:tc>
          <w:tcPr>
            <w:tcW w:w="752" w:type="dxa"/>
            <w:tcBorders>
              <w:left w:val="single" w:sz="6" w:space="0" w:color="auto"/>
            </w:tcBorders>
          </w:tcPr>
          <w:p w:rsidR="00B40966" w:rsidRDefault="00B40966">
            <w:pPr>
              <w:pStyle w:val="TableText"/>
              <w:jc w:val="center"/>
              <w:rPr>
                <w:sz w:val="20"/>
              </w:rPr>
            </w:pPr>
            <w:r>
              <w:rPr>
                <w:sz w:val="20"/>
              </w:rPr>
              <w:t>5</w:t>
            </w:r>
          </w:p>
        </w:tc>
        <w:tc>
          <w:tcPr>
            <w:tcW w:w="820" w:type="dxa"/>
          </w:tcPr>
          <w:p w:rsidR="00B40966" w:rsidRDefault="00B40966">
            <w:pPr>
              <w:pStyle w:val="TableText"/>
              <w:jc w:val="center"/>
              <w:rPr>
                <w:sz w:val="20"/>
              </w:rPr>
            </w:pPr>
            <w:r>
              <w:rPr>
                <w:sz w:val="20"/>
              </w:rPr>
              <w:t>15</w:t>
            </w:r>
          </w:p>
        </w:tc>
        <w:tc>
          <w:tcPr>
            <w:tcW w:w="780" w:type="dxa"/>
            <w:gridSpan w:val="2"/>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3</w:t>
            </w:r>
          </w:p>
        </w:tc>
        <w:tc>
          <w:tcPr>
            <w:tcW w:w="722" w:type="dxa"/>
            <w:tcBorders>
              <w:right w:val="single" w:sz="6" w:space="0" w:color="auto"/>
            </w:tcBorders>
          </w:tcPr>
          <w:p w:rsidR="00B40966" w:rsidRDefault="00B40966">
            <w:pPr>
              <w:pStyle w:val="TableText"/>
              <w:jc w:val="center"/>
              <w:rPr>
                <w:sz w:val="20"/>
              </w:rPr>
            </w:pPr>
            <w:r>
              <w:rPr>
                <w:sz w:val="20"/>
              </w:rPr>
              <w:t>6</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14</w:t>
            </w:r>
          </w:p>
        </w:tc>
      </w:tr>
      <w:tr w:rsidR="00B40966">
        <w:trPr>
          <w:cantSplit/>
          <w:trHeight w:val="200"/>
        </w:trPr>
        <w:tc>
          <w:tcPr>
            <w:tcW w:w="968" w:type="dxa"/>
          </w:tcPr>
          <w:p w:rsidR="00B40966" w:rsidRDefault="00B40966">
            <w:pPr>
              <w:pStyle w:val="TableText"/>
              <w:jc w:val="center"/>
              <w:rPr>
                <w:sz w:val="20"/>
              </w:rPr>
            </w:pPr>
            <w:r>
              <w:rPr>
                <w:sz w:val="20"/>
              </w:rPr>
              <w:t>3</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720" w:type="dxa"/>
            <w:gridSpan w:val="4"/>
          </w:tcPr>
          <w:p w:rsidR="00B40966" w:rsidRDefault="00B40966">
            <w:pPr>
              <w:pStyle w:val="TableText"/>
              <w:jc w:val="center"/>
              <w:rPr>
                <w:sz w:val="20"/>
              </w:rPr>
            </w:pPr>
            <w:r>
              <w:rPr>
                <w:sz w:val="20"/>
              </w:rPr>
              <w:t>4</w:t>
            </w:r>
          </w:p>
        </w:tc>
        <w:tc>
          <w:tcPr>
            <w:tcW w:w="816" w:type="dxa"/>
          </w:tcPr>
          <w:p w:rsidR="00B40966" w:rsidRDefault="00B40966">
            <w:pPr>
              <w:pStyle w:val="TableText"/>
              <w:jc w:val="center"/>
              <w:rPr>
                <w:sz w:val="20"/>
              </w:rPr>
            </w:pPr>
            <w:r>
              <w:rPr>
                <w:sz w:val="20"/>
              </w:rPr>
              <w:t>0</w:t>
            </w:r>
          </w:p>
        </w:tc>
        <w:tc>
          <w:tcPr>
            <w:tcW w:w="600" w:type="dxa"/>
            <w:tcBorders>
              <w:left w:val="single" w:sz="6" w:space="0" w:color="auto"/>
            </w:tcBorders>
          </w:tcPr>
          <w:p w:rsidR="00B40966" w:rsidRDefault="00B40966">
            <w:pPr>
              <w:pStyle w:val="TableText"/>
              <w:jc w:val="center"/>
              <w:rPr>
                <w:sz w:val="20"/>
              </w:rPr>
            </w:pPr>
            <w:r>
              <w:rPr>
                <w:sz w:val="20"/>
              </w:rPr>
              <w:t>7</w:t>
            </w:r>
          </w:p>
        </w:tc>
        <w:tc>
          <w:tcPr>
            <w:tcW w:w="720" w:type="dxa"/>
            <w:gridSpan w:val="2"/>
          </w:tcPr>
          <w:p w:rsidR="00B40966" w:rsidRDefault="00B40966">
            <w:pPr>
              <w:pStyle w:val="TableText"/>
              <w:jc w:val="center"/>
              <w:rPr>
                <w:sz w:val="20"/>
              </w:rPr>
            </w:pPr>
            <w:r>
              <w:rPr>
                <w:sz w:val="20"/>
              </w:rPr>
              <w:t>15</w:t>
            </w:r>
          </w:p>
        </w:tc>
        <w:tc>
          <w:tcPr>
            <w:tcW w:w="752" w:type="dxa"/>
            <w:tcBorders>
              <w:left w:val="single" w:sz="6" w:space="0" w:color="auto"/>
            </w:tcBorders>
          </w:tcPr>
          <w:p w:rsidR="00B40966" w:rsidRDefault="00B40966">
            <w:pPr>
              <w:pStyle w:val="TableText"/>
              <w:jc w:val="center"/>
              <w:rPr>
                <w:sz w:val="20"/>
              </w:rPr>
            </w:pPr>
            <w:r>
              <w:rPr>
                <w:sz w:val="20"/>
              </w:rPr>
              <w:t>6</w:t>
            </w:r>
          </w:p>
        </w:tc>
        <w:tc>
          <w:tcPr>
            <w:tcW w:w="820" w:type="dxa"/>
          </w:tcPr>
          <w:p w:rsidR="00B40966" w:rsidRDefault="00B40966">
            <w:pPr>
              <w:pStyle w:val="TableText"/>
              <w:jc w:val="center"/>
              <w:rPr>
                <w:sz w:val="20"/>
              </w:rPr>
            </w:pPr>
            <w:r>
              <w:rPr>
                <w:sz w:val="20"/>
              </w:rPr>
              <w:t>19</w:t>
            </w:r>
          </w:p>
        </w:tc>
        <w:tc>
          <w:tcPr>
            <w:tcW w:w="780" w:type="dxa"/>
            <w:gridSpan w:val="2"/>
            <w:tcBorders>
              <w:left w:val="single" w:sz="6" w:space="0" w:color="auto"/>
            </w:tcBorders>
          </w:tcPr>
          <w:p w:rsidR="00B40966" w:rsidRDefault="00B40966">
            <w:pPr>
              <w:pStyle w:val="TableText"/>
              <w:jc w:val="center"/>
              <w:rPr>
                <w:sz w:val="20"/>
              </w:rPr>
            </w:pPr>
            <w:r>
              <w:rPr>
                <w:sz w:val="20"/>
              </w:rPr>
              <w:t>5</w:t>
            </w:r>
          </w:p>
        </w:tc>
        <w:tc>
          <w:tcPr>
            <w:tcW w:w="786" w:type="dxa"/>
            <w:gridSpan w:val="2"/>
          </w:tcPr>
          <w:p w:rsidR="00B40966" w:rsidRDefault="00B40966">
            <w:pPr>
              <w:pStyle w:val="TableText"/>
              <w:jc w:val="center"/>
              <w:rPr>
                <w:sz w:val="20"/>
              </w:rPr>
            </w:pPr>
            <w:r>
              <w:rPr>
                <w:sz w:val="20"/>
              </w:rPr>
              <w:t>13</w:t>
            </w:r>
          </w:p>
        </w:tc>
        <w:tc>
          <w:tcPr>
            <w:tcW w:w="760" w:type="dxa"/>
            <w:tcBorders>
              <w:left w:val="single" w:sz="6" w:space="0" w:color="auto"/>
            </w:tcBorders>
          </w:tcPr>
          <w:p w:rsidR="00B40966" w:rsidRDefault="00B40966">
            <w:pPr>
              <w:pStyle w:val="TableText"/>
              <w:jc w:val="center"/>
              <w:rPr>
                <w:sz w:val="20"/>
              </w:rPr>
            </w:pPr>
            <w:r>
              <w:rPr>
                <w:sz w:val="20"/>
              </w:rPr>
              <w:t>4</w:t>
            </w:r>
          </w:p>
        </w:tc>
        <w:tc>
          <w:tcPr>
            <w:tcW w:w="722" w:type="dxa"/>
          </w:tcPr>
          <w:p w:rsidR="00B40966" w:rsidRDefault="00B40966">
            <w:pPr>
              <w:pStyle w:val="TableText"/>
              <w:jc w:val="center"/>
              <w:rPr>
                <w:sz w:val="20"/>
              </w:rPr>
            </w:pPr>
            <w:r>
              <w:rPr>
                <w:sz w:val="20"/>
              </w:rPr>
              <w:t>0</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1</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720" w:type="dxa"/>
            <w:gridSpan w:val="4"/>
          </w:tcPr>
          <w:p w:rsidR="00B40966" w:rsidRDefault="00B40966">
            <w:pPr>
              <w:pStyle w:val="TableText"/>
              <w:jc w:val="center"/>
              <w:rPr>
                <w:sz w:val="20"/>
              </w:rPr>
            </w:pPr>
            <w:r>
              <w:rPr>
                <w:sz w:val="20"/>
              </w:rPr>
              <w:t>4</w:t>
            </w:r>
          </w:p>
        </w:tc>
        <w:tc>
          <w:tcPr>
            <w:tcW w:w="816" w:type="dxa"/>
          </w:tcPr>
          <w:p w:rsidR="00B40966" w:rsidRDefault="00B40966">
            <w:pPr>
              <w:pStyle w:val="TableText"/>
              <w:jc w:val="center"/>
              <w:rPr>
                <w:sz w:val="20"/>
              </w:rPr>
            </w:pPr>
            <w:r>
              <w:rPr>
                <w:sz w:val="20"/>
              </w:rPr>
              <w:t>11</w:t>
            </w:r>
          </w:p>
        </w:tc>
        <w:tc>
          <w:tcPr>
            <w:tcW w:w="600" w:type="dxa"/>
            <w:tcBorders>
              <w:left w:val="single" w:sz="6" w:space="0" w:color="auto"/>
            </w:tcBorders>
          </w:tcPr>
          <w:p w:rsidR="00B40966" w:rsidRDefault="00B40966">
            <w:pPr>
              <w:pStyle w:val="TableText"/>
              <w:jc w:val="center"/>
              <w:rPr>
                <w:sz w:val="20"/>
              </w:rPr>
            </w:pPr>
            <w:r>
              <w:rPr>
                <w:sz w:val="20"/>
              </w:rPr>
              <w:t>8</w:t>
            </w:r>
          </w:p>
        </w:tc>
        <w:tc>
          <w:tcPr>
            <w:tcW w:w="720" w:type="dxa"/>
            <w:gridSpan w:val="2"/>
          </w:tcPr>
          <w:p w:rsidR="00B40966" w:rsidRDefault="00B40966">
            <w:pPr>
              <w:pStyle w:val="TableText"/>
              <w:jc w:val="center"/>
              <w:rPr>
                <w:sz w:val="20"/>
              </w:rPr>
            </w:pPr>
            <w:r>
              <w:rPr>
                <w:sz w:val="20"/>
              </w:rPr>
              <w:t>16</w:t>
            </w:r>
          </w:p>
        </w:tc>
        <w:tc>
          <w:tcPr>
            <w:tcW w:w="752" w:type="dxa"/>
            <w:tcBorders>
              <w:left w:val="single" w:sz="6" w:space="0" w:color="auto"/>
            </w:tcBorders>
          </w:tcPr>
          <w:p w:rsidR="00B40966" w:rsidRDefault="00B40966">
            <w:pPr>
              <w:pStyle w:val="TableText"/>
              <w:jc w:val="center"/>
              <w:rPr>
                <w:sz w:val="20"/>
              </w:rPr>
            </w:pPr>
            <w:r>
              <w:rPr>
                <w:sz w:val="20"/>
              </w:rPr>
              <w:t>7</w:t>
            </w:r>
          </w:p>
        </w:tc>
        <w:tc>
          <w:tcPr>
            <w:tcW w:w="820" w:type="dxa"/>
          </w:tcPr>
          <w:p w:rsidR="00B40966" w:rsidRDefault="00B40966">
            <w:pPr>
              <w:pStyle w:val="TableText"/>
              <w:jc w:val="center"/>
              <w:rPr>
                <w:sz w:val="20"/>
              </w:rPr>
            </w:pPr>
            <w:r>
              <w:rPr>
                <w:sz w:val="20"/>
              </w:rPr>
              <w:t>18</w:t>
            </w:r>
          </w:p>
        </w:tc>
        <w:tc>
          <w:tcPr>
            <w:tcW w:w="780" w:type="dxa"/>
            <w:gridSpan w:val="2"/>
            <w:tcBorders>
              <w:left w:val="single" w:sz="6" w:space="0" w:color="auto"/>
            </w:tcBorders>
          </w:tcPr>
          <w:p w:rsidR="00B40966" w:rsidRDefault="00B40966">
            <w:pPr>
              <w:pStyle w:val="TableText"/>
              <w:jc w:val="center"/>
              <w:rPr>
                <w:sz w:val="20"/>
              </w:rPr>
            </w:pPr>
            <w:r>
              <w:rPr>
                <w:sz w:val="20"/>
              </w:rPr>
              <w:t>6</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4</w:t>
            </w:r>
          </w:p>
        </w:tc>
        <w:tc>
          <w:tcPr>
            <w:tcW w:w="722" w:type="dxa"/>
          </w:tcPr>
          <w:p w:rsidR="00B40966" w:rsidRDefault="00B40966">
            <w:pPr>
              <w:pStyle w:val="TableText"/>
              <w:jc w:val="center"/>
              <w:rPr>
                <w:sz w:val="20"/>
              </w:rPr>
            </w:pPr>
            <w:r>
              <w:rPr>
                <w:sz w:val="20"/>
              </w:rPr>
              <w:t>11</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7</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720" w:type="dxa"/>
            <w:gridSpan w:val="4"/>
          </w:tcPr>
          <w:p w:rsidR="00B40966" w:rsidRDefault="00B40966">
            <w:pPr>
              <w:pStyle w:val="TableText"/>
              <w:jc w:val="center"/>
              <w:rPr>
                <w:sz w:val="20"/>
              </w:rPr>
            </w:pPr>
            <w:r>
              <w:rPr>
                <w:sz w:val="20"/>
              </w:rPr>
              <w:t>5</w:t>
            </w:r>
          </w:p>
        </w:tc>
        <w:tc>
          <w:tcPr>
            <w:tcW w:w="816" w:type="dxa"/>
          </w:tcPr>
          <w:p w:rsidR="00B40966" w:rsidRDefault="00B40966">
            <w:pPr>
              <w:pStyle w:val="TableText"/>
              <w:jc w:val="center"/>
              <w:rPr>
                <w:sz w:val="20"/>
              </w:rPr>
            </w:pPr>
            <w:r>
              <w:rPr>
                <w:sz w:val="20"/>
              </w:rPr>
              <w:t>7</w:t>
            </w:r>
          </w:p>
        </w:tc>
        <w:tc>
          <w:tcPr>
            <w:tcW w:w="600" w:type="dxa"/>
            <w:tcBorders>
              <w:left w:val="single" w:sz="6" w:space="0" w:color="auto"/>
            </w:tcBorders>
          </w:tcPr>
          <w:p w:rsidR="00B40966" w:rsidRDefault="00B40966">
            <w:pPr>
              <w:pStyle w:val="TableText"/>
              <w:jc w:val="center"/>
              <w:rPr>
                <w:sz w:val="20"/>
              </w:rPr>
            </w:pPr>
            <w:r>
              <w:rPr>
                <w:sz w:val="20"/>
              </w:rPr>
              <w:t>10</w:t>
            </w:r>
          </w:p>
        </w:tc>
        <w:tc>
          <w:tcPr>
            <w:tcW w:w="720" w:type="dxa"/>
            <w:gridSpan w:val="2"/>
          </w:tcPr>
          <w:p w:rsidR="00B40966" w:rsidRDefault="00B40966">
            <w:pPr>
              <w:pStyle w:val="TableText"/>
              <w:jc w:val="center"/>
              <w:rPr>
                <w:sz w:val="20"/>
              </w:rPr>
            </w:pPr>
            <w:r>
              <w:rPr>
                <w:sz w:val="20"/>
              </w:rPr>
              <w:t>7</w:t>
            </w:r>
          </w:p>
        </w:tc>
        <w:tc>
          <w:tcPr>
            <w:tcW w:w="752" w:type="dxa"/>
            <w:tcBorders>
              <w:left w:val="single" w:sz="6" w:space="0" w:color="auto"/>
            </w:tcBorders>
          </w:tcPr>
          <w:p w:rsidR="00B40966" w:rsidRDefault="00B40966">
            <w:pPr>
              <w:pStyle w:val="TableText"/>
              <w:jc w:val="center"/>
              <w:rPr>
                <w:sz w:val="20"/>
              </w:rPr>
            </w:pPr>
            <w:r>
              <w:rPr>
                <w:sz w:val="20"/>
              </w:rPr>
              <w:t>9</w:t>
            </w:r>
          </w:p>
        </w:tc>
        <w:tc>
          <w:tcPr>
            <w:tcW w:w="820" w:type="dxa"/>
          </w:tcPr>
          <w:p w:rsidR="00B40966" w:rsidRDefault="00B40966">
            <w:pPr>
              <w:pStyle w:val="TableText"/>
              <w:jc w:val="center"/>
              <w:rPr>
                <w:sz w:val="20"/>
              </w:rPr>
            </w:pPr>
            <w:r>
              <w:rPr>
                <w:sz w:val="20"/>
              </w:rPr>
              <w:t>6</w:t>
            </w:r>
          </w:p>
        </w:tc>
        <w:tc>
          <w:tcPr>
            <w:tcW w:w="780" w:type="dxa"/>
            <w:gridSpan w:val="2"/>
            <w:tcBorders>
              <w:left w:val="single" w:sz="6" w:space="0" w:color="auto"/>
            </w:tcBorders>
          </w:tcPr>
          <w:p w:rsidR="00B40966" w:rsidRDefault="00B40966">
            <w:pPr>
              <w:pStyle w:val="TableText"/>
              <w:jc w:val="center"/>
              <w:rPr>
                <w:sz w:val="20"/>
              </w:rPr>
            </w:pPr>
            <w:r>
              <w:rPr>
                <w:sz w:val="20"/>
              </w:rPr>
              <w:t>7</w:t>
            </w:r>
          </w:p>
        </w:tc>
        <w:tc>
          <w:tcPr>
            <w:tcW w:w="786" w:type="dxa"/>
            <w:gridSpan w:val="2"/>
          </w:tcPr>
          <w:p w:rsidR="00B40966" w:rsidRDefault="00B40966">
            <w:pPr>
              <w:pStyle w:val="TableText"/>
              <w:jc w:val="center"/>
              <w:rPr>
                <w:sz w:val="20"/>
              </w:rPr>
            </w:pPr>
            <w:r>
              <w:rPr>
                <w:sz w:val="20"/>
              </w:rPr>
              <w:t>12</w:t>
            </w:r>
          </w:p>
        </w:tc>
        <w:tc>
          <w:tcPr>
            <w:tcW w:w="760" w:type="dxa"/>
            <w:tcBorders>
              <w:left w:val="single" w:sz="6" w:space="0" w:color="auto"/>
            </w:tcBorders>
          </w:tcPr>
          <w:p w:rsidR="00B40966" w:rsidRDefault="00B40966">
            <w:pPr>
              <w:pStyle w:val="TableText"/>
              <w:jc w:val="center"/>
              <w:rPr>
                <w:sz w:val="20"/>
              </w:rPr>
            </w:pPr>
            <w:r>
              <w:rPr>
                <w:sz w:val="20"/>
              </w:rPr>
              <w:t>5</w:t>
            </w:r>
          </w:p>
        </w:tc>
        <w:tc>
          <w:tcPr>
            <w:tcW w:w="722" w:type="dxa"/>
          </w:tcPr>
          <w:p w:rsidR="00B40966" w:rsidRDefault="00B40966">
            <w:pPr>
              <w:pStyle w:val="TableText"/>
              <w:jc w:val="center"/>
              <w:rPr>
                <w:sz w:val="20"/>
              </w:rPr>
            </w:pPr>
            <w:r>
              <w:rPr>
                <w:sz w:val="20"/>
              </w:rPr>
              <w:t>7</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15</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720" w:type="dxa"/>
            <w:gridSpan w:val="4"/>
          </w:tcPr>
          <w:p w:rsidR="00B40966" w:rsidRDefault="00B40966">
            <w:pPr>
              <w:pStyle w:val="TableText"/>
              <w:jc w:val="center"/>
              <w:rPr>
                <w:sz w:val="20"/>
              </w:rPr>
            </w:pPr>
            <w:r>
              <w:rPr>
                <w:sz w:val="20"/>
              </w:rPr>
              <w:t>6</w:t>
            </w:r>
          </w:p>
        </w:tc>
        <w:tc>
          <w:tcPr>
            <w:tcW w:w="816" w:type="dxa"/>
          </w:tcPr>
          <w:p w:rsidR="00B40966" w:rsidRDefault="00B40966">
            <w:pPr>
              <w:pStyle w:val="TableText"/>
              <w:jc w:val="center"/>
              <w:rPr>
                <w:sz w:val="20"/>
              </w:rPr>
            </w:pPr>
            <w:r>
              <w:rPr>
                <w:sz w:val="20"/>
              </w:rPr>
              <w:t>4</w:t>
            </w:r>
          </w:p>
        </w:tc>
        <w:tc>
          <w:tcPr>
            <w:tcW w:w="600" w:type="dxa"/>
            <w:tcBorders>
              <w:left w:val="single" w:sz="6" w:space="0" w:color="auto"/>
            </w:tcBorders>
          </w:tcPr>
          <w:p w:rsidR="00B40966" w:rsidRDefault="00B40966">
            <w:pPr>
              <w:pStyle w:val="TableText"/>
              <w:jc w:val="center"/>
              <w:rPr>
                <w:sz w:val="20"/>
              </w:rPr>
            </w:pPr>
            <w:r>
              <w:rPr>
                <w:sz w:val="20"/>
              </w:rPr>
              <w:t>12</w:t>
            </w:r>
          </w:p>
        </w:tc>
        <w:tc>
          <w:tcPr>
            <w:tcW w:w="720" w:type="dxa"/>
            <w:gridSpan w:val="2"/>
          </w:tcPr>
          <w:p w:rsidR="00B40966" w:rsidRDefault="00B40966">
            <w:pPr>
              <w:pStyle w:val="TableText"/>
              <w:jc w:val="center"/>
              <w:rPr>
                <w:sz w:val="20"/>
              </w:rPr>
            </w:pPr>
            <w:r>
              <w:rPr>
                <w:sz w:val="20"/>
              </w:rPr>
              <w:t>0</w:t>
            </w:r>
          </w:p>
        </w:tc>
        <w:tc>
          <w:tcPr>
            <w:tcW w:w="752" w:type="dxa"/>
            <w:tcBorders>
              <w:left w:val="single" w:sz="6" w:space="0" w:color="auto"/>
            </w:tcBorders>
          </w:tcPr>
          <w:p w:rsidR="00B40966" w:rsidRDefault="00B40966">
            <w:pPr>
              <w:pStyle w:val="TableText"/>
              <w:jc w:val="center"/>
              <w:rPr>
                <w:sz w:val="20"/>
              </w:rPr>
            </w:pPr>
            <w:r>
              <w:rPr>
                <w:sz w:val="20"/>
              </w:rPr>
              <w:t>10</w:t>
            </w:r>
          </w:p>
        </w:tc>
        <w:tc>
          <w:tcPr>
            <w:tcW w:w="820" w:type="dxa"/>
          </w:tcPr>
          <w:p w:rsidR="00B40966" w:rsidRDefault="00B40966">
            <w:pPr>
              <w:pStyle w:val="TableText"/>
              <w:jc w:val="center"/>
              <w:rPr>
                <w:sz w:val="20"/>
              </w:rPr>
            </w:pPr>
            <w:r>
              <w:rPr>
                <w:sz w:val="20"/>
              </w:rPr>
              <w:t>15</w:t>
            </w:r>
          </w:p>
        </w:tc>
        <w:tc>
          <w:tcPr>
            <w:tcW w:w="780" w:type="dxa"/>
            <w:gridSpan w:val="2"/>
            <w:tcBorders>
              <w:left w:val="single" w:sz="6" w:space="0" w:color="auto"/>
            </w:tcBorders>
          </w:tcPr>
          <w:p w:rsidR="00B40966" w:rsidRDefault="00B40966">
            <w:pPr>
              <w:pStyle w:val="TableText"/>
              <w:jc w:val="center"/>
              <w:rPr>
                <w:sz w:val="20"/>
              </w:rPr>
            </w:pPr>
            <w:r>
              <w:rPr>
                <w:sz w:val="20"/>
              </w:rPr>
              <w:t>8</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6</w:t>
            </w:r>
          </w:p>
        </w:tc>
        <w:tc>
          <w:tcPr>
            <w:tcW w:w="722" w:type="dxa"/>
          </w:tcPr>
          <w:p w:rsidR="00B40966" w:rsidRDefault="00B40966">
            <w:pPr>
              <w:pStyle w:val="TableText"/>
              <w:jc w:val="center"/>
              <w:rPr>
                <w:sz w:val="20"/>
              </w:rPr>
            </w:pPr>
            <w:r>
              <w:rPr>
                <w:sz w:val="20"/>
              </w:rPr>
              <w:t>4</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62" w:type="dxa"/>
            <w:gridSpan w:val="2"/>
          </w:tcPr>
          <w:p w:rsidR="00B40966" w:rsidRDefault="00B40966">
            <w:pPr>
              <w:pStyle w:val="TableText"/>
              <w:jc w:val="center"/>
              <w:rPr>
                <w:sz w:val="20"/>
              </w:rPr>
            </w:pPr>
            <w:r>
              <w:rPr>
                <w:sz w:val="20"/>
              </w:rPr>
              <w:t>4</w:t>
            </w:r>
          </w:p>
        </w:tc>
      </w:tr>
      <w:tr w:rsidR="00B40966">
        <w:trPr>
          <w:cantSplit/>
          <w:trHeight w:val="200"/>
        </w:trPr>
        <w:tc>
          <w:tcPr>
            <w:tcW w:w="968" w:type="dxa"/>
          </w:tcPr>
          <w:p w:rsidR="00B40966" w:rsidRDefault="00B40966">
            <w:pPr>
              <w:pStyle w:val="TableText"/>
              <w:jc w:val="center"/>
              <w:rPr>
                <w:sz w:val="20"/>
              </w:rPr>
            </w:pPr>
            <w:r>
              <w:rPr>
                <w:sz w:val="20"/>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720" w:type="dxa"/>
            <w:gridSpan w:val="4"/>
          </w:tcPr>
          <w:p w:rsidR="00B40966" w:rsidRDefault="00B40966">
            <w:pPr>
              <w:pStyle w:val="TableText"/>
              <w:jc w:val="center"/>
              <w:rPr>
                <w:sz w:val="20"/>
              </w:rPr>
            </w:pPr>
            <w:r>
              <w:rPr>
                <w:sz w:val="20"/>
              </w:rPr>
              <w:t>7</w:t>
            </w:r>
          </w:p>
        </w:tc>
        <w:tc>
          <w:tcPr>
            <w:tcW w:w="816" w:type="dxa"/>
          </w:tcPr>
          <w:p w:rsidR="00B40966" w:rsidRDefault="00B40966">
            <w:pPr>
              <w:pStyle w:val="TableText"/>
              <w:jc w:val="center"/>
              <w:rPr>
                <w:sz w:val="20"/>
              </w:rPr>
            </w:pPr>
            <w:r>
              <w:rPr>
                <w:sz w:val="20"/>
              </w:rPr>
              <w:t>2</w:t>
            </w:r>
          </w:p>
        </w:tc>
        <w:tc>
          <w:tcPr>
            <w:tcW w:w="600" w:type="dxa"/>
            <w:tcBorders>
              <w:left w:val="single" w:sz="6" w:space="0" w:color="auto"/>
            </w:tcBorders>
          </w:tcPr>
          <w:p w:rsidR="00B40966" w:rsidRDefault="00B40966">
            <w:pPr>
              <w:pStyle w:val="TableText"/>
              <w:jc w:val="center"/>
              <w:rPr>
                <w:sz w:val="20"/>
              </w:rPr>
            </w:pPr>
            <w:r>
              <w:rPr>
                <w:sz w:val="20"/>
              </w:rPr>
              <w:t>13</w:t>
            </w:r>
          </w:p>
        </w:tc>
        <w:tc>
          <w:tcPr>
            <w:tcW w:w="720" w:type="dxa"/>
            <w:gridSpan w:val="2"/>
          </w:tcPr>
          <w:p w:rsidR="00B40966" w:rsidRDefault="00B40966">
            <w:pPr>
              <w:pStyle w:val="TableText"/>
              <w:jc w:val="center"/>
              <w:rPr>
                <w:sz w:val="20"/>
              </w:rPr>
            </w:pPr>
            <w:r>
              <w:rPr>
                <w:sz w:val="20"/>
              </w:rPr>
              <w:t>15</w:t>
            </w:r>
          </w:p>
        </w:tc>
        <w:tc>
          <w:tcPr>
            <w:tcW w:w="752" w:type="dxa"/>
            <w:tcBorders>
              <w:left w:val="single" w:sz="6" w:space="0" w:color="auto"/>
            </w:tcBorders>
          </w:tcPr>
          <w:p w:rsidR="00B40966" w:rsidRDefault="00B40966">
            <w:pPr>
              <w:pStyle w:val="TableText"/>
              <w:jc w:val="center"/>
              <w:rPr>
                <w:sz w:val="20"/>
              </w:rPr>
            </w:pPr>
            <w:r>
              <w:rPr>
                <w:sz w:val="20"/>
              </w:rPr>
              <w:t>12</w:t>
            </w:r>
          </w:p>
        </w:tc>
        <w:tc>
          <w:tcPr>
            <w:tcW w:w="820" w:type="dxa"/>
          </w:tcPr>
          <w:p w:rsidR="00B40966" w:rsidRDefault="00B40966">
            <w:pPr>
              <w:pStyle w:val="TableText"/>
              <w:jc w:val="center"/>
              <w:rPr>
                <w:sz w:val="20"/>
              </w:rPr>
            </w:pPr>
            <w:r>
              <w:rPr>
                <w:sz w:val="20"/>
              </w:rPr>
              <w:t>7</w:t>
            </w:r>
          </w:p>
        </w:tc>
        <w:tc>
          <w:tcPr>
            <w:tcW w:w="780" w:type="dxa"/>
            <w:gridSpan w:val="2"/>
            <w:tcBorders>
              <w:left w:val="single" w:sz="6" w:space="0" w:color="auto"/>
            </w:tcBorders>
          </w:tcPr>
          <w:p w:rsidR="00B40966" w:rsidRDefault="00B40966">
            <w:pPr>
              <w:pStyle w:val="TableText"/>
              <w:jc w:val="center"/>
              <w:rPr>
                <w:sz w:val="20"/>
              </w:rPr>
            </w:pPr>
            <w:r>
              <w:rPr>
                <w:sz w:val="20"/>
              </w:rPr>
              <w:t>10</w:t>
            </w:r>
          </w:p>
        </w:tc>
        <w:tc>
          <w:tcPr>
            <w:tcW w:w="786" w:type="dxa"/>
            <w:gridSpan w:val="2"/>
          </w:tcPr>
          <w:p w:rsidR="00B40966" w:rsidRDefault="00B40966">
            <w:pPr>
              <w:pStyle w:val="TableText"/>
              <w:jc w:val="center"/>
              <w:rPr>
                <w:sz w:val="20"/>
              </w:rPr>
            </w:pPr>
            <w:r>
              <w:rPr>
                <w:sz w:val="20"/>
              </w:rPr>
              <w:t>2</w:t>
            </w:r>
          </w:p>
        </w:tc>
        <w:tc>
          <w:tcPr>
            <w:tcW w:w="760" w:type="dxa"/>
            <w:tcBorders>
              <w:left w:val="single" w:sz="6" w:space="0" w:color="auto"/>
            </w:tcBorders>
          </w:tcPr>
          <w:p w:rsidR="00B40966" w:rsidRDefault="00B40966">
            <w:pPr>
              <w:pStyle w:val="TableText"/>
              <w:jc w:val="center"/>
              <w:rPr>
                <w:sz w:val="20"/>
              </w:rPr>
            </w:pPr>
            <w:r>
              <w:rPr>
                <w:sz w:val="20"/>
              </w:rPr>
              <w:t>7</w:t>
            </w:r>
          </w:p>
        </w:tc>
        <w:tc>
          <w:tcPr>
            <w:tcW w:w="722" w:type="dxa"/>
          </w:tcPr>
          <w:p w:rsidR="00B40966" w:rsidRDefault="00B40966">
            <w:pPr>
              <w:pStyle w:val="TableText"/>
              <w:jc w:val="center"/>
              <w:rPr>
                <w:sz w:val="20"/>
              </w:rPr>
            </w:pPr>
            <w:r>
              <w:rPr>
                <w:sz w:val="20"/>
              </w:rPr>
              <w:t>2</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62" w:type="dxa"/>
            <w:gridSpan w:val="2"/>
          </w:tcPr>
          <w:p w:rsidR="00B40966" w:rsidRDefault="00B40966">
            <w:pPr>
              <w:pStyle w:val="TableText"/>
              <w:jc w:val="center"/>
              <w:rPr>
                <w:sz w:val="20"/>
              </w:rPr>
            </w:pPr>
            <w:r>
              <w:rPr>
                <w:sz w:val="20"/>
              </w:rPr>
              <w:t>14</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720" w:type="dxa"/>
            <w:gridSpan w:val="4"/>
          </w:tcPr>
          <w:p w:rsidR="00B40966" w:rsidRDefault="00B40966">
            <w:pPr>
              <w:pStyle w:val="TableText"/>
              <w:jc w:val="center"/>
              <w:rPr>
                <w:sz w:val="20"/>
              </w:rPr>
            </w:pPr>
            <w:r>
              <w:rPr>
                <w:sz w:val="20"/>
              </w:rPr>
              <w:t>8</w:t>
            </w:r>
          </w:p>
        </w:tc>
        <w:tc>
          <w:tcPr>
            <w:tcW w:w="816" w:type="dxa"/>
          </w:tcPr>
          <w:p w:rsidR="00B40966" w:rsidRDefault="00B40966">
            <w:pPr>
              <w:pStyle w:val="TableText"/>
              <w:jc w:val="center"/>
              <w:rPr>
                <w:sz w:val="20"/>
              </w:rPr>
            </w:pPr>
            <w:r>
              <w:rPr>
                <w:sz w:val="20"/>
              </w:rPr>
              <w:t>2</w:t>
            </w:r>
          </w:p>
        </w:tc>
        <w:tc>
          <w:tcPr>
            <w:tcW w:w="600" w:type="dxa"/>
            <w:tcBorders>
              <w:left w:val="single" w:sz="6" w:space="0" w:color="auto"/>
            </w:tcBorders>
          </w:tcPr>
          <w:p w:rsidR="00B40966" w:rsidRDefault="00B40966">
            <w:pPr>
              <w:pStyle w:val="TableText"/>
              <w:jc w:val="center"/>
              <w:rPr>
                <w:sz w:val="20"/>
              </w:rPr>
            </w:pPr>
            <w:r>
              <w:rPr>
                <w:sz w:val="20"/>
              </w:rPr>
              <w:t>15</w:t>
            </w:r>
          </w:p>
        </w:tc>
        <w:tc>
          <w:tcPr>
            <w:tcW w:w="720" w:type="dxa"/>
            <w:gridSpan w:val="2"/>
          </w:tcPr>
          <w:p w:rsidR="00B40966" w:rsidRDefault="00B40966">
            <w:pPr>
              <w:pStyle w:val="TableText"/>
              <w:jc w:val="center"/>
              <w:rPr>
                <w:sz w:val="20"/>
              </w:rPr>
            </w:pPr>
            <w:r>
              <w:rPr>
                <w:sz w:val="20"/>
              </w:rPr>
              <w:t>13</w:t>
            </w:r>
          </w:p>
        </w:tc>
        <w:tc>
          <w:tcPr>
            <w:tcW w:w="752" w:type="dxa"/>
            <w:tcBorders>
              <w:left w:val="single" w:sz="6" w:space="0" w:color="auto"/>
            </w:tcBorders>
          </w:tcPr>
          <w:p w:rsidR="00B40966" w:rsidRDefault="00B40966">
            <w:pPr>
              <w:pStyle w:val="TableText"/>
              <w:jc w:val="center"/>
              <w:rPr>
                <w:sz w:val="20"/>
              </w:rPr>
            </w:pPr>
            <w:r>
              <w:rPr>
                <w:sz w:val="20"/>
              </w:rPr>
              <w:t>14</w:t>
            </w:r>
          </w:p>
        </w:tc>
        <w:tc>
          <w:tcPr>
            <w:tcW w:w="820" w:type="dxa"/>
          </w:tcPr>
          <w:p w:rsidR="00B40966" w:rsidRDefault="00B40966">
            <w:pPr>
              <w:pStyle w:val="TableText"/>
              <w:jc w:val="center"/>
              <w:rPr>
                <w:sz w:val="20"/>
              </w:rPr>
            </w:pPr>
            <w:r>
              <w:rPr>
                <w:sz w:val="20"/>
              </w:rPr>
              <w:t>1</w:t>
            </w:r>
          </w:p>
        </w:tc>
        <w:tc>
          <w:tcPr>
            <w:tcW w:w="780" w:type="dxa"/>
            <w:gridSpan w:val="2"/>
            <w:tcBorders>
              <w:left w:val="single" w:sz="6" w:space="0" w:color="auto"/>
            </w:tcBorders>
          </w:tcPr>
          <w:p w:rsidR="00B40966" w:rsidRDefault="00B40966">
            <w:pPr>
              <w:pStyle w:val="TableText"/>
              <w:jc w:val="center"/>
              <w:rPr>
                <w:sz w:val="20"/>
              </w:rPr>
            </w:pPr>
            <w:r>
              <w:rPr>
                <w:sz w:val="20"/>
              </w:rPr>
              <w:t>11</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8</w:t>
            </w:r>
          </w:p>
        </w:tc>
        <w:tc>
          <w:tcPr>
            <w:tcW w:w="722" w:type="dxa"/>
          </w:tcPr>
          <w:p w:rsidR="00B40966" w:rsidRDefault="00B40966">
            <w:pPr>
              <w:pStyle w:val="TableText"/>
              <w:jc w:val="center"/>
              <w:rPr>
                <w:sz w:val="20"/>
              </w:rPr>
            </w:pPr>
            <w:r>
              <w:rPr>
                <w:sz w:val="20"/>
              </w:rPr>
              <w:t>2</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62" w:type="dxa"/>
            <w:gridSpan w:val="2"/>
          </w:tcPr>
          <w:p w:rsidR="00B40966" w:rsidRDefault="00B40966">
            <w:pPr>
              <w:pStyle w:val="TableText"/>
              <w:jc w:val="center"/>
              <w:rPr>
                <w:sz w:val="20"/>
              </w:rPr>
            </w:pPr>
            <w:r>
              <w:rPr>
                <w:sz w:val="20"/>
              </w:rPr>
              <w:t>4</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720" w:type="dxa"/>
            <w:gridSpan w:val="4"/>
          </w:tcPr>
          <w:p w:rsidR="00B40966" w:rsidRDefault="00B40966">
            <w:pPr>
              <w:pStyle w:val="TableText"/>
              <w:jc w:val="center"/>
              <w:rPr>
                <w:sz w:val="20"/>
              </w:rPr>
            </w:pPr>
            <w:r>
              <w:rPr>
                <w:sz w:val="20"/>
              </w:rPr>
              <w:t>8</w:t>
            </w:r>
          </w:p>
        </w:tc>
        <w:tc>
          <w:tcPr>
            <w:tcW w:w="816" w:type="dxa"/>
          </w:tcPr>
          <w:p w:rsidR="00B40966" w:rsidRDefault="00B40966">
            <w:pPr>
              <w:pStyle w:val="TableText"/>
              <w:jc w:val="center"/>
              <w:rPr>
                <w:sz w:val="20"/>
              </w:rPr>
            </w:pPr>
            <w:r>
              <w:rPr>
                <w:sz w:val="20"/>
              </w:rPr>
              <w:t>18</w:t>
            </w:r>
          </w:p>
        </w:tc>
        <w:tc>
          <w:tcPr>
            <w:tcW w:w="600" w:type="dxa"/>
            <w:tcBorders>
              <w:left w:val="single" w:sz="6" w:space="0" w:color="auto"/>
            </w:tcBorders>
          </w:tcPr>
          <w:p w:rsidR="00B40966" w:rsidRDefault="00B40966">
            <w:pPr>
              <w:pStyle w:val="TableText"/>
              <w:jc w:val="center"/>
              <w:rPr>
                <w:sz w:val="20"/>
              </w:rPr>
            </w:pPr>
            <w:r>
              <w:rPr>
                <w:sz w:val="20"/>
              </w:rPr>
              <w:t>17</w:t>
            </w:r>
          </w:p>
        </w:tc>
        <w:tc>
          <w:tcPr>
            <w:tcW w:w="720" w:type="dxa"/>
            <w:gridSpan w:val="2"/>
          </w:tcPr>
          <w:p w:rsidR="00B40966" w:rsidRDefault="00B40966">
            <w:pPr>
              <w:pStyle w:val="TableText"/>
              <w:jc w:val="center"/>
              <w:rPr>
                <w:sz w:val="20"/>
              </w:rPr>
            </w:pPr>
            <w:r>
              <w:rPr>
                <w:sz w:val="20"/>
              </w:rPr>
              <w:t>4</w:t>
            </w:r>
          </w:p>
        </w:tc>
        <w:tc>
          <w:tcPr>
            <w:tcW w:w="752" w:type="dxa"/>
            <w:tcBorders>
              <w:left w:val="single" w:sz="6" w:space="0" w:color="auto"/>
            </w:tcBorders>
          </w:tcPr>
          <w:p w:rsidR="00B40966" w:rsidRDefault="00B40966">
            <w:pPr>
              <w:pStyle w:val="TableText"/>
              <w:jc w:val="center"/>
              <w:rPr>
                <w:sz w:val="20"/>
              </w:rPr>
            </w:pPr>
            <w:r>
              <w:rPr>
                <w:sz w:val="20"/>
              </w:rPr>
              <w:t>15</w:t>
            </w:r>
          </w:p>
        </w:tc>
        <w:tc>
          <w:tcPr>
            <w:tcW w:w="820" w:type="dxa"/>
          </w:tcPr>
          <w:p w:rsidR="00B40966" w:rsidRDefault="00B40966">
            <w:pPr>
              <w:pStyle w:val="TableText"/>
              <w:jc w:val="center"/>
              <w:rPr>
                <w:sz w:val="20"/>
              </w:rPr>
            </w:pPr>
            <w:r>
              <w:rPr>
                <w:sz w:val="20"/>
              </w:rPr>
              <w:t>8</w:t>
            </w:r>
          </w:p>
        </w:tc>
        <w:tc>
          <w:tcPr>
            <w:tcW w:w="780" w:type="dxa"/>
            <w:gridSpan w:val="2"/>
            <w:tcBorders>
              <w:left w:val="single" w:sz="6" w:space="0" w:color="auto"/>
            </w:tcBorders>
          </w:tcPr>
          <w:p w:rsidR="00B40966" w:rsidRDefault="00B40966">
            <w:pPr>
              <w:pStyle w:val="TableText"/>
              <w:jc w:val="center"/>
              <w:rPr>
                <w:sz w:val="20"/>
              </w:rPr>
            </w:pPr>
            <w:r>
              <w:rPr>
                <w:sz w:val="20"/>
              </w:rPr>
              <w:t>12</w:t>
            </w:r>
          </w:p>
        </w:tc>
        <w:tc>
          <w:tcPr>
            <w:tcW w:w="786" w:type="dxa"/>
            <w:gridSpan w:val="2"/>
          </w:tcPr>
          <w:p w:rsidR="00B40966" w:rsidRDefault="00B40966">
            <w:pPr>
              <w:pStyle w:val="TableText"/>
              <w:jc w:val="center"/>
              <w:rPr>
                <w:sz w:val="20"/>
              </w:rPr>
            </w:pPr>
            <w:r>
              <w:rPr>
                <w:sz w:val="20"/>
              </w:rPr>
              <w:t>12</w:t>
            </w:r>
          </w:p>
        </w:tc>
        <w:tc>
          <w:tcPr>
            <w:tcW w:w="760" w:type="dxa"/>
            <w:tcBorders>
              <w:left w:val="single" w:sz="6" w:space="0" w:color="auto"/>
            </w:tcBorders>
          </w:tcPr>
          <w:p w:rsidR="00B40966" w:rsidRDefault="00B40966">
            <w:pPr>
              <w:pStyle w:val="TableText"/>
              <w:jc w:val="center"/>
              <w:rPr>
                <w:sz w:val="20"/>
              </w:rPr>
            </w:pPr>
            <w:r>
              <w:rPr>
                <w:sz w:val="20"/>
              </w:rPr>
              <w:t>8</w:t>
            </w:r>
          </w:p>
        </w:tc>
        <w:tc>
          <w:tcPr>
            <w:tcW w:w="722" w:type="dxa"/>
          </w:tcPr>
          <w:p w:rsidR="00B40966" w:rsidRDefault="00B40966">
            <w:pPr>
              <w:pStyle w:val="TableText"/>
              <w:jc w:val="center"/>
              <w:rPr>
                <w:sz w:val="20"/>
              </w:rPr>
            </w:pPr>
            <w:r>
              <w:rPr>
                <w:sz w:val="20"/>
              </w:rPr>
              <w:t>18</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62" w:type="dxa"/>
            <w:gridSpan w:val="2"/>
          </w:tcPr>
          <w:p w:rsidR="00B40966" w:rsidRDefault="00B40966">
            <w:pPr>
              <w:pStyle w:val="TableText"/>
              <w:jc w:val="center"/>
              <w:rPr>
                <w:sz w:val="20"/>
              </w:rPr>
            </w:pPr>
            <w:r>
              <w:rPr>
                <w:sz w:val="20"/>
              </w:rPr>
              <w:t>12</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720" w:type="dxa"/>
            <w:gridSpan w:val="4"/>
          </w:tcPr>
          <w:p w:rsidR="00B40966" w:rsidRDefault="00B40966">
            <w:pPr>
              <w:pStyle w:val="TableText"/>
              <w:jc w:val="center"/>
              <w:rPr>
                <w:sz w:val="20"/>
              </w:rPr>
            </w:pPr>
            <w:r>
              <w:rPr>
                <w:sz w:val="20"/>
              </w:rPr>
              <w:t>10</w:t>
            </w:r>
          </w:p>
        </w:tc>
        <w:tc>
          <w:tcPr>
            <w:tcW w:w="816" w:type="dxa"/>
          </w:tcPr>
          <w:p w:rsidR="00B40966" w:rsidRDefault="00B40966">
            <w:pPr>
              <w:pStyle w:val="TableText"/>
              <w:jc w:val="center"/>
              <w:rPr>
                <w:sz w:val="20"/>
              </w:rPr>
            </w:pPr>
            <w:r>
              <w:rPr>
                <w:sz w:val="20"/>
              </w:rPr>
              <w:t>0</w:t>
            </w:r>
          </w:p>
        </w:tc>
        <w:tc>
          <w:tcPr>
            <w:tcW w:w="600" w:type="dxa"/>
            <w:tcBorders>
              <w:left w:val="single" w:sz="6" w:space="0" w:color="auto"/>
            </w:tcBorders>
          </w:tcPr>
          <w:p w:rsidR="00B40966" w:rsidRDefault="00B40966">
            <w:pPr>
              <w:pStyle w:val="TableText"/>
              <w:jc w:val="center"/>
              <w:rPr>
                <w:sz w:val="20"/>
              </w:rPr>
            </w:pPr>
            <w:r>
              <w:rPr>
                <w:sz w:val="20"/>
              </w:rPr>
              <w:t>19</w:t>
            </w:r>
          </w:p>
        </w:tc>
        <w:tc>
          <w:tcPr>
            <w:tcW w:w="720" w:type="dxa"/>
            <w:gridSpan w:val="2"/>
          </w:tcPr>
          <w:p w:rsidR="00B40966" w:rsidRDefault="00B40966">
            <w:pPr>
              <w:pStyle w:val="TableText"/>
              <w:jc w:val="center"/>
              <w:rPr>
                <w:sz w:val="20"/>
              </w:rPr>
            </w:pPr>
            <w:r>
              <w:rPr>
                <w:sz w:val="20"/>
              </w:rPr>
              <w:t>6</w:t>
            </w:r>
          </w:p>
        </w:tc>
        <w:tc>
          <w:tcPr>
            <w:tcW w:w="752" w:type="dxa"/>
            <w:tcBorders>
              <w:left w:val="single" w:sz="6" w:space="0" w:color="auto"/>
            </w:tcBorders>
          </w:tcPr>
          <w:p w:rsidR="00B40966" w:rsidRDefault="00B40966">
            <w:pPr>
              <w:pStyle w:val="TableText"/>
              <w:jc w:val="center"/>
              <w:rPr>
                <w:sz w:val="20"/>
              </w:rPr>
            </w:pPr>
            <w:r>
              <w:rPr>
                <w:sz w:val="20"/>
              </w:rPr>
              <w:t>17</w:t>
            </w:r>
          </w:p>
        </w:tc>
        <w:tc>
          <w:tcPr>
            <w:tcW w:w="820" w:type="dxa"/>
          </w:tcPr>
          <w:p w:rsidR="00B40966" w:rsidRDefault="00B40966">
            <w:pPr>
              <w:pStyle w:val="TableText"/>
              <w:jc w:val="center"/>
              <w:rPr>
                <w:sz w:val="20"/>
              </w:rPr>
            </w:pPr>
            <w:r>
              <w:rPr>
                <w:sz w:val="20"/>
              </w:rPr>
              <w:t>6</w:t>
            </w:r>
          </w:p>
        </w:tc>
        <w:tc>
          <w:tcPr>
            <w:tcW w:w="780" w:type="dxa"/>
            <w:gridSpan w:val="2"/>
            <w:tcBorders>
              <w:left w:val="single" w:sz="6" w:space="0" w:color="auto"/>
            </w:tcBorders>
          </w:tcPr>
          <w:p w:rsidR="00B40966" w:rsidRDefault="00B40966">
            <w:pPr>
              <w:pStyle w:val="TableText"/>
              <w:jc w:val="center"/>
              <w:rPr>
                <w:sz w:val="20"/>
              </w:rPr>
            </w:pPr>
            <w:r>
              <w:rPr>
                <w:sz w:val="20"/>
              </w:rPr>
              <w:t>14</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10</w:t>
            </w:r>
          </w:p>
        </w:tc>
        <w:tc>
          <w:tcPr>
            <w:tcW w:w="722" w:type="dxa"/>
          </w:tcPr>
          <w:p w:rsidR="00B40966" w:rsidRDefault="00B40966">
            <w:pPr>
              <w:pStyle w:val="TableText"/>
              <w:jc w:val="center"/>
              <w:rPr>
                <w:sz w:val="20"/>
              </w:rPr>
            </w:pPr>
            <w:r>
              <w:rPr>
                <w:sz w:val="20"/>
              </w:rPr>
              <w:t>0</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62" w:type="dxa"/>
            <w:gridSpan w:val="2"/>
          </w:tcPr>
          <w:p w:rsidR="00B40966" w:rsidRDefault="00B40966">
            <w:pPr>
              <w:pStyle w:val="TableText"/>
              <w:jc w:val="center"/>
              <w:rPr>
                <w:sz w:val="20"/>
              </w:rPr>
            </w:pPr>
            <w:r>
              <w:rPr>
                <w:sz w:val="20"/>
              </w:rPr>
              <w:t>3</w:t>
            </w:r>
          </w:p>
        </w:tc>
      </w:tr>
      <w:tr w:rsidR="00B40966">
        <w:trPr>
          <w:cantSplit/>
          <w:trHeight w:val="200"/>
        </w:trPr>
        <w:tc>
          <w:tcPr>
            <w:tcW w:w="968" w:type="dxa"/>
          </w:tcPr>
          <w:p w:rsidR="00B40966" w:rsidRDefault="00B40966">
            <w:pPr>
              <w:pStyle w:val="TableText"/>
              <w:jc w:val="center"/>
              <w:rPr>
                <w:sz w:val="20"/>
              </w:rPr>
            </w:pPr>
            <w:r>
              <w:rPr>
                <w:sz w:val="20"/>
              </w:rPr>
              <w:t>5</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720" w:type="dxa"/>
            <w:gridSpan w:val="4"/>
          </w:tcPr>
          <w:p w:rsidR="00B40966" w:rsidRDefault="00B40966">
            <w:pPr>
              <w:pStyle w:val="TableText"/>
              <w:jc w:val="center"/>
              <w:rPr>
                <w:sz w:val="20"/>
              </w:rPr>
            </w:pPr>
            <w:r>
              <w:rPr>
                <w:sz w:val="20"/>
              </w:rPr>
              <w:t>11</w:t>
            </w:r>
          </w:p>
        </w:tc>
        <w:tc>
          <w:tcPr>
            <w:tcW w:w="816" w:type="dxa"/>
          </w:tcPr>
          <w:p w:rsidR="00B40966" w:rsidRDefault="00B40966">
            <w:pPr>
              <w:pStyle w:val="TableText"/>
              <w:jc w:val="center"/>
              <w:rPr>
                <w:sz w:val="20"/>
              </w:rPr>
            </w:pPr>
            <w:r>
              <w:rPr>
                <w:sz w:val="20"/>
              </w:rPr>
              <w:t>3</w:t>
            </w:r>
          </w:p>
        </w:tc>
        <w:tc>
          <w:tcPr>
            <w:tcW w:w="600" w:type="dxa"/>
            <w:tcBorders>
              <w:left w:val="single" w:sz="6" w:space="0" w:color="auto"/>
            </w:tcBorders>
          </w:tcPr>
          <w:p w:rsidR="00B40966" w:rsidRDefault="00B40966">
            <w:pPr>
              <w:pStyle w:val="TableText"/>
              <w:jc w:val="center"/>
              <w:rPr>
                <w:sz w:val="20"/>
              </w:rPr>
            </w:pPr>
            <w:r>
              <w:rPr>
                <w:sz w:val="20"/>
              </w:rPr>
              <w:t>21</w:t>
            </w:r>
          </w:p>
        </w:tc>
        <w:tc>
          <w:tcPr>
            <w:tcW w:w="720" w:type="dxa"/>
            <w:gridSpan w:val="2"/>
          </w:tcPr>
          <w:p w:rsidR="00B40966" w:rsidRDefault="00B40966">
            <w:pPr>
              <w:pStyle w:val="TableText"/>
              <w:jc w:val="center"/>
              <w:rPr>
                <w:sz w:val="20"/>
              </w:rPr>
            </w:pPr>
            <w:r>
              <w:rPr>
                <w:sz w:val="20"/>
              </w:rPr>
              <w:t>11</w:t>
            </w:r>
          </w:p>
        </w:tc>
        <w:tc>
          <w:tcPr>
            <w:tcW w:w="752" w:type="dxa"/>
            <w:tcBorders>
              <w:left w:val="single" w:sz="6" w:space="0" w:color="auto"/>
            </w:tcBorders>
          </w:tcPr>
          <w:p w:rsidR="00B40966" w:rsidRDefault="00B40966">
            <w:pPr>
              <w:pStyle w:val="TableText"/>
              <w:jc w:val="center"/>
              <w:rPr>
                <w:sz w:val="20"/>
              </w:rPr>
            </w:pPr>
            <w:r>
              <w:rPr>
                <w:sz w:val="20"/>
              </w:rPr>
              <w:t>19</w:t>
            </w:r>
          </w:p>
        </w:tc>
        <w:tc>
          <w:tcPr>
            <w:tcW w:w="820" w:type="dxa"/>
          </w:tcPr>
          <w:p w:rsidR="00B40966" w:rsidRDefault="00B40966">
            <w:pPr>
              <w:pStyle w:val="TableText"/>
              <w:jc w:val="center"/>
              <w:rPr>
                <w:sz w:val="20"/>
              </w:rPr>
            </w:pPr>
            <w:r>
              <w:rPr>
                <w:sz w:val="20"/>
              </w:rPr>
              <w:t>6</w:t>
            </w:r>
          </w:p>
        </w:tc>
        <w:tc>
          <w:tcPr>
            <w:tcW w:w="780" w:type="dxa"/>
            <w:gridSpan w:val="2"/>
            <w:tcBorders>
              <w:left w:val="single" w:sz="6" w:space="0" w:color="auto"/>
            </w:tcBorders>
          </w:tcPr>
          <w:p w:rsidR="00B40966" w:rsidRDefault="00B40966">
            <w:pPr>
              <w:pStyle w:val="TableText"/>
              <w:jc w:val="center"/>
              <w:rPr>
                <w:sz w:val="20"/>
              </w:rPr>
            </w:pPr>
            <w:r>
              <w:rPr>
                <w:sz w:val="20"/>
              </w:rPr>
              <w:t>15</w:t>
            </w:r>
          </w:p>
        </w:tc>
        <w:tc>
          <w:tcPr>
            <w:tcW w:w="786" w:type="dxa"/>
            <w:gridSpan w:val="2"/>
          </w:tcPr>
          <w:p w:rsidR="00B40966" w:rsidRDefault="00B40966">
            <w:pPr>
              <w:pStyle w:val="TableText"/>
              <w:jc w:val="center"/>
              <w:rPr>
                <w:sz w:val="20"/>
              </w:rPr>
            </w:pPr>
            <w:r>
              <w:rPr>
                <w:sz w:val="20"/>
              </w:rPr>
              <w:t>15</w:t>
            </w:r>
          </w:p>
        </w:tc>
        <w:tc>
          <w:tcPr>
            <w:tcW w:w="760" w:type="dxa"/>
            <w:tcBorders>
              <w:left w:val="single" w:sz="6" w:space="0" w:color="auto"/>
            </w:tcBorders>
          </w:tcPr>
          <w:p w:rsidR="00B40966" w:rsidRDefault="00B40966">
            <w:pPr>
              <w:pStyle w:val="TableText"/>
              <w:jc w:val="center"/>
              <w:rPr>
                <w:sz w:val="20"/>
              </w:rPr>
            </w:pPr>
            <w:r>
              <w:rPr>
                <w:sz w:val="20"/>
              </w:rPr>
              <w:t>11</w:t>
            </w:r>
          </w:p>
        </w:tc>
        <w:tc>
          <w:tcPr>
            <w:tcW w:w="722" w:type="dxa"/>
          </w:tcPr>
          <w:p w:rsidR="00B40966" w:rsidRDefault="00B40966">
            <w:pPr>
              <w:pStyle w:val="TableText"/>
              <w:jc w:val="center"/>
              <w:rPr>
                <w:sz w:val="20"/>
              </w:rPr>
            </w:pPr>
            <w:r>
              <w:rPr>
                <w:sz w:val="20"/>
              </w:rPr>
              <w:t>3</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62" w:type="dxa"/>
            <w:gridSpan w:val="2"/>
          </w:tcPr>
          <w:p w:rsidR="00B40966" w:rsidRDefault="00B40966">
            <w:pPr>
              <w:pStyle w:val="TableText"/>
              <w:jc w:val="center"/>
              <w:rPr>
                <w:sz w:val="20"/>
              </w:rPr>
            </w:pPr>
            <w:r>
              <w:rPr>
                <w:sz w:val="20"/>
              </w:rPr>
              <w:t>15</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720" w:type="dxa"/>
            <w:gridSpan w:val="4"/>
          </w:tcPr>
          <w:p w:rsidR="00B40966" w:rsidRDefault="00B40966">
            <w:pPr>
              <w:pStyle w:val="TableText"/>
              <w:jc w:val="center"/>
              <w:rPr>
                <w:sz w:val="20"/>
              </w:rPr>
            </w:pPr>
            <w:r>
              <w:rPr>
                <w:sz w:val="20"/>
              </w:rPr>
              <w:t>12</w:t>
            </w:r>
          </w:p>
        </w:tc>
        <w:tc>
          <w:tcPr>
            <w:tcW w:w="816" w:type="dxa"/>
          </w:tcPr>
          <w:p w:rsidR="00B40966" w:rsidRDefault="00B40966">
            <w:pPr>
              <w:pStyle w:val="TableText"/>
              <w:jc w:val="center"/>
              <w:rPr>
                <w:sz w:val="20"/>
              </w:rPr>
            </w:pPr>
            <w:r>
              <w:rPr>
                <w:sz w:val="20"/>
              </w:rPr>
              <w:t>7</w:t>
            </w:r>
          </w:p>
        </w:tc>
        <w:tc>
          <w:tcPr>
            <w:tcW w:w="600" w:type="dxa"/>
            <w:tcBorders>
              <w:left w:val="single" w:sz="6" w:space="0" w:color="auto"/>
            </w:tcBorders>
          </w:tcPr>
          <w:p w:rsidR="00B40966" w:rsidRDefault="00B40966">
            <w:pPr>
              <w:pStyle w:val="TableText"/>
              <w:jc w:val="center"/>
              <w:rPr>
                <w:sz w:val="20"/>
              </w:rPr>
            </w:pPr>
            <w:r>
              <w:rPr>
                <w:sz w:val="20"/>
              </w:rPr>
              <w:t>23</w:t>
            </w:r>
          </w:p>
        </w:tc>
        <w:tc>
          <w:tcPr>
            <w:tcW w:w="720" w:type="dxa"/>
            <w:gridSpan w:val="2"/>
          </w:tcPr>
          <w:p w:rsidR="00B40966" w:rsidRDefault="00B40966">
            <w:pPr>
              <w:pStyle w:val="TableText"/>
              <w:jc w:val="center"/>
              <w:rPr>
                <w:sz w:val="20"/>
              </w:rPr>
            </w:pPr>
            <w:r>
              <w:rPr>
                <w:sz w:val="20"/>
              </w:rPr>
              <w:t>17</w:t>
            </w:r>
          </w:p>
        </w:tc>
        <w:tc>
          <w:tcPr>
            <w:tcW w:w="752" w:type="dxa"/>
            <w:tcBorders>
              <w:left w:val="single" w:sz="6" w:space="0" w:color="auto"/>
            </w:tcBorders>
          </w:tcPr>
          <w:p w:rsidR="00B40966" w:rsidRDefault="00B40966">
            <w:pPr>
              <w:pStyle w:val="TableText"/>
              <w:jc w:val="center"/>
              <w:rPr>
                <w:sz w:val="20"/>
              </w:rPr>
            </w:pPr>
            <w:r>
              <w:rPr>
                <w:sz w:val="20"/>
              </w:rPr>
              <w:t>21</w:t>
            </w:r>
          </w:p>
        </w:tc>
        <w:tc>
          <w:tcPr>
            <w:tcW w:w="820" w:type="dxa"/>
          </w:tcPr>
          <w:p w:rsidR="00B40966" w:rsidRDefault="00B40966">
            <w:pPr>
              <w:pStyle w:val="TableText"/>
              <w:jc w:val="center"/>
              <w:rPr>
                <w:sz w:val="20"/>
              </w:rPr>
            </w:pPr>
            <w:r>
              <w:rPr>
                <w:sz w:val="20"/>
              </w:rPr>
              <w:t>8</w:t>
            </w:r>
          </w:p>
        </w:tc>
        <w:tc>
          <w:tcPr>
            <w:tcW w:w="780" w:type="dxa"/>
            <w:gridSpan w:val="2"/>
            <w:tcBorders>
              <w:left w:val="single" w:sz="6" w:space="0" w:color="auto"/>
            </w:tcBorders>
          </w:tcPr>
          <w:p w:rsidR="00B40966" w:rsidRDefault="00B40966">
            <w:pPr>
              <w:pStyle w:val="TableText"/>
              <w:jc w:val="center"/>
              <w:rPr>
                <w:sz w:val="20"/>
              </w:rPr>
            </w:pPr>
            <w:r>
              <w:rPr>
                <w:sz w:val="20"/>
              </w:rPr>
              <w:t>17</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12</w:t>
            </w:r>
          </w:p>
        </w:tc>
        <w:tc>
          <w:tcPr>
            <w:tcW w:w="722" w:type="dxa"/>
          </w:tcPr>
          <w:p w:rsidR="00B40966" w:rsidRDefault="00B40966">
            <w:pPr>
              <w:pStyle w:val="TableText"/>
              <w:jc w:val="center"/>
              <w:rPr>
                <w:sz w:val="20"/>
              </w:rPr>
            </w:pPr>
            <w:r>
              <w:rPr>
                <w:sz w:val="20"/>
              </w:rPr>
              <w:t>7</w:t>
            </w:r>
          </w:p>
        </w:tc>
        <w:tc>
          <w:tcPr>
            <w:tcW w:w="838" w:type="dxa"/>
            <w:gridSpan w:val="2"/>
            <w:tcBorders>
              <w:left w:val="single" w:sz="6" w:space="0" w:color="auto"/>
            </w:tcBorders>
          </w:tcPr>
          <w:p w:rsidR="00B40966" w:rsidRDefault="00B40966">
            <w:pPr>
              <w:pStyle w:val="TableText"/>
              <w:jc w:val="center"/>
              <w:rPr>
                <w:sz w:val="20"/>
              </w:rPr>
            </w:pPr>
            <w:r>
              <w:rPr>
                <w:sz w:val="20"/>
              </w:rPr>
              <w:t>6</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720" w:type="dxa"/>
            <w:gridSpan w:val="4"/>
          </w:tcPr>
          <w:p w:rsidR="00B40966" w:rsidRDefault="00B40966">
            <w:pPr>
              <w:pStyle w:val="TableText"/>
              <w:jc w:val="center"/>
              <w:rPr>
                <w:sz w:val="20"/>
              </w:rPr>
            </w:pPr>
            <w:r>
              <w:rPr>
                <w:sz w:val="20"/>
              </w:rPr>
              <w:t>13</w:t>
            </w:r>
          </w:p>
        </w:tc>
        <w:tc>
          <w:tcPr>
            <w:tcW w:w="816" w:type="dxa"/>
          </w:tcPr>
          <w:p w:rsidR="00B40966" w:rsidRDefault="00B40966">
            <w:pPr>
              <w:pStyle w:val="TableText"/>
              <w:jc w:val="center"/>
              <w:rPr>
                <w:sz w:val="20"/>
              </w:rPr>
            </w:pPr>
            <w:r>
              <w:rPr>
                <w:sz w:val="20"/>
              </w:rPr>
              <w:t>6</w:t>
            </w:r>
          </w:p>
        </w:tc>
        <w:tc>
          <w:tcPr>
            <w:tcW w:w="600" w:type="dxa"/>
            <w:tcBorders>
              <w:left w:val="single" w:sz="6" w:space="0" w:color="auto"/>
            </w:tcBorders>
          </w:tcPr>
          <w:p w:rsidR="00B40966" w:rsidRDefault="00B40966">
            <w:pPr>
              <w:pStyle w:val="TableText"/>
              <w:jc w:val="center"/>
              <w:rPr>
                <w:sz w:val="20"/>
              </w:rPr>
            </w:pPr>
            <w:r>
              <w:rPr>
                <w:sz w:val="20"/>
              </w:rPr>
              <w:t>25</w:t>
            </w:r>
          </w:p>
        </w:tc>
        <w:tc>
          <w:tcPr>
            <w:tcW w:w="720" w:type="dxa"/>
            <w:gridSpan w:val="2"/>
          </w:tcPr>
          <w:p w:rsidR="00B40966" w:rsidRDefault="00B40966">
            <w:pPr>
              <w:pStyle w:val="TableText"/>
              <w:jc w:val="center"/>
              <w:rPr>
                <w:sz w:val="20"/>
              </w:rPr>
            </w:pPr>
            <w:r>
              <w:rPr>
                <w:sz w:val="20"/>
              </w:rPr>
              <w:t>14</w:t>
            </w:r>
          </w:p>
        </w:tc>
        <w:tc>
          <w:tcPr>
            <w:tcW w:w="752" w:type="dxa"/>
            <w:tcBorders>
              <w:left w:val="single" w:sz="6" w:space="0" w:color="auto"/>
            </w:tcBorders>
          </w:tcPr>
          <w:p w:rsidR="00B40966" w:rsidRDefault="00B40966">
            <w:pPr>
              <w:pStyle w:val="TableText"/>
              <w:jc w:val="center"/>
              <w:rPr>
                <w:sz w:val="20"/>
              </w:rPr>
            </w:pPr>
            <w:r>
              <w:rPr>
                <w:sz w:val="20"/>
              </w:rPr>
              <w:t>23</w:t>
            </w:r>
          </w:p>
        </w:tc>
        <w:tc>
          <w:tcPr>
            <w:tcW w:w="820" w:type="dxa"/>
          </w:tcPr>
          <w:p w:rsidR="00B40966" w:rsidRDefault="00B40966">
            <w:pPr>
              <w:pStyle w:val="TableText"/>
              <w:jc w:val="center"/>
              <w:rPr>
                <w:sz w:val="20"/>
              </w:rPr>
            </w:pPr>
            <w:r>
              <w:rPr>
                <w:sz w:val="20"/>
              </w:rPr>
              <w:t>1</w:t>
            </w:r>
          </w:p>
        </w:tc>
        <w:tc>
          <w:tcPr>
            <w:tcW w:w="780" w:type="dxa"/>
            <w:gridSpan w:val="2"/>
            <w:tcBorders>
              <w:left w:val="single" w:sz="6" w:space="0" w:color="auto"/>
            </w:tcBorders>
          </w:tcPr>
          <w:p w:rsidR="00B40966" w:rsidRDefault="00B40966">
            <w:pPr>
              <w:pStyle w:val="TableText"/>
              <w:jc w:val="center"/>
              <w:rPr>
                <w:sz w:val="20"/>
              </w:rPr>
            </w:pPr>
            <w:r>
              <w:rPr>
                <w:sz w:val="20"/>
              </w:rPr>
              <w:t>18</w:t>
            </w:r>
          </w:p>
        </w:tc>
        <w:tc>
          <w:tcPr>
            <w:tcW w:w="786" w:type="dxa"/>
            <w:gridSpan w:val="2"/>
          </w:tcPr>
          <w:p w:rsidR="00B40966" w:rsidRDefault="00B40966">
            <w:pPr>
              <w:pStyle w:val="TableText"/>
              <w:jc w:val="center"/>
              <w:rPr>
                <w:sz w:val="20"/>
              </w:rPr>
            </w:pPr>
            <w:r>
              <w:rPr>
                <w:sz w:val="20"/>
              </w:rPr>
              <w:t>16</w:t>
            </w:r>
          </w:p>
        </w:tc>
        <w:tc>
          <w:tcPr>
            <w:tcW w:w="760" w:type="dxa"/>
            <w:tcBorders>
              <w:left w:val="single" w:sz="6" w:space="0" w:color="auto"/>
            </w:tcBorders>
          </w:tcPr>
          <w:p w:rsidR="00B40966" w:rsidRDefault="00B40966">
            <w:pPr>
              <w:pStyle w:val="TableText"/>
              <w:jc w:val="center"/>
              <w:rPr>
                <w:sz w:val="20"/>
              </w:rPr>
            </w:pPr>
            <w:r>
              <w:rPr>
                <w:sz w:val="20"/>
              </w:rPr>
              <w:t>13</w:t>
            </w:r>
          </w:p>
        </w:tc>
        <w:tc>
          <w:tcPr>
            <w:tcW w:w="722" w:type="dxa"/>
          </w:tcPr>
          <w:p w:rsidR="00B40966" w:rsidRDefault="00B40966">
            <w:pPr>
              <w:pStyle w:val="TableText"/>
              <w:jc w:val="center"/>
              <w:rPr>
                <w:sz w:val="20"/>
              </w:rPr>
            </w:pPr>
            <w:r>
              <w:rPr>
                <w:sz w:val="20"/>
              </w:rPr>
              <w:t>6</w:t>
            </w:r>
          </w:p>
        </w:tc>
        <w:tc>
          <w:tcPr>
            <w:tcW w:w="838" w:type="dxa"/>
            <w:gridSpan w:val="2"/>
            <w:tcBorders>
              <w:left w:val="single" w:sz="6" w:space="0" w:color="auto"/>
            </w:tcBorders>
          </w:tcPr>
          <w:p w:rsidR="00B40966" w:rsidRDefault="00B40966">
            <w:pPr>
              <w:pStyle w:val="TableText"/>
              <w:jc w:val="center"/>
              <w:rPr>
                <w:sz w:val="20"/>
              </w:rPr>
            </w:pPr>
            <w:r>
              <w:rPr>
                <w:sz w:val="20"/>
              </w:rPr>
              <w:t>6</w:t>
            </w:r>
          </w:p>
        </w:tc>
        <w:tc>
          <w:tcPr>
            <w:tcW w:w="662" w:type="dxa"/>
            <w:gridSpan w:val="2"/>
          </w:tcPr>
          <w:p w:rsidR="00B40966" w:rsidRDefault="00B40966">
            <w:pPr>
              <w:pStyle w:val="TableText"/>
              <w:jc w:val="center"/>
              <w:rPr>
                <w:sz w:val="20"/>
              </w:rPr>
            </w:pPr>
            <w:r>
              <w:rPr>
                <w:sz w:val="20"/>
              </w:rPr>
              <w:t>17</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720" w:type="dxa"/>
            <w:gridSpan w:val="4"/>
          </w:tcPr>
          <w:p w:rsidR="00B40966" w:rsidRDefault="00B40966">
            <w:pPr>
              <w:pStyle w:val="TableText"/>
              <w:jc w:val="center"/>
              <w:rPr>
                <w:sz w:val="20"/>
              </w:rPr>
            </w:pPr>
            <w:r>
              <w:rPr>
                <w:sz w:val="20"/>
              </w:rPr>
              <w:t>14</w:t>
            </w:r>
          </w:p>
        </w:tc>
        <w:tc>
          <w:tcPr>
            <w:tcW w:w="816" w:type="dxa"/>
          </w:tcPr>
          <w:p w:rsidR="00B40966" w:rsidRDefault="00B40966">
            <w:pPr>
              <w:pStyle w:val="TableText"/>
              <w:jc w:val="center"/>
              <w:rPr>
                <w:sz w:val="20"/>
              </w:rPr>
            </w:pPr>
            <w:r>
              <w:rPr>
                <w:sz w:val="20"/>
              </w:rPr>
              <w:t>13</w:t>
            </w:r>
          </w:p>
        </w:tc>
        <w:tc>
          <w:tcPr>
            <w:tcW w:w="600" w:type="dxa"/>
            <w:tcBorders>
              <w:left w:val="single" w:sz="6" w:space="0" w:color="auto"/>
            </w:tcBorders>
          </w:tcPr>
          <w:p w:rsidR="00B40966" w:rsidRDefault="00B40966">
            <w:pPr>
              <w:pStyle w:val="TableText"/>
              <w:jc w:val="center"/>
              <w:rPr>
                <w:sz w:val="20"/>
              </w:rPr>
            </w:pPr>
            <w:r>
              <w:rPr>
                <w:sz w:val="20"/>
              </w:rPr>
              <w:t>28</w:t>
            </w:r>
          </w:p>
        </w:tc>
        <w:tc>
          <w:tcPr>
            <w:tcW w:w="720" w:type="dxa"/>
            <w:gridSpan w:val="2"/>
          </w:tcPr>
          <w:p w:rsidR="00B40966" w:rsidRDefault="00B40966">
            <w:pPr>
              <w:pStyle w:val="TableText"/>
              <w:jc w:val="center"/>
              <w:rPr>
                <w:sz w:val="20"/>
              </w:rPr>
            </w:pPr>
            <w:r>
              <w:rPr>
                <w:sz w:val="20"/>
              </w:rPr>
              <w:t>6</w:t>
            </w:r>
          </w:p>
        </w:tc>
        <w:tc>
          <w:tcPr>
            <w:tcW w:w="752" w:type="dxa"/>
            <w:tcBorders>
              <w:left w:val="single" w:sz="6" w:space="0" w:color="auto"/>
            </w:tcBorders>
          </w:tcPr>
          <w:p w:rsidR="00B40966" w:rsidRDefault="00B40966">
            <w:pPr>
              <w:pStyle w:val="TableText"/>
              <w:jc w:val="center"/>
              <w:rPr>
                <w:sz w:val="20"/>
              </w:rPr>
            </w:pPr>
            <w:r>
              <w:rPr>
                <w:sz w:val="20"/>
              </w:rPr>
              <w:t>25</w:t>
            </w:r>
          </w:p>
        </w:tc>
        <w:tc>
          <w:tcPr>
            <w:tcW w:w="820" w:type="dxa"/>
          </w:tcPr>
          <w:p w:rsidR="00B40966" w:rsidRDefault="00B40966">
            <w:pPr>
              <w:pStyle w:val="TableText"/>
              <w:jc w:val="center"/>
              <w:rPr>
                <w:sz w:val="20"/>
              </w:rPr>
            </w:pPr>
            <w:r>
              <w:rPr>
                <w:sz w:val="20"/>
              </w:rPr>
              <w:t>7</w:t>
            </w:r>
          </w:p>
        </w:tc>
        <w:tc>
          <w:tcPr>
            <w:tcW w:w="780" w:type="dxa"/>
            <w:gridSpan w:val="2"/>
            <w:tcBorders>
              <w:left w:val="single" w:sz="6" w:space="0" w:color="auto"/>
            </w:tcBorders>
          </w:tcPr>
          <w:p w:rsidR="00B40966" w:rsidRDefault="00B40966">
            <w:pPr>
              <w:pStyle w:val="TableText"/>
              <w:jc w:val="center"/>
              <w:rPr>
                <w:sz w:val="20"/>
              </w:rPr>
            </w:pPr>
            <w:r>
              <w:rPr>
                <w:sz w:val="20"/>
              </w:rPr>
              <w:t>20</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14</w:t>
            </w:r>
          </w:p>
        </w:tc>
        <w:tc>
          <w:tcPr>
            <w:tcW w:w="722" w:type="dxa"/>
          </w:tcPr>
          <w:p w:rsidR="00B40966" w:rsidRDefault="00B40966">
            <w:pPr>
              <w:pStyle w:val="TableText"/>
              <w:jc w:val="center"/>
              <w:rPr>
                <w:sz w:val="20"/>
              </w:rPr>
            </w:pPr>
            <w:r>
              <w:rPr>
                <w:sz w:val="20"/>
              </w:rPr>
              <w:t>13</w:t>
            </w:r>
          </w:p>
        </w:tc>
        <w:tc>
          <w:tcPr>
            <w:tcW w:w="838" w:type="dxa"/>
            <w:gridSpan w:val="2"/>
            <w:tcBorders>
              <w:left w:val="single" w:sz="6" w:space="0" w:color="auto"/>
            </w:tcBorders>
          </w:tcPr>
          <w:p w:rsidR="00B40966" w:rsidRDefault="00B40966">
            <w:pPr>
              <w:pStyle w:val="TableText"/>
              <w:jc w:val="center"/>
              <w:rPr>
                <w:sz w:val="20"/>
              </w:rPr>
            </w:pPr>
            <w:r>
              <w:rPr>
                <w:sz w:val="20"/>
              </w:rPr>
              <w:t>7</w:t>
            </w:r>
          </w:p>
        </w:tc>
        <w:tc>
          <w:tcPr>
            <w:tcW w:w="662" w:type="dxa"/>
            <w:gridSpan w:val="2"/>
          </w:tcPr>
          <w:p w:rsidR="00B40966" w:rsidRDefault="00B40966">
            <w:pPr>
              <w:pStyle w:val="TableText"/>
              <w:jc w:val="center"/>
              <w:rPr>
                <w:sz w:val="20"/>
              </w:rPr>
            </w:pPr>
            <w:r>
              <w:rPr>
                <w:sz w:val="20"/>
              </w:rPr>
              <w:t>11</w:t>
            </w:r>
          </w:p>
        </w:tc>
      </w:tr>
      <w:tr w:rsidR="00B40966">
        <w:trPr>
          <w:cantSplit/>
          <w:trHeight w:val="200"/>
        </w:trPr>
        <w:tc>
          <w:tcPr>
            <w:tcW w:w="968" w:type="dxa"/>
            <w:tcBorders>
              <w:bottom w:val="single" w:sz="6" w:space="0" w:color="auto"/>
            </w:tcBorders>
          </w:tcPr>
          <w:p w:rsidR="00B40966" w:rsidRDefault="00B40966">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720" w:type="dxa"/>
            <w:gridSpan w:val="4"/>
            <w:tcBorders>
              <w:bottom w:val="single" w:sz="6" w:space="0" w:color="auto"/>
            </w:tcBorders>
          </w:tcPr>
          <w:p w:rsidR="00B40966" w:rsidRDefault="00B40966">
            <w:pPr>
              <w:pStyle w:val="TableText"/>
              <w:jc w:val="center"/>
              <w:rPr>
                <w:sz w:val="20"/>
              </w:rPr>
            </w:pPr>
            <w:r>
              <w:rPr>
                <w:sz w:val="20"/>
              </w:rPr>
              <w:t>16</w:t>
            </w:r>
          </w:p>
        </w:tc>
        <w:tc>
          <w:tcPr>
            <w:tcW w:w="816" w:type="dxa"/>
            <w:tcBorders>
              <w:bottom w:val="single" w:sz="6" w:space="0" w:color="auto"/>
            </w:tcBorders>
          </w:tcPr>
          <w:p w:rsidR="00B40966" w:rsidRDefault="00B40966">
            <w:pPr>
              <w:pStyle w:val="TableText"/>
              <w:jc w:val="center"/>
              <w:rPr>
                <w:sz w:val="20"/>
              </w:rPr>
            </w:pPr>
            <w:r>
              <w:rPr>
                <w:sz w:val="20"/>
              </w:rPr>
              <w:t>1</w:t>
            </w:r>
          </w:p>
        </w:tc>
        <w:tc>
          <w:tcPr>
            <w:tcW w:w="600" w:type="dxa"/>
            <w:tcBorders>
              <w:left w:val="single" w:sz="6" w:space="0" w:color="auto"/>
              <w:bottom w:val="single" w:sz="6" w:space="0" w:color="auto"/>
            </w:tcBorders>
          </w:tcPr>
          <w:p w:rsidR="00B40966" w:rsidRDefault="00B40966">
            <w:pPr>
              <w:pStyle w:val="TableText"/>
              <w:jc w:val="center"/>
              <w:rPr>
                <w:sz w:val="20"/>
              </w:rPr>
            </w:pPr>
            <w:r>
              <w:rPr>
                <w:sz w:val="20"/>
              </w:rPr>
              <w:t>31</w:t>
            </w:r>
          </w:p>
        </w:tc>
        <w:tc>
          <w:tcPr>
            <w:tcW w:w="720" w:type="dxa"/>
            <w:gridSpan w:val="2"/>
            <w:tcBorders>
              <w:bottom w:val="single" w:sz="6" w:space="0" w:color="auto"/>
            </w:tcBorders>
          </w:tcPr>
          <w:p w:rsidR="00B40966" w:rsidRDefault="00B40966">
            <w:pPr>
              <w:pStyle w:val="TableText"/>
              <w:jc w:val="center"/>
              <w:rPr>
                <w:sz w:val="20"/>
              </w:rPr>
            </w:pPr>
            <w:r>
              <w:rPr>
                <w:sz w:val="20"/>
              </w:rPr>
              <w:t>0</w:t>
            </w:r>
          </w:p>
        </w:tc>
        <w:tc>
          <w:tcPr>
            <w:tcW w:w="752" w:type="dxa"/>
            <w:tcBorders>
              <w:left w:val="single" w:sz="6" w:space="0" w:color="auto"/>
              <w:bottom w:val="single" w:sz="6" w:space="0" w:color="auto"/>
            </w:tcBorders>
          </w:tcPr>
          <w:p w:rsidR="00B40966" w:rsidRDefault="00B40966">
            <w:pPr>
              <w:pStyle w:val="TableText"/>
              <w:jc w:val="center"/>
              <w:rPr>
                <w:sz w:val="20"/>
              </w:rPr>
            </w:pPr>
            <w:r>
              <w:rPr>
                <w:sz w:val="20"/>
              </w:rPr>
              <w:t>27</w:t>
            </w:r>
          </w:p>
        </w:tc>
        <w:tc>
          <w:tcPr>
            <w:tcW w:w="820" w:type="dxa"/>
            <w:tcBorders>
              <w:bottom w:val="single" w:sz="6" w:space="0" w:color="auto"/>
            </w:tcBorders>
          </w:tcPr>
          <w:p w:rsidR="00B40966" w:rsidRDefault="00B40966">
            <w:pPr>
              <w:pStyle w:val="TableText"/>
              <w:jc w:val="center"/>
              <w:rPr>
                <w:sz w:val="20"/>
              </w:rPr>
            </w:pPr>
            <w:r>
              <w:rPr>
                <w:sz w:val="20"/>
              </w:rPr>
              <w:t>16</w:t>
            </w:r>
          </w:p>
        </w:tc>
        <w:tc>
          <w:tcPr>
            <w:tcW w:w="780" w:type="dxa"/>
            <w:gridSpan w:val="2"/>
            <w:tcBorders>
              <w:left w:val="single" w:sz="6" w:space="0" w:color="auto"/>
              <w:bottom w:val="single" w:sz="6" w:space="0" w:color="auto"/>
            </w:tcBorders>
          </w:tcPr>
          <w:p w:rsidR="00B40966" w:rsidRDefault="00B40966">
            <w:pPr>
              <w:pStyle w:val="TableText"/>
              <w:jc w:val="center"/>
              <w:rPr>
                <w:sz w:val="20"/>
              </w:rPr>
            </w:pPr>
            <w:r>
              <w:rPr>
                <w:sz w:val="20"/>
              </w:rPr>
              <w:t>22</w:t>
            </w:r>
          </w:p>
        </w:tc>
        <w:tc>
          <w:tcPr>
            <w:tcW w:w="786" w:type="dxa"/>
            <w:gridSpan w:val="2"/>
            <w:tcBorders>
              <w:bottom w:val="single" w:sz="6" w:space="0" w:color="auto"/>
            </w:tcBorders>
          </w:tcPr>
          <w:p w:rsidR="00B40966" w:rsidRDefault="00B40966">
            <w:pPr>
              <w:pStyle w:val="TableText"/>
              <w:jc w:val="center"/>
              <w:rPr>
                <w:sz w:val="20"/>
              </w:rPr>
            </w:pPr>
            <w:r>
              <w:rPr>
                <w:sz w:val="20"/>
              </w:rPr>
              <w:t>14</w:t>
            </w:r>
          </w:p>
        </w:tc>
        <w:tc>
          <w:tcPr>
            <w:tcW w:w="760" w:type="dxa"/>
            <w:tcBorders>
              <w:left w:val="single" w:sz="6" w:space="0" w:color="auto"/>
              <w:bottom w:val="single" w:sz="6" w:space="0" w:color="auto"/>
            </w:tcBorders>
          </w:tcPr>
          <w:p w:rsidR="00B40966" w:rsidRDefault="00B40966">
            <w:pPr>
              <w:pStyle w:val="TableText"/>
              <w:jc w:val="center"/>
              <w:rPr>
                <w:sz w:val="20"/>
              </w:rPr>
            </w:pPr>
            <w:r>
              <w:rPr>
                <w:sz w:val="20"/>
              </w:rPr>
              <w:t>16</w:t>
            </w:r>
          </w:p>
        </w:tc>
        <w:tc>
          <w:tcPr>
            <w:tcW w:w="722" w:type="dxa"/>
            <w:tcBorders>
              <w:bottom w:val="single" w:sz="6" w:space="0" w:color="auto"/>
            </w:tcBorders>
          </w:tcPr>
          <w:p w:rsidR="00B40966" w:rsidRDefault="00B40966">
            <w:pPr>
              <w:pStyle w:val="TableText"/>
              <w:jc w:val="center"/>
              <w:rPr>
                <w:sz w:val="20"/>
              </w:rPr>
            </w:pPr>
            <w:r>
              <w:rPr>
                <w:sz w:val="20"/>
              </w:rPr>
              <w:t>1</w:t>
            </w:r>
          </w:p>
        </w:tc>
        <w:tc>
          <w:tcPr>
            <w:tcW w:w="838" w:type="dxa"/>
            <w:gridSpan w:val="2"/>
            <w:tcBorders>
              <w:left w:val="single" w:sz="6" w:space="0" w:color="auto"/>
              <w:bottom w:val="single" w:sz="6" w:space="0" w:color="auto"/>
            </w:tcBorders>
          </w:tcPr>
          <w:p w:rsidR="00B40966" w:rsidRDefault="00B40966">
            <w:pPr>
              <w:pStyle w:val="TableText"/>
              <w:jc w:val="center"/>
              <w:rPr>
                <w:sz w:val="20"/>
              </w:rPr>
            </w:pPr>
            <w:r>
              <w:rPr>
                <w:sz w:val="20"/>
              </w:rPr>
              <w:t>8</w:t>
            </w:r>
          </w:p>
        </w:tc>
        <w:tc>
          <w:tcPr>
            <w:tcW w:w="662" w:type="dxa"/>
            <w:gridSpan w:val="2"/>
            <w:tcBorders>
              <w:bottom w:val="single" w:sz="6" w:space="0" w:color="auto"/>
            </w:tcBorders>
          </w:tcPr>
          <w:p w:rsidR="00B40966" w:rsidRDefault="00B40966">
            <w:pPr>
              <w:pStyle w:val="TableText"/>
              <w:jc w:val="center"/>
              <w:rPr>
                <w:sz w:val="20"/>
              </w:rPr>
            </w:pPr>
            <w:r>
              <w:rPr>
                <w:sz w:val="20"/>
              </w:rPr>
              <w:t>6</w:t>
            </w:r>
          </w:p>
        </w:tc>
      </w:tr>
    </w:tbl>
    <w:p w:rsidR="00B40966" w:rsidRDefault="00B40966"/>
    <w:p w:rsidR="00B40966" w:rsidRDefault="00B40966">
      <w:pPr>
        <w:pStyle w:val="TableHd"/>
      </w:pPr>
      <w:r>
        <w:t>Maximum safe working load for steel wire rope—Classification 2</w:t>
      </w:r>
    </w:p>
    <w:p w:rsidR="00B40966" w:rsidRDefault="00B40966">
      <w:pPr>
        <w:pStyle w:val="TableHd"/>
        <w:ind w:left="0" w:firstLine="0"/>
      </w:pPr>
      <w:r>
        <w:t>Minimum ultimate tensile value of steel of which rope is constructed = 80 tons per square inch</w:t>
      </w:r>
      <w:r>
        <w:br/>
        <w:t>construction:  6 strands each containing 37 wires</w:t>
      </w:r>
    </w:p>
    <w:tbl>
      <w:tblPr>
        <w:tblW w:w="0" w:type="auto"/>
        <w:tblLayout w:type="fixed"/>
        <w:tblCellMar>
          <w:left w:w="80" w:type="dxa"/>
          <w:right w:w="80" w:type="dxa"/>
        </w:tblCellMar>
        <w:tblLook w:val="0000" w:firstRow="0" w:lastRow="0" w:firstColumn="0" w:lastColumn="0" w:noHBand="0" w:noVBand="0"/>
      </w:tblPr>
      <w:tblGrid>
        <w:gridCol w:w="968"/>
        <w:gridCol w:w="16"/>
        <w:gridCol w:w="908"/>
        <w:gridCol w:w="16"/>
        <w:gridCol w:w="579"/>
        <w:gridCol w:w="93"/>
        <w:gridCol w:w="852"/>
        <w:gridCol w:w="588"/>
        <w:gridCol w:w="12"/>
        <w:gridCol w:w="708"/>
        <w:gridCol w:w="12"/>
        <w:gridCol w:w="752"/>
        <w:gridCol w:w="832"/>
        <w:gridCol w:w="768"/>
        <w:gridCol w:w="780"/>
        <w:gridCol w:w="6"/>
        <w:gridCol w:w="760"/>
        <w:gridCol w:w="722"/>
        <w:gridCol w:w="12"/>
        <w:gridCol w:w="826"/>
        <w:gridCol w:w="654"/>
        <w:gridCol w:w="12"/>
      </w:tblGrid>
      <w:tr w:rsidR="00B40966">
        <w:trPr>
          <w:gridAfter w:val="1"/>
          <w:wAfter w:w="12" w:type="dxa"/>
          <w:cantSplit/>
          <w:tblHeader/>
        </w:trPr>
        <w:tc>
          <w:tcPr>
            <w:tcW w:w="984" w:type="dxa"/>
            <w:gridSpan w:val="2"/>
            <w:tcBorders>
              <w:top w:val="single" w:sz="6" w:space="0" w:color="auto"/>
              <w:right w:val="single" w:sz="6" w:space="0" w:color="auto"/>
            </w:tcBorders>
          </w:tcPr>
          <w:p w:rsidR="00B40966" w:rsidRDefault="00B40966">
            <w:pPr>
              <w:pStyle w:val="TableColHd"/>
              <w:jc w:val="center"/>
            </w:pPr>
          </w:p>
        </w:tc>
        <w:tc>
          <w:tcPr>
            <w:tcW w:w="924" w:type="dxa"/>
            <w:gridSpan w:val="2"/>
            <w:tcBorders>
              <w:top w:val="single" w:sz="6" w:space="0" w:color="auto"/>
              <w:right w:val="single" w:sz="6" w:space="0" w:color="auto"/>
            </w:tcBorders>
          </w:tcPr>
          <w:p w:rsidR="00B40966" w:rsidRDefault="00B40966">
            <w:pPr>
              <w:pStyle w:val="TableColHd"/>
              <w:jc w:val="center"/>
            </w:pPr>
          </w:p>
        </w:tc>
        <w:tc>
          <w:tcPr>
            <w:tcW w:w="579" w:type="dxa"/>
            <w:tcBorders>
              <w:top w:val="single" w:sz="6" w:space="0" w:color="auto"/>
            </w:tcBorders>
          </w:tcPr>
          <w:p w:rsidR="00B40966" w:rsidRDefault="00B40966">
            <w:pPr>
              <w:pStyle w:val="TableColHd"/>
              <w:jc w:val="center"/>
            </w:pPr>
          </w:p>
        </w:tc>
        <w:tc>
          <w:tcPr>
            <w:tcW w:w="941" w:type="dxa"/>
            <w:gridSpan w:val="2"/>
            <w:tcBorders>
              <w:top w:val="single" w:sz="6" w:space="0" w:color="auto"/>
            </w:tcBorders>
          </w:tcPr>
          <w:p w:rsidR="00B40966" w:rsidRDefault="00B40966">
            <w:pPr>
              <w:pStyle w:val="TableColHd"/>
              <w:jc w:val="center"/>
            </w:pPr>
          </w:p>
        </w:tc>
        <w:tc>
          <w:tcPr>
            <w:tcW w:w="7428" w:type="dxa"/>
            <w:gridSpan w:val="14"/>
            <w:tcBorders>
              <w:top w:val="single" w:sz="6" w:space="0" w:color="auto"/>
              <w:left w:val="single" w:sz="6" w:space="0" w:color="auto"/>
              <w:bottom w:val="single" w:sz="6" w:space="0" w:color="auto"/>
            </w:tcBorders>
          </w:tcPr>
          <w:p w:rsidR="00B40966" w:rsidRDefault="00B40966">
            <w:pPr>
              <w:pStyle w:val="TableColHd"/>
              <w:jc w:val="center"/>
            </w:pPr>
            <w:r>
              <w:t>safe load for 2-leg sling arranged as indicated</w:t>
            </w:r>
          </w:p>
        </w:tc>
      </w:tr>
      <w:tr w:rsidR="00B40966">
        <w:trPr>
          <w:gridAfter w:val="1"/>
          <w:wAfter w:w="12" w:type="dxa"/>
          <w:cantSplit/>
          <w:tblHeader/>
        </w:trPr>
        <w:tc>
          <w:tcPr>
            <w:tcW w:w="984" w:type="dxa"/>
            <w:gridSpan w:val="2"/>
            <w:tcBorders>
              <w:right w:val="single" w:sz="6" w:space="0" w:color="auto"/>
            </w:tcBorders>
            <w:vAlign w:val="bottom"/>
          </w:tcPr>
          <w:p w:rsidR="00B40966" w:rsidRDefault="00B40966">
            <w:pPr>
              <w:pStyle w:val="TableColHd"/>
            </w:pPr>
            <w:r>
              <w:t>circum-</w:t>
            </w:r>
            <w:r>
              <w:br/>
              <w:t>ference</w:t>
            </w:r>
            <w:r>
              <w:br/>
              <w:t>of rope</w:t>
            </w:r>
          </w:p>
        </w:tc>
        <w:tc>
          <w:tcPr>
            <w:tcW w:w="924" w:type="dxa"/>
            <w:gridSpan w:val="2"/>
            <w:tcBorders>
              <w:right w:val="single" w:sz="6" w:space="0" w:color="auto"/>
            </w:tcBorders>
            <w:vAlign w:val="bottom"/>
          </w:tcPr>
          <w:p w:rsidR="00B40966" w:rsidRDefault="00B40966">
            <w:pPr>
              <w:pStyle w:val="TableColHd"/>
            </w:pPr>
            <w:r>
              <w:t>approx.</w:t>
            </w:r>
            <w:r>
              <w:br/>
              <w:t>diameter</w:t>
            </w:r>
            <w:r>
              <w:br/>
              <w:t>of rope</w:t>
            </w:r>
          </w:p>
        </w:tc>
        <w:tc>
          <w:tcPr>
            <w:tcW w:w="1520" w:type="dxa"/>
            <w:gridSpan w:val="3"/>
            <w:vAlign w:val="bottom"/>
          </w:tcPr>
          <w:p w:rsidR="00B40966" w:rsidRDefault="00B40966">
            <w:pPr>
              <w:pStyle w:val="TableColHd"/>
            </w:pPr>
            <w:r>
              <w:t>safe load for 1 single fall (part) of rope</w:t>
            </w:r>
          </w:p>
        </w:tc>
        <w:tc>
          <w:tcPr>
            <w:tcW w:w="1320" w:type="dxa"/>
            <w:gridSpan w:val="4"/>
            <w:tcBorders>
              <w:left w:val="single" w:sz="6" w:space="0" w:color="auto"/>
            </w:tcBorders>
          </w:tcPr>
          <w:p w:rsidR="00B40966" w:rsidRDefault="00DA6E8C">
            <w:pPr>
              <w:rPr>
                <w:color w:val="000000"/>
                <w:sz w:val="18"/>
              </w:rPr>
            </w:pPr>
            <w:r>
              <w:rPr>
                <w:noProof/>
                <w:color w:val="000000"/>
                <w:sz w:val="20"/>
                <w:lang w:eastAsia="en-AU"/>
              </w:rPr>
              <w:drawing>
                <wp:inline distT="0" distB="0" distL="0" distR="0">
                  <wp:extent cx="866775" cy="495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866775" cy="495300"/>
                          </a:xfrm>
                          <a:prstGeom prst="rect">
                            <a:avLst/>
                          </a:prstGeom>
                          <a:noFill/>
                          <a:ln>
                            <a:noFill/>
                          </a:ln>
                        </pic:spPr>
                      </pic:pic>
                    </a:graphicData>
                  </a:graphic>
                </wp:inline>
              </w:drawing>
            </w:r>
          </w:p>
        </w:tc>
        <w:tc>
          <w:tcPr>
            <w:tcW w:w="1584"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048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1548" w:type="dxa"/>
            <w:gridSpan w:val="2"/>
            <w:tcBorders>
              <w:left w:val="single" w:sz="6" w:space="0" w:color="auto"/>
              <w:right w:val="single" w:sz="6" w:space="0" w:color="auto"/>
            </w:tcBorders>
          </w:tcPr>
          <w:p w:rsidR="00B40966" w:rsidRDefault="00DA6E8C">
            <w:pPr>
              <w:rPr>
                <w:color w:val="000000"/>
                <w:sz w:val="18"/>
              </w:rPr>
            </w:pPr>
            <w:r>
              <w:rPr>
                <w:noProof/>
                <w:color w:val="000000"/>
                <w:sz w:val="20"/>
                <w:lang w:eastAsia="en-AU"/>
              </w:rPr>
              <w:drawing>
                <wp:inline distT="0" distB="0" distL="0" distR="0">
                  <wp:extent cx="847725" cy="5334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47725" cy="533400"/>
                          </a:xfrm>
                          <a:prstGeom prst="rect">
                            <a:avLst/>
                          </a:prstGeom>
                          <a:noFill/>
                          <a:ln>
                            <a:noFill/>
                          </a:ln>
                        </pic:spPr>
                      </pic:pic>
                    </a:graphicData>
                  </a:graphic>
                </wp:inline>
              </w:drawing>
            </w:r>
          </w:p>
        </w:tc>
        <w:tc>
          <w:tcPr>
            <w:tcW w:w="1500" w:type="dxa"/>
            <w:gridSpan w:val="4"/>
            <w:tcBorders>
              <w:right w:val="single" w:sz="6" w:space="0" w:color="auto"/>
            </w:tcBorders>
          </w:tcPr>
          <w:p w:rsidR="00B40966" w:rsidRDefault="00DA6E8C">
            <w:pPr>
              <w:rPr>
                <w:color w:val="000000"/>
                <w:sz w:val="18"/>
              </w:rPr>
            </w:pPr>
            <w:r>
              <w:rPr>
                <w:noProof/>
                <w:color w:val="000000"/>
                <w:sz w:val="20"/>
                <w:lang w:eastAsia="en-AU"/>
              </w:rPr>
              <w:drawing>
                <wp:inline distT="0" distB="0" distL="0" distR="0">
                  <wp:extent cx="876300" cy="533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876300" cy="533400"/>
                          </a:xfrm>
                          <a:prstGeom prst="rect">
                            <a:avLst/>
                          </a:prstGeom>
                          <a:noFill/>
                          <a:ln>
                            <a:noFill/>
                          </a:ln>
                        </pic:spPr>
                      </pic:pic>
                    </a:graphicData>
                  </a:graphic>
                </wp:inline>
              </w:drawing>
            </w:r>
          </w:p>
        </w:tc>
        <w:tc>
          <w:tcPr>
            <w:tcW w:w="1476" w:type="dxa"/>
            <w:gridSpan w:val="2"/>
          </w:tcPr>
          <w:p w:rsidR="00B40966" w:rsidRDefault="00DA6E8C">
            <w:pPr>
              <w:rPr>
                <w:color w:val="000000"/>
                <w:sz w:val="18"/>
              </w:rPr>
            </w:pPr>
            <w:r>
              <w:rPr>
                <w:noProof/>
                <w:color w:val="000000"/>
                <w:sz w:val="20"/>
                <w:lang w:eastAsia="en-AU"/>
              </w:rPr>
              <w:drawing>
                <wp:inline distT="0" distB="0" distL="0" distR="0">
                  <wp:extent cx="790575" cy="5238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90575" cy="523875"/>
                          </a:xfrm>
                          <a:prstGeom prst="rect">
                            <a:avLst/>
                          </a:prstGeom>
                          <a:noFill/>
                          <a:ln>
                            <a:noFill/>
                          </a:ln>
                        </pic:spPr>
                      </pic:pic>
                    </a:graphicData>
                  </a:graphic>
                </wp:inline>
              </w:drawing>
            </w:r>
          </w:p>
        </w:tc>
      </w:tr>
      <w:tr w:rsidR="00B40966">
        <w:trPr>
          <w:gridAfter w:val="1"/>
          <w:wAfter w:w="8" w:type="dxa"/>
          <w:cantSplit/>
          <w:trHeight w:val="220"/>
          <w:tblHeader/>
        </w:trPr>
        <w:tc>
          <w:tcPr>
            <w:tcW w:w="98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92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inches</w:t>
            </w:r>
          </w:p>
        </w:tc>
        <w:tc>
          <w:tcPr>
            <w:tcW w:w="672" w:type="dxa"/>
            <w:gridSpan w:val="2"/>
            <w:tcBorders>
              <w:top w:val="single" w:sz="6" w:space="0" w:color="auto"/>
              <w:bottom w:val="single" w:sz="6" w:space="0" w:color="auto"/>
            </w:tcBorders>
            <w:vAlign w:val="bottom"/>
          </w:tcPr>
          <w:p w:rsidR="00B40966" w:rsidRDefault="00B40966">
            <w:pPr>
              <w:pStyle w:val="TableColHd"/>
              <w:spacing w:after="0"/>
              <w:jc w:val="center"/>
            </w:pPr>
            <w:r>
              <w:t>tons</w:t>
            </w:r>
          </w:p>
        </w:tc>
        <w:tc>
          <w:tcPr>
            <w:tcW w:w="848"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600"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08"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4"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832"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8" w:type="dxa"/>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80" w:type="dxa"/>
            <w:tcBorders>
              <w:top w:val="single" w:sz="6" w:space="0" w:color="auto"/>
              <w:bottom w:val="single" w:sz="6" w:space="0" w:color="auto"/>
            </w:tcBorders>
            <w:vAlign w:val="bottom"/>
          </w:tcPr>
          <w:p w:rsidR="00B40966" w:rsidRDefault="00B40966">
            <w:pPr>
              <w:pStyle w:val="TableColHd"/>
              <w:spacing w:after="0"/>
              <w:jc w:val="center"/>
            </w:pPr>
            <w:r>
              <w:t>cwts</w:t>
            </w:r>
          </w:p>
        </w:tc>
        <w:tc>
          <w:tcPr>
            <w:tcW w:w="766" w:type="dxa"/>
            <w:gridSpan w:val="2"/>
            <w:tcBorders>
              <w:top w:val="single" w:sz="6" w:space="0" w:color="auto"/>
              <w:left w:val="single" w:sz="6" w:space="0" w:color="auto"/>
              <w:bottom w:val="single" w:sz="6" w:space="0" w:color="auto"/>
            </w:tcBorders>
            <w:vAlign w:val="bottom"/>
          </w:tcPr>
          <w:p w:rsidR="00B40966" w:rsidRDefault="00B40966">
            <w:pPr>
              <w:pStyle w:val="TableColHd"/>
              <w:spacing w:after="0"/>
              <w:jc w:val="center"/>
            </w:pPr>
            <w:r>
              <w:t>tons</w:t>
            </w:r>
          </w:p>
        </w:tc>
        <w:tc>
          <w:tcPr>
            <w:tcW w:w="734" w:type="dxa"/>
            <w:gridSpan w:val="2"/>
            <w:tcBorders>
              <w:top w:val="single" w:sz="6" w:space="0" w:color="auto"/>
              <w:bottom w:val="single" w:sz="6" w:space="0" w:color="auto"/>
              <w:right w:val="single" w:sz="6" w:space="0" w:color="auto"/>
            </w:tcBorders>
            <w:vAlign w:val="bottom"/>
          </w:tcPr>
          <w:p w:rsidR="00B40966" w:rsidRDefault="00B40966">
            <w:pPr>
              <w:pStyle w:val="TableColHd"/>
              <w:spacing w:after="0"/>
              <w:jc w:val="center"/>
            </w:pPr>
            <w:r>
              <w:t>cwts</w:t>
            </w:r>
          </w:p>
        </w:tc>
        <w:tc>
          <w:tcPr>
            <w:tcW w:w="826" w:type="dxa"/>
            <w:tcBorders>
              <w:top w:val="single" w:sz="6" w:space="0" w:color="auto"/>
              <w:bottom w:val="single" w:sz="6" w:space="0" w:color="auto"/>
            </w:tcBorders>
            <w:vAlign w:val="bottom"/>
          </w:tcPr>
          <w:p w:rsidR="00B40966" w:rsidRDefault="00B40966">
            <w:pPr>
              <w:pStyle w:val="TableColHd"/>
              <w:spacing w:after="0"/>
              <w:jc w:val="center"/>
            </w:pPr>
            <w:r>
              <w:t>tons</w:t>
            </w:r>
          </w:p>
        </w:tc>
        <w:tc>
          <w:tcPr>
            <w:tcW w:w="654" w:type="dxa"/>
            <w:tcBorders>
              <w:top w:val="single" w:sz="6" w:space="0" w:color="auto"/>
              <w:bottom w:val="single" w:sz="6" w:space="0" w:color="auto"/>
            </w:tcBorders>
            <w:vAlign w:val="bottom"/>
          </w:tcPr>
          <w:p w:rsidR="00B40966" w:rsidRDefault="00B40966">
            <w:pPr>
              <w:pStyle w:val="TableColHd"/>
              <w:spacing w:after="0"/>
              <w:jc w:val="center"/>
            </w:pPr>
            <w:r>
              <w:t>cwts</w:t>
            </w:r>
          </w:p>
        </w:tc>
      </w:tr>
      <w:tr w:rsidR="00B40966">
        <w:trPr>
          <w:cantSplit/>
          <w:trHeight w:val="200"/>
        </w:trPr>
        <w:tc>
          <w:tcPr>
            <w:tcW w:w="968" w:type="dxa"/>
            <w:tcBorders>
              <w:top w:val="single" w:sz="6" w:space="0" w:color="auto"/>
              <w:right w:val="single" w:sz="6" w:space="0" w:color="auto"/>
            </w:tcBorders>
          </w:tcPr>
          <w:p w:rsidR="00B40966" w:rsidRDefault="00B40966">
            <w:pPr>
              <w:pStyle w:val="TableText"/>
              <w:jc w:val="center"/>
              <w:rPr>
                <w:sz w:val="20"/>
              </w:rPr>
            </w:pPr>
            <w:r>
              <w:rPr>
                <w:sz w:val="20"/>
              </w:rPr>
              <w:t>1</w:t>
            </w:r>
          </w:p>
        </w:tc>
        <w:tc>
          <w:tcPr>
            <w:tcW w:w="924" w:type="dxa"/>
            <w:gridSpan w:val="2"/>
            <w:tcBorders>
              <w:top w:val="single" w:sz="6" w:space="0" w:color="auto"/>
              <w:right w:val="single" w:sz="6" w:space="0" w:color="auto"/>
            </w:tcBorders>
          </w:tcPr>
          <w:p w:rsidR="00B40966" w:rsidRDefault="00B40966">
            <w:pPr>
              <w:pStyle w:val="TableText"/>
              <w:jc w:val="center"/>
              <w:rPr>
                <w:sz w:val="20"/>
              </w:rPr>
            </w:pPr>
            <w:r>
              <w:rPr>
                <w:position w:val="4"/>
                <w:sz w:val="20"/>
              </w:rPr>
              <w:t>5</w:t>
            </w:r>
            <w:r>
              <w:rPr>
                <w:sz w:val="20"/>
              </w:rPr>
              <w:t xml:space="preserve">/16 </w:t>
            </w:r>
          </w:p>
        </w:tc>
        <w:tc>
          <w:tcPr>
            <w:tcW w:w="684" w:type="dxa"/>
            <w:gridSpan w:val="3"/>
            <w:tcBorders>
              <w:top w:val="single" w:sz="6" w:space="0" w:color="auto"/>
            </w:tcBorders>
          </w:tcPr>
          <w:p w:rsidR="00B40966" w:rsidRDefault="00B40966">
            <w:pPr>
              <w:pStyle w:val="TableText"/>
              <w:jc w:val="center"/>
              <w:rPr>
                <w:sz w:val="20"/>
              </w:rPr>
            </w:pPr>
            <w:r>
              <w:rPr>
                <w:sz w:val="20"/>
              </w:rPr>
              <w:t>0</w:t>
            </w:r>
          </w:p>
        </w:tc>
        <w:tc>
          <w:tcPr>
            <w:tcW w:w="852" w:type="dxa"/>
            <w:tcBorders>
              <w:top w:val="single" w:sz="6" w:space="0" w:color="auto"/>
            </w:tcBorders>
          </w:tcPr>
          <w:p w:rsidR="00B40966" w:rsidRDefault="00B40966">
            <w:pPr>
              <w:pStyle w:val="TableText"/>
              <w:jc w:val="center"/>
              <w:rPr>
                <w:sz w:val="20"/>
              </w:rPr>
            </w:pPr>
            <w:r>
              <w:rPr>
                <w:sz w:val="20"/>
              </w:rPr>
              <w:t>7</w:t>
            </w:r>
          </w:p>
        </w:tc>
        <w:tc>
          <w:tcPr>
            <w:tcW w:w="588"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0" w:type="dxa"/>
            <w:gridSpan w:val="2"/>
            <w:tcBorders>
              <w:top w:val="single" w:sz="6" w:space="0" w:color="auto"/>
            </w:tcBorders>
          </w:tcPr>
          <w:p w:rsidR="00B40966" w:rsidRDefault="00B40966">
            <w:pPr>
              <w:pStyle w:val="TableText"/>
              <w:jc w:val="center"/>
              <w:rPr>
                <w:sz w:val="20"/>
              </w:rPr>
            </w:pPr>
            <w:r>
              <w:rPr>
                <w:sz w:val="20"/>
              </w:rPr>
              <w:t>13</w:t>
            </w:r>
            <w:r>
              <w:rPr>
                <w:position w:val="4"/>
                <w:sz w:val="20"/>
              </w:rPr>
              <w:t>1</w:t>
            </w:r>
            <w:r>
              <w:rPr>
                <w:sz w:val="20"/>
              </w:rPr>
              <w:t>/2</w:t>
            </w:r>
          </w:p>
        </w:tc>
        <w:tc>
          <w:tcPr>
            <w:tcW w:w="764" w:type="dxa"/>
            <w:gridSpan w:val="2"/>
            <w:tcBorders>
              <w:top w:val="single" w:sz="6" w:space="0" w:color="auto"/>
              <w:left w:val="single" w:sz="6" w:space="0" w:color="auto"/>
            </w:tcBorders>
          </w:tcPr>
          <w:p w:rsidR="00B40966" w:rsidRDefault="00B40966">
            <w:pPr>
              <w:pStyle w:val="TableText"/>
              <w:jc w:val="center"/>
              <w:rPr>
                <w:sz w:val="20"/>
              </w:rPr>
            </w:pPr>
            <w:r>
              <w:rPr>
                <w:sz w:val="20"/>
              </w:rPr>
              <w:t>0</w:t>
            </w:r>
          </w:p>
        </w:tc>
        <w:tc>
          <w:tcPr>
            <w:tcW w:w="832" w:type="dxa"/>
            <w:tcBorders>
              <w:top w:val="single" w:sz="6" w:space="0" w:color="auto"/>
            </w:tcBorders>
          </w:tcPr>
          <w:p w:rsidR="00B40966" w:rsidRDefault="00B40966">
            <w:pPr>
              <w:pStyle w:val="TableText"/>
              <w:jc w:val="center"/>
              <w:rPr>
                <w:sz w:val="20"/>
              </w:rPr>
            </w:pPr>
            <w:r>
              <w:rPr>
                <w:sz w:val="20"/>
              </w:rPr>
              <w:t>12</w:t>
            </w:r>
          </w:p>
        </w:tc>
        <w:tc>
          <w:tcPr>
            <w:tcW w:w="768"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86" w:type="dxa"/>
            <w:gridSpan w:val="2"/>
            <w:tcBorders>
              <w:top w:val="single" w:sz="6" w:space="0" w:color="auto"/>
            </w:tcBorders>
          </w:tcPr>
          <w:p w:rsidR="00B40966" w:rsidRDefault="00B40966">
            <w:pPr>
              <w:pStyle w:val="TableText"/>
              <w:jc w:val="center"/>
              <w:rPr>
                <w:sz w:val="20"/>
              </w:rPr>
            </w:pPr>
            <w:r>
              <w:rPr>
                <w:sz w:val="20"/>
              </w:rPr>
              <w:t>10</w:t>
            </w:r>
          </w:p>
        </w:tc>
        <w:tc>
          <w:tcPr>
            <w:tcW w:w="760" w:type="dxa"/>
            <w:tcBorders>
              <w:top w:val="single" w:sz="6" w:space="0" w:color="auto"/>
              <w:left w:val="single" w:sz="6" w:space="0" w:color="auto"/>
            </w:tcBorders>
          </w:tcPr>
          <w:p w:rsidR="00B40966" w:rsidRDefault="00B40966">
            <w:pPr>
              <w:pStyle w:val="TableText"/>
              <w:jc w:val="center"/>
              <w:rPr>
                <w:sz w:val="20"/>
              </w:rPr>
            </w:pPr>
            <w:r>
              <w:rPr>
                <w:sz w:val="20"/>
              </w:rPr>
              <w:t>0</w:t>
            </w:r>
          </w:p>
        </w:tc>
        <w:tc>
          <w:tcPr>
            <w:tcW w:w="722" w:type="dxa"/>
            <w:tcBorders>
              <w:top w:val="single" w:sz="6" w:space="0" w:color="auto"/>
              <w:right w:val="single" w:sz="6" w:space="0" w:color="auto"/>
            </w:tcBorders>
          </w:tcPr>
          <w:p w:rsidR="00B40966" w:rsidRDefault="00B40966">
            <w:pPr>
              <w:pStyle w:val="TableText"/>
              <w:jc w:val="center"/>
              <w:rPr>
                <w:sz w:val="20"/>
              </w:rPr>
            </w:pPr>
            <w:r>
              <w:rPr>
                <w:sz w:val="20"/>
              </w:rPr>
              <w:t>7</w:t>
            </w:r>
          </w:p>
        </w:tc>
        <w:tc>
          <w:tcPr>
            <w:tcW w:w="838" w:type="dxa"/>
            <w:gridSpan w:val="2"/>
            <w:tcBorders>
              <w:top w:val="single" w:sz="6" w:space="0" w:color="auto"/>
            </w:tcBorders>
          </w:tcPr>
          <w:p w:rsidR="00B40966" w:rsidRDefault="00B40966">
            <w:pPr>
              <w:pStyle w:val="TableText"/>
              <w:jc w:val="center"/>
              <w:rPr>
                <w:sz w:val="20"/>
              </w:rPr>
            </w:pPr>
            <w:r>
              <w:rPr>
                <w:sz w:val="20"/>
              </w:rPr>
              <w:t>0</w:t>
            </w:r>
          </w:p>
        </w:tc>
        <w:tc>
          <w:tcPr>
            <w:tcW w:w="662" w:type="dxa"/>
            <w:gridSpan w:val="2"/>
            <w:tcBorders>
              <w:top w:val="single" w:sz="6" w:space="0" w:color="auto"/>
            </w:tcBorders>
          </w:tcPr>
          <w:p w:rsidR="00B40966" w:rsidRDefault="00B40966">
            <w:pPr>
              <w:pStyle w:val="TableText"/>
              <w:jc w:val="center"/>
              <w:rPr>
                <w:sz w:val="20"/>
              </w:rPr>
            </w:pPr>
            <w:r>
              <w:rPr>
                <w:sz w:val="20"/>
              </w:rPr>
              <w:t>4</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1</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3</w:t>
            </w:r>
            <w:r>
              <w:rPr>
                <w:sz w:val="20"/>
              </w:rPr>
              <w:t xml:space="preserve">/8 </w:t>
            </w:r>
          </w:p>
        </w:tc>
        <w:tc>
          <w:tcPr>
            <w:tcW w:w="684" w:type="dxa"/>
            <w:gridSpan w:val="3"/>
          </w:tcPr>
          <w:p w:rsidR="00B40966" w:rsidRDefault="00B40966">
            <w:pPr>
              <w:pStyle w:val="TableText"/>
              <w:jc w:val="center"/>
              <w:rPr>
                <w:sz w:val="20"/>
              </w:rPr>
            </w:pPr>
            <w:r>
              <w:rPr>
                <w:sz w:val="20"/>
              </w:rPr>
              <w:t>0</w:t>
            </w:r>
          </w:p>
        </w:tc>
        <w:tc>
          <w:tcPr>
            <w:tcW w:w="852" w:type="dxa"/>
          </w:tcPr>
          <w:p w:rsidR="00B40966" w:rsidRDefault="00B40966">
            <w:pPr>
              <w:pStyle w:val="TableText"/>
              <w:jc w:val="center"/>
              <w:rPr>
                <w:sz w:val="20"/>
              </w:rPr>
            </w:pPr>
            <w:r>
              <w:rPr>
                <w:sz w:val="20"/>
              </w:rPr>
              <w:t>9</w:t>
            </w:r>
          </w:p>
        </w:tc>
        <w:tc>
          <w:tcPr>
            <w:tcW w:w="588" w:type="dxa"/>
            <w:tcBorders>
              <w:left w:val="single" w:sz="6" w:space="0" w:color="auto"/>
            </w:tcBorders>
          </w:tcPr>
          <w:p w:rsidR="00B40966" w:rsidRDefault="00B40966">
            <w:pPr>
              <w:pStyle w:val="TableText"/>
              <w:jc w:val="center"/>
              <w:rPr>
                <w:sz w:val="20"/>
              </w:rPr>
            </w:pPr>
            <w:r>
              <w:rPr>
                <w:sz w:val="20"/>
              </w:rPr>
              <w:t>0</w:t>
            </w:r>
          </w:p>
        </w:tc>
        <w:tc>
          <w:tcPr>
            <w:tcW w:w="720" w:type="dxa"/>
            <w:gridSpan w:val="2"/>
          </w:tcPr>
          <w:p w:rsidR="00B40966" w:rsidRDefault="00B40966">
            <w:pPr>
              <w:pStyle w:val="TableText"/>
              <w:jc w:val="center"/>
              <w:rPr>
                <w:sz w:val="20"/>
              </w:rPr>
            </w:pPr>
            <w:r>
              <w:rPr>
                <w:sz w:val="20"/>
              </w:rPr>
              <w:t>17</w:t>
            </w:r>
            <w:r>
              <w:rPr>
                <w:position w:val="4"/>
                <w:sz w:val="20"/>
              </w:rPr>
              <w:t>1</w:t>
            </w:r>
            <w:r>
              <w:rPr>
                <w:sz w:val="20"/>
              </w:rPr>
              <w:t>/2</w:t>
            </w:r>
          </w:p>
        </w:tc>
        <w:tc>
          <w:tcPr>
            <w:tcW w:w="764" w:type="dxa"/>
            <w:gridSpan w:val="2"/>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15</w:t>
            </w:r>
            <w:r>
              <w:rPr>
                <w:position w:val="4"/>
                <w:sz w:val="20"/>
              </w:rPr>
              <w:t>1</w:t>
            </w:r>
            <w:r>
              <w:rPr>
                <w:sz w:val="20"/>
              </w:rPr>
              <w:t>/2</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13</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9</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5</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13</w:t>
            </w:r>
            <w:r>
              <w:rPr>
                <w:sz w:val="20"/>
              </w:rPr>
              <w:t xml:space="preserve">/32 </w:t>
            </w:r>
          </w:p>
        </w:tc>
        <w:tc>
          <w:tcPr>
            <w:tcW w:w="684" w:type="dxa"/>
            <w:gridSpan w:val="3"/>
          </w:tcPr>
          <w:p w:rsidR="00B40966" w:rsidRDefault="00B40966">
            <w:pPr>
              <w:pStyle w:val="TableText"/>
              <w:jc w:val="center"/>
              <w:rPr>
                <w:sz w:val="20"/>
              </w:rPr>
            </w:pPr>
            <w:r>
              <w:rPr>
                <w:sz w:val="20"/>
              </w:rPr>
              <w:t>0</w:t>
            </w:r>
          </w:p>
        </w:tc>
        <w:tc>
          <w:tcPr>
            <w:tcW w:w="852" w:type="dxa"/>
          </w:tcPr>
          <w:p w:rsidR="00B40966" w:rsidRDefault="00B40966">
            <w:pPr>
              <w:pStyle w:val="TableText"/>
              <w:jc w:val="center"/>
              <w:rPr>
                <w:sz w:val="20"/>
              </w:rPr>
            </w:pPr>
            <w:r>
              <w:rPr>
                <w:sz w:val="20"/>
              </w:rPr>
              <w:t>11</w:t>
            </w:r>
          </w:p>
        </w:tc>
        <w:tc>
          <w:tcPr>
            <w:tcW w:w="588"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w:t>
            </w:r>
          </w:p>
        </w:tc>
        <w:tc>
          <w:tcPr>
            <w:tcW w:w="764" w:type="dxa"/>
            <w:gridSpan w:val="2"/>
            <w:tcBorders>
              <w:left w:val="single" w:sz="6" w:space="0" w:color="auto"/>
            </w:tcBorders>
          </w:tcPr>
          <w:p w:rsidR="00B40966" w:rsidRDefault="00B40966">
            <w:pPr>
              <w:pStyle w:val="TableText"/>
              <w:jc w:val="center"/>
              <w:rPr>
                <w:sz w:val="20"/>
              </w:rPr>
            </w:pPr>
            <w:r>
              <w:rPr>
                <w:sz w:val="20"/>
              </w:rPr>
              <w:t>0</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15</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11</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5</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3</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7</w:t>
            </w:r>
            <w:r>
              <w:rPr>
                <w:sz w:val="20"/>
              </w:rPr>
              <w:t xml:space="preserve">/16 </w:t>
            </w:r>
          </w:p>
        </w:tc>
        <w:tc>
          <w:tcPr>
            <w:tcW w:w="684" w:type="dxa"/>
            <w:gridSpan w:val="3"/>
          </w:tcPr>
          <w:p w:rsidR="00B40966" w:rsidRDefault="00B40966">
            <w:pPr>
              <w:pStyle w:val="TableText"/>
              <w:jc w:val="center"/>
              <w:rPr>
                <w:sz w:val="20"/>
              </w:rPr>
            </w:pPr>
            <w:r>
              <w:rPr>
                <w:sz w:val="20"/>
              </w:rPr>
              <w:t>0</w:t>
            </w:r>
          </w:p>
        </w:tc>
        <w:tc>
          <w:tcPr>
            <w:tcW w:w="852" w:type="dxa"/>
          </w:tcPr>
          <w:p w:rsidR="00B40966" w:rsidRDefault="00B40966">
            <w:pPr>
              <w:pStyle w:val="TableText"/>
              <w:jc w:val="center"/>
              <w:rPr>
                <w:sz w:val="20"/>
              </w:rPr>
            </w:pPr>
            <w:r>
              <w:rPr>
                <w:sz w:val="20"/>
              </w:rPr>
              <w:t>13</w:t>
            </w:r>
          </w:p>
        </w:tc>
        <w:tc>
          <w:tcPr>
            <w:tcW w:w="588"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5</w:t>
            </w:r>
          </w:p>
        </w:tc>
        <w:tc>
          <w:tcPr>
            <w:tcW w:w="764" w:type="dxa"/>
            <w:gridSpan w:val="2"/>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3</w:t>
            </w:r>
          </w:p>
        </w:tc>
        <w:tc>
          <w:tcPr>
            <w:tcW w:w="768" w:type="dxa"/>
            <w:tcBorders>
              <w:left w:val="single" w:sz="6" w:space="0" w:color="auto"/>
            </w:tcBorders>
          </w:tcPr>
          <w:p w:rsidR="00B40966" w:rsidRDefault="00B40966">
            <w:pPr>
              <w:pStyle w:val="TableText"/>
              <w:jc w:val="center"/>
              <w:rPr>
                <w:sz w:val="20"/>
              </w:rPr>
            </w:pPr>
            <w:r>
              <w:rPr>
                <w:sz w:val="20"/>
              </w:rPr>
              <w:t>0</w:t>
            </w:r>
          </w:p>
        </w:tc>
        <w:tc>
          <w:tcPr>
            <w:tcW w:w="786" w:type="dxa"/>
            <w:gridSpan w:val="2"/>
          </w:tcPr>
          <w:p w:rsidR="00B40966" w:rsidRDefault="00B40966">
            <w:pPr>
              <w:pStyle w:val="TableText"/>
              <w:jc w:val="center"/>
              <w:rPr>
                <w:sz w:val="20"/>
              </w:rPr>
            </w:pPr>
            <w:r>
              <w:rPr>
                <w:sz w:val="20"/>
              </w:rPr>
              <w:t>18</w:t>
            </w:r>
            <w:r>
              <w:rPr>
                <w:position w:val="4"/>
                <w:sz w:val="20"/>
              </w:rPr>
              <w:t>1</w:t>
            </w:r>
            <w:r>
              <w:rPr>
                <w:sz w:val="20"/>
              </w:rPr>
              <w:t>/2</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13</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6</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1</w:t>
            </w: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15</w:t>
            </w:r>
            <w:r>
              <w:rPr>
                <w:sz w:val="20"/>
              </w:rPr>
              <w:t xml:space="preserve">/32 </w:t>
            </w:r>
          </w:p>
        </w:tc>
        <w:tc>
          <w:tcPr>
            <w:tcW w:w="684" w:type="dxa"/>
            <w:gridSpan w:val="3"/>
          </w:tcPr>
          <w:p w:rsidR="00B40966" w:rsidRDefault="00B40966">
            <w:pPr>
              <w:pStyle w:val="TableText"/>
              <w:jc w:val="center"/>
              <w:rPr>
                <w:sz w:val="20"/>
              </w:rPr>
            </w:pPr>
            <w:r>
              <w:rPr>
                <w:sz w:val="20"/>
              </w:rPr>
              <w:t>0</w:t>
            </w:r>
          </w:p>
        </w:tc>
        <w:tc>
          <w:tcPr>
            <w:tcW w:w="852" w:type="dxa"/>
          </w:tcPr>
          <w:p w:rsidR="00B40966" w:rsidRDefault="00B40966">
            <w:pPr>
              <w:pStyle w:val="TableText"/>
              <w:jc w:val="center"/>
              <w:rPr>
                <w:sz w:val="20"/>
              </w:rPr>
            </w:pPr>
            <w:r>
              <w:rPr>
                <w:sz w:val="20"/>
              </w:rPr>
              <w:t>16</w:t>
            </w:r>
          </w:p>
        </w:tc>
        <w:tc>
          <w:tcPr>
            <w:tcW w:w="588"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11</w:t>
            </w:r>
          </w:p>
        </w:tc>
        <w:tc>
          <w:tcPr>
            <w:tcW w:w="764" w:type="dxa"/>
            <w:gridSpan w:val="2"/>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3</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16</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8</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5</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w:t>
            </w:r>
            <w:r>
              <w:rPr>
                <w:sz w:val="20"/>
              </w:rPr>
              <w:t>/2</w:t>
            </w:r>
          </w:p>
        </w:tc>
        <w:tc>
          <w:tcPr>
            <w:tcW w:w="684" w:type="dxa"/>
            <w:gridSpan w:val="3"/>
          </w:tcPr>
          <w:p w:rsidR="00B40966" w:rsidRDefault="00B40966">
            <w:pPr>
              <w:pStyle w:val="TableText"/>
              <w:jc w:val="center"/>
              <w:rPr>
                <w:sz w:val="20"/>
              </w:rPr>
            </w:pPr>
            <w:r>
              <w:rPr>
                <w:sz w:val="20"/>
              </w:rPr>
              <w:t>0</w:t>
            </w:r>
          </w:p>
        </w:tc>
        <w:tc>
          <w:tcPr>
            <w:tcW w:w="852" w:type="dxa"/>
          </w:tcPr>
          <w:p w:rsidR="00B40966" w:rsidRDefault="00B40966">
            <w:pPr>
              <w:pStyle w:val="TableText"/>
              <w:jc w:val="center"/>
              <w:rPr>
                <w:sz w:val="20"/>
              </w:rPr>
            </w:pPr>
            <w:r>
              <w:rPr>
                <w:sz w:val="20"/>
              </w:rPr>
              <w:t>19</w:t>
            </w:r>
            <w:r>
              <w:rPr>
                <w:position w:val="4"/>
                <w:sz w:val="20"/>
              </w:rPr>
              <w:t>1</w:t>
            </w:r>
            <w:r>
              <w:rPr>
                <w:sz w:val="20"/>
              </w:rPr>
              <w:t>/2</w:t>
            </w:r>
          </w:p>
        </w:tc>
        <w:tc>
          <w:tcPr>
            <w:tcW w:w="588" w:type="dxa"/>
            <w:tcBorders>
              <w:left w:val="single" w:sz="6" w:space="0" w:color="auto"/>
            </w:tcBorders>
          </w:tcPr>
          <w:p w:rsidR="00B40966" w:rsidRDefault="00B40966">
            <w:pPr>
              <w:pStyle w:val="TableText"/>
              <w:jc w:val="center"/>
              <w:rPr>
                <w:sz w:val="20"/>
              </w:rPr>
            </w:pPr>
            <w:r>
              <w:rPr>
                <w:sz w:val="20"/>
              </w:rPr>
              <w:t>1</w:t>
            </w:r>
          </w:p>
        </w:tc>
        <w:tc>
          <w:tcPr>
            <w:tcW w:w="720" w:type="dxa"/>
            <w:gridSpan w:val="2"/>
          </w:tcPr>
          <w:p w:rsidR="00B40966" w:rsidRDefault="00B40966">
            <w:pPr>
              <w:pStyle w:val="TableText"/>
              <w:jc w:val="center"/>
              <w:rPr>
                <w:sz w:val="20"/>
              </w:rPr>
            </w:pPr>
            <w:r>
              <w:rPr>
                <w:sz w:val="20"/>
              </w:rPr>
              <w:t>18</w:t>
            </w:r>
          </w:p>
        </w:tc>
        <w:tc>
          <w:tcPr>
            <w:tcW w:w="764" w:type="dxa"/>
            <w:gridSpan w:val="2"/>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14</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8</w:t>
            </w:r>
          </w:p>
        </w:tc>
        <w:tc>
          <w:tcPr>
            <w:tcW w:w="760" w:type="dxa"/>
            <w:tcBorders>
              <w:left w:val="single" w:sz="6" w:space="0" w:color="auto"/>
            </w:tcBorders>
          </w:tcPr>
          <w:p w:rsidR="00B40966" w:rsidRDefault="00B40966">
            <w:pPr>
              <w:pStyle w:val="TableText"/>
              <w:jc w:val="center"/>
              <w:rPr>
                <w:sz w:val="20"/>
              </w:rPr>
            </w:pPr>
            <w:r>
              <w:rPr>
                <w:sz w:val="20"/>
              </w:rPr>
              <w:t>0</w:t>
            </w:r>
          </w:p>
        </w:tc>
        <w:tc>
          <w:tcPr>
            <w:tcW w:w="722" w:type="dxa"/>
            <w:tcBorders>
              <w:right w:val="single" w:sz="6" w:space="0" w:color="auto"/>
            </w:tcBorders>
          </w:tcPr>
          <w:p w:rsidR="00B40966" w:rsidRDefault="00B40966">
            <w:pPr>
              <w:pStyle w:val="TableText"/>
              <w:jc w:val="center"/>
              <w:rPr>
                <w:sz w:val="20"/>
              </w:rPr>
            </w:pPr>
            <w:r>
              <w:rPr>
                <w:sz w:val="20"/>
              </w:rPr>
              <w:t>19</w:t>
            </w:r>
            <w:r>
              <w:rPr>
                <w:position w:val="4"/>
                <w:sz w:val="20"/>
              </w:rPr>
              <w:t>1</w:t>
            </w:r>
            <w:r>
              <w:rPr>
                <w:sz w:val="20"/>
              </w:rPr>
              <w:t>/2</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1</w:t>
            </w:r>
            <w:r>
              <w:rPr>
                <w:position w:val="4"/>
                <w:sz w:val="20"/>
              </w:rPr>
              <w:t>3</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9</w:t>
            </w:r>
            <w:r>
              <w:rPr>
                <w:sz w:val="20"/>
              </w:rPr>
              <w:t xml:space="preserve">/16 </w:t>
            </w:r>
          </w:p>
        </w:tc>
        <w:tc>
          <w:tcPr>
            <w:tcW w:w="684" w:type="dxa"/>
            <w:gridSpan w:val="3"/>
          </w:tcPr>
          <w:p w:rsidR="00B40966" w:rsidRDefault="00B40966">
            <w:pPr>
              <w:pStyle w:val="TableText"/>
              <w:jc w:val="center"/>
              <w:rPr>
                <w:sz w:val="20"/>
              </w:rPr>
            </w:pPr>
            <w:r>
              <w:rPr>
                <w:sz w:val="20"/>
              </w:rPr>
              <w:t>1</w:t>
            </w:r>
          </w:p>
        </w:tc>
        <w:tc>
          <w:tcPr>
            <w:tcW w:w="852" w:type="dxa"/>
          </w:tcPr>
          <w:p w:rsidR="00B40966" w:rsidRDefault="00B40966">
            <w:pPr>
              <w:pStyle w:val="TableText"/>
              <w:jc w:val="center"/>
              <w:rPr>
                <w:sz w:val="20"/>
              </w:rPr>
            </w:pPr>
            <w:r>
              <w:rPr>
                <w:sz w:val="20"/>
              </w:rPr>
              <w:t>2</w:t>
            </w:r>
          </w:p>
        </w:tc>
        <w:tc>
          <w:tcPr>
            <w:tcW w:w="588"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2</w:t>
            </w:r>
          </w:p>
        </w:tc>
        <w:tc>
          <w:tcPr>
            <w:tcW w:w="764" w:type="dxa"/>
            <w:gridSpan w:val="2"/>
            <w:tcBorders>
              <w:left w:val="single" w:sz="6" w:space="0" w:color="auto"/>
            </w:tcBorders>
          </w:tcPr>
          <w:p w:rsidR="00B40966" w:rsidRDefault="00B40966">
            <w:pPr>
              <w:pStyle w:val="TableText"/>
              <w:jc w:val="center"/>
              <w:rPr>
                <w:sz w:val="20"/>
              </w:rPr>
            </w:pPr>
            <w:r>
              <w:rPr>
                <w:sz w:val="20"/>
              </w:rPr>
              <w:t>1</w:t>
            </w:r>
          </w:p>
        </w:tc>
        <w:tc>
          <w:tcPr>
            <w:tcW w:w="832" w:type="dxa"/>
          </w:tcPr>
          <w:p w:rsidR="00B40966" w:rsidRDefault="00B40966">
            <w:pPr>
              <w:pStyle w:val="TableText"/>
              <w:jc w:val="center"/>
              <w:rPr>
                <w:sz w:val="20"/>
              </w:rPr>
            </w:pPr>
            <w:r>
              <w:rPr>
                <w:sz w:val="20"/>
              </w:rPr>
              <w:t>18</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11</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2</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11</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position w:val="4"/>
                <w:sz w:val="20"/>
              </w:rPr>
              <w:t>7</w:t>
            </w:r>
            <w:r>
              <w:rPr>
                <w:sz w:val="20"/>
              </w:rPr>
              <w:t>/8 1</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19</w:t>
            </w:r>
            <w:r>
              <w:rPr>
                <w:sz w:val="20"/>
              </w:rPr>
              <w:t xml:space="preserve">/32 </w:t>
            </w:r>
          </w:p>
        </w:tc>
        <w:tc>
          <w:tcPr>
            <w:tcW w:w="684" w:type="dxa"/>
            <w:gridSpan w:val="3"/>
          </w:tcPr>
          <w:p w:rsidR="00B40966" w:rsidRDefault="00B40966">
            <w:pPr>
              <w:pStyle w:val="TableText"/>
              <w:jc w:val="center"/>
              <w:rPr>
                <w:sz w:val="20"/>
              </w:rPr>
            </w:pPr>
            <w:r>
              <w:rPr>
                <w:sz w:val="20"/>
              </w:rPr>
              <w:t>1</w:t>
            </w:r>
          </w:p>
        </w:tc>
        <w:tc>
          <w:tcPr>
            <w:tcW w:w="852" w:type="dxa"/>
          </w:tcPr>
          <w:p w:rsidR="00B40966" w:rsidRDefault="00B40966">
            <w:pPr>
              <w:pStyle w:val="TableText"/>
              <w:jc w:val="center"/>
              <w:rPr>
                <w:sz w:val="20"/>
              </w:rPr>
            </w:pPr>
            <w:r>
              <w:rPr>
                <w:sz w:val="20"/>
              </w:rPr>
              <w:t>6</w:t>
            </w:r>
          </w:p>
        </w:tc>
        <w:tc>
          <w:tcPr>
            <w:tcW w:w="588"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10</w:t>
            </w:r>
          </w:p>
        </w:tc>
        <w:tc>
          <w:tcPr>
            <w:tcW w:w="764" w:type="dxa"/>
            <w:gridSpan w:val="2"/>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5</w:t>
            </w:r>
          </w:p>
        </w:tc>
        <w:tc>
          <w:tcPr>
            <w:tcW w:w="768" w:type="dxa"/>
            <w:tcBorders>
              <w:left w:val="single" w:sz="6" w:space="0" w:color="auto"/>
            </w:tcBorders>
          </w:tcPr>
          <w:p w:rsidR="00B40966" w:rsidRDefault="00B40966">
            <w:pPr>
              <w:pStyle w:val="TableText"/>
              <w:jc w:val="center"/>
              <w:rPr>
                <w:sz w:val="20"/>
              </w:rPr>
            </w:pPr>
            <w:r>
              <w:rPr>
                <w:sz w:val="20"/>
              </w:rPr>
              <w:t>1</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6</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13</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5</w:t>
            </w:r>
            <w:r>
              <w:rPr>
                <w:sz w:val="20"/>
              </w:rPr>
              <w:t xml:space="preserve">/8 </w:t>
            </w:r>
          </w:p>
        </w:tc>
        <w:tc>
          <w:tcPr>
            <w:tcW w:w="684" w:type="dxa"/>
            <w:gridSpan w:val="3"/>
          </w:tcPr>
          <w:p w:rsidR="00B40966" w:rsidRDefault="00B40966">
            <w:pPr>
              <w:pStyle w:val="TableText"/>
              <w:jc w:val="center"/>
              <w:rPr>
                <w:sz w:val="20"/>
              </w:rPr>
            </w:pPr>
            <w:r>
              <w:rPr>
                <w:sz w:val="20"/>
              </w:rPr>
              <w:t>1</w:t>
            </w:r>
          </w:p>
        </w:tc>
        <w:tc>
          <w:tcPr>
            <w:tcW w:w="852" w:type="dxa"/>
          </w:tcPr>
          <w:p w:rsidR="00B40966" w:rsidRDefault="00B40966">
            <w:pPr>
              <w:pStyle w:val="TableText"/>
              <w:jc w:val="center"/>
              <w:rPr>
                <w:sz w:val="20"/>
              </w:rPr>
            </w:pPr>
            <w:r>
              <w:rPr>
                <w:sz w:val="20"/>
              </w:rPr>
              <w:t>10</w:t>
            </w:r>
          </w:p>
        </w:tc>
        <w:tc>
          <w:tcPr>
            <w:tcW w:w="588" w:type="dxa"/>
            <w:tcBorders>
              <w:left w:val="single" w:sz="6" w:space="0" w:color="auto"/>
            </w:tcBorders>
          </w:tcPr>
          <w:p w:rsidR="00B40966" w:rsidRDefault="00B40966">
            <w:pPr>
              <w:pStyle w:val="TableText"/>
              <w:jc w:val="center"/>
              <w:rPr>
                <w:sz w:val="20"/>
              </w:rPr>
            </w:pPr>
            <w:r>
              <w:rPr>
                <w:sz w:val="20"/>
              </w:rPr>
              <w:t>2</w:t>
            </w:r>
          </w:p>
        </w:tc>
        <w:tc>
          <w:tcPr>
            <w:tcW w:w="720" w:type="dxa"/>
            <w:gridSpan w:val="2"/>
          </w:tcPr>
          <w:p w:rsidR="00B40966" w:rsidRDefault="00B40966">
            <w:pPr>
              <w:pStyle w:val="TableText"/>
              <w:jc w:val="center"/>
              <w:rPr>
                <w:sz w:val="20"/>
              </w:rPr>
            </w:pPr>
            <w:r>
              <w:rPr>
                <w:sz w:val="20"/>
              </w:rPr>
              <w:t>18</w:t>
            </w:r>
          </w:p>
        </w:tc>
        <w:tc>
          <w:tcPr>
            <w:tcW w:w="764" w:type="dxa"/>
            <w:gridSpan w:val="2"/>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12</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2</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10</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15</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/8</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11</w:t>
            </w:r>
            <w:r>
              <w:rPr>
                <w:sz w:val="20"/>
              </w:rPr>
              <w:t xml:space="preserve">/16 </w:t>
            </w:r>
          </w:p>
        </w:tc>
        <w:tc>
          <w:tcPr>
            <w:tcW w:w="684" w:type="dxa"/>
            <w:gridSpan w:val="3"/>
          </w:tcPr>
          <w:p w:rsidR="00B40966" w:rsidRDefault="00B40966">
            <w:pPr>
              <w:pStyle w:val="TableText"/>
              <w:jc w:val="center"/>
              <w:rPr>
                <w:sz w:val="20"/>
              </w:rPr>
            </w:pPr>
            <w:r>
              <w:rPr>
                <w:sz w:val="20"/>
              </w:rPr>
              <w:t>1</w:t>
            </w:r>
          </w:p>
        </w:tc>
        <w:tc>
          <w:tcPr>
            <w:tcW w:w="852" w:type="dxa"/>
          </w:tcPr>
          <w:p w:rsidR="00B40966" w:rsidRDefault="00B40966">
            <w:pPr>
              <w:pStyle w:val="TableText"/>
              <w:jc w:val="center"/>
              <w:rPr>
                <w:sz w:val="20"/>
              </w:rPr>
            </w:pPr>
            <w:r>
              <w:rPr>
                <w:sz w:val="20"/>
              </w:rPr>
              <w:t>14</w:t>
            </w:r>
          </w:p>
        </w:tc>
        <w:tc>
          <w:tcPr>
            <w:tcW w:w="588" w:type="dxa"/>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6</w:t>
            </w:r>
          </w:p>
        </w:tc>
        <w:tc>
          <w:tcPr>
            <w:tcW w:w="764" w:type="dxa"/>
            <w:gridSpan w:val="2"/>
            <w:tcBorders>
              <w:left w:val="single" w:sz="6" w:space="0" w:color="auto"/>
            </w:tcBorders>
          </w:tcPr>
          <w:p w:rsidR="00B40966" w:rsidRDefault="00B40966">
            <w:pPr>
              <w:pStyle w:val="TableText"/>
              <w:jc w:val="center"/>
              <w:rPr>
                <w:sz w:val="20"/>
              </w:rPr>
            </w:pPr>
            <w:r>
              <w:rPr>
                <w:sz w:val="20"/>
              </w:rPr>
              <w:t>2</w:t>
            </w:r>
          </w:p>
        </w:tc>
        <w:tc>
          <w:tcPr>
            <w:tcW w:w="832" w:type="dxa"/>
          </w:tcPr>
          <w:p w:rsidR="00B40966" w:rsidRDefault="00B40966">
            <w:pPr>
              <w:pStyle w:val="TableText"/>
              <w:jc w:val="center"/>
              <w:rPr>
                <w:sz w:val="20"/>
              </w:rPr>
            </w:pPr>
            <w:r>
              <w:rPr>
                <w:sz w:val="20"/>
              </w:rPr>
              <w:t>19</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8</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14</w:t>
            </w:r>
          </w:p>
        </w:tc>
        <w:tc>
          <w:tcPr>
            <w:tcW w:w="838" w:type="dxa"/>
            <w:gridSpan w:val="2"/>
          </w:tcPr>
          <w:p w:rsidR="00B40966" w:rsidRDefault="00B40966">
            <w:pPr>
              <w:pStyle w:val="TableText"/>
              <w:jc w:val="center"/>
              <w:rPr>
                <w:sz w:val="20"/>
              </w:rPr>
            </w:pPr>
            <w:r>
              <w:rPr>
                <w:sz w:val="20"/>
              </w:rPr>
              <w:t>0</w:t>
            </w:r>
          </w:p>
        </w:tc>
        <w:tc>
          <w:tcPr>
            <w:tcW w:w="662" w:type="dxa"/>
            <w:gridSpan w:val="2"/>
          </w:tcPr>
          <w:p w:rsidR="00B40966" w:rsidRDefault="00B40966">
            <w:pPr>
              <w:pStyle w:val="TableText"/>
              <w:jc w:val="center"/>
              <w:rPr>
                <w:sz w:val="20"/>
              </w:rPr>
            </w:pPr>
            <w:r>
              <w:rPr>
                <w:sz w:val="20"/>
              </w:rPr>
              <w:t>17</w:t>
            </w:r>
            <w:r>
              <w:rPr>
                <w:position w:val="4"/>
                <w:sz w:val="20"/>
              </w:rPr>
              <w:t>1</w:t>
            </w:r>
            <w:r>
              <w:rPr>
                <w:sz w:val="20"/>
              </w:rPr>
              <w:t>/2</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23</w:t>
            </w:r>
            <w:r>
              <w:rPr>
                <w:sz w:val="20"/>
              </w:rPr>
              <w:t xml:space="preserve">/32 </w:t>
            </w:r>
          </w:p>
        </w:tc>
        <w:tc>
          <w:tcPr>
            <w:tcW w:w="684" w:type="dxa"/>
            <w:gridSpan w:val="3"/>
          </w:tcPr>
          <w:p w:rsidR="00B40966" w:rsidRDefault="00B40966">
            <w:pPr>
              <w:pStyle w:val="TableText"/>
              <w:jc w:val="center"/>
              <w:rPr>
                <w:sz w:val="20"/>
              </w:rPr>
            </w:pPr>
            <w:r>
              <w:rPr>
                <w:sz w:val="20"/>
              </w:rPr>
              <w:t>1</w:t>
            </w:r>
          </w:p>
        </w:tc>
        <w:tc>
          <w:tcPr>
            <w:tcW w:w="852" w:type="dxa"/>
          </w:tcPr>
          <w:p w:rsidR="00B40966" w:rsidRDefault="00B40966">
            <w:pPr>
              <w:pStyle w:val="TableText"/>
              <w:jc w:val="center"/>
              <w:rPr>
                <w:sz w:val="20"/>
              </w:rPr>
            </w:pPr>
            <w:r>
              <w:rPr>
                <w:sz w:val="20"/>
              </w:rPr>
              <w:t>19</w:t>
            </w:r>
          </w:p>
        </w:tc>
        <w:tc>
          <w:tcPr>
            <w:tcW w:w="588" w:type="dxa"/>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15</w:t>
            </w:r>
          </w:p>
        </w:tc>
        <w:tc>
          <w:tcPr>
            <w:tcW w:w="764" w:type="dxa"/>
            <w:gridSpan w:val="2"/>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15</w:t>
            </w:r>
          </w:p>
        </w:tc>
        <w:tc>
          <w:tcPr>
            <w:tcW w:w="760" w:type="dxa"/>
            <w:tcBorders>
              <w:left w:val="single" w:sz="6" w:space="0" w:color="auto"/>
            </w:tcBorders>
          </w:tcPr>
          <w:p w:rsidR="00B40966" w:rsidRDefault="00B40966">
            <w:pPr>
              <w:pStyle w:val="TableText"/>
              <w:jc w:val="center"/>
              <w:rPr>
                <w:sz w:val="20"/>
              </w:rPr>
            </w:pPr>
            <w:r>
              <w:rPr>
                <w:sz w:val="20"/>
              </w:rPr>
              <w:t>1</w:t>
            </w:r>
          </w:p>
        </w:tc>
        <w:tc>
          <w:tcPr>
            <w:tcW w:w="722" w:type="dxa"/>
            <w:tcBorders>
              <w:right w:val="single" w:sz="6" w:space="0" w:color="auto"/>
            </w:tcBorders>
          </w:tcPr>
          <w:p w:rsidR="00B40966" w:rsidRDefault="00B40966">
            <w:pPr>
              <w:pStyle w:val="TableText"/>
              <w:jc w:val="center"/>
              <w:rPr>
                <w:sz w:val="20"/>
              </w:rPr>
            </w:pPr>
            <w:r>
              <w:rPr>
                <w:sz w:val="20"/>
              </w:rPr>
              <w:t>19</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0</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/8</w:t>
            </w:r>
          </w:p>
        </w:tc>
        <w:tc>
          <w:tcPr>
            <w:tcW w:w="924" w:type="dxa"/>
            <w:gridSpan w:val="2"/>
            <w:tcBorders>
              <w:right w:val="single" w:sz="6" w:space="0" w:color="auto"/>
            </w:tcBorders>
          </w:tcPr>
          <w:p w:rsidR="00B40966" w:rsidRDefault="00B40966">
            <w:pPr>
              <w:pStyle w:val="TableText"/>
              <w:jc w:val="center"/>
              <w:rPr>
                <w:sz w:val="20"/>
              </w:rPr>
            </w:pPr>
            <w:r>
              <w:rPr>
                <w:position w:val="4"/>
                <w:sz w:val="20"/>
              </w:rPr>
              <w:t>3</w:t>
            </w:r>
            <w:r>
              <w:rPr>
                <w:sz w:val="20"/>
              </w:rPr>
              <w:t>/4</w:t>
            </w:r>
          </w:p>
        </w:tc>
        <w:tc>
          <w:tcPr>
            <w:tcW w:w="684" w:type="dxa"/>
            <w:gridSpan w:val="3"/>
          </w:tcPr>
          <w:p w:rsidR="00B40966" w:rsidRDefault="00B40966">
            <w:pPr>
              <w:pStyle w:val="TableText"/>
              <w:jc w:val="center"/>
              <w:rPr>
                <w:sz w:val="20"/>
              </w:rPr>
            </w:pPr>
            <w:r>
              <w:rPr>
                <w:sz w:val="20"/>
              </w:rPr>
              <w:t>2</w:t>
            </w:r>
          </w:p>
        </w:tc>
        <w:tc>
          <w:tcPr>
            <w:tcW w:w="852" w:type="dxa"/>
          </w:tcPr>
          <w:p w:rsidR="00B40966" w:rsidRDefault="00B40966">
            <w:pPr>
              <w:pStyle w:val="TableText"/>
              <w:jc w:val="center"/>
              <w:rPr>
                <w:sz w:val="20"/>
              </w:rPr>
            </w:pPr>
            <w:r>
              <w:rPr>
                <w:sz w:val="20"/>
              </w:rPr>
              <w:t>1</w:t>
            </w:r>
          </w:p>
        </w:tc>
        <w:tc>
          <w:tcPr>
            <w:tcW w:w="588" w:type="dxa"/>
            <w:tcBorders>
              <w:left w:val="single" w:sz="6" w:space="0" w:color="auto"/>
            </w:tcBorders>
          </w:tcPr>
          <w:p w:rsidR="00B40966" w:rsidRDefault="00B40966">
            <w:pPr>
              <w:pStyle w:val="TableText"/>
              <w:jc w:val="center"/>
              <w:rPr>
                <w:sz w:val="20"/>
              </w:rPr>
            </w:pPr>
            <w:r>
              <w:rPr>
                <w:sz w:val="20"/>
              </w:rPr>
              <w:t>3</w:t>
            </w:r>
          </w:p>
        </w:tc>
        <w:tc>
          <w:tcPr>
            <w:tcW w:w="720" w:type="dxa"/>
            <w:gridSpan w:val="2"/>
          </w:tcPr>
          <w:p w:rsidR="00B40966" w:rsidRDefault="00B40966">
            <w:pPr>
              <w:pStyle w:val="TableText"/>
              <w:jc w:val="center"/>
              <w:rPr>
                <w:sz w:val="20"/>
              </w:rPr>
            </w:pPr>
            <w:r>
              <w:rPr>
                <w:sz w:val="20"/>
              </w:rPr>
              <w:t>19</w:t>
            </w:r>
          </w:p>
        </w:tc>
        <w:tc>
          <w:tcPr>
            <w:tcW w:w="764" w:type="dxa"/>
            <w:gridSpan w:val="2"/>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11</w:t>
            </w:r>
          </w:p>
        </w:tc>
        <w:tc>
          <w:tcPr>
            <w:tcW w:w="768" w:type="dxa"/>
            <w:tcBorders>
              <w:left w:val="single" w:sz="6" w:space="0" w:color="auto"/>
            </w:tcBorders>
          </w:tcPr>
          <w:p w:rsidR="00B40966" w:rsidRDefault="00B40966">
            <w:pPr>
              <w:pStyle w:val="TableText"/>
              <w:jc w:val="center"/>
              <w:rPr>
                <w:sz w:val="20"/>
              </w:rPr>
            </w:pPr>
            <w:r>
              <w:rPr>
                <w:sz w:val="20"/>
              </w:rPr>
              <w:t>2</w:t>
            </w:r>
          </w:p>
        </w:tc>
        <w:tc>
          <w:tcPr>
            <w:tcW w:w="786" w:type="dxa"/>
            <w:gridSpan w:val="2"/>
          </w:tcPr>
          <w:p w:rsidR="00B40966" w:rsidRDefault="00B40966">
            <w:pPr>
              <w:pStyle w:val="TableText"/>
              <w:jc w:val="center"/>
              <w:rPr>
                <w:sz w:val="20"/>
              </w:rPr>
            </w:pPr>
            <w:r>
              <w:rPr>
                <w:sz w:val="20"/>
              </w:rPr>
              <w:t>18</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1</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1</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1</w:t>
            </w:r>
            <w:r>
              <w:rPr>
                <w:sz w:val="20"/>
              </w:rPr>
              <w:t>/2</w:t>
            </w:r>
          </w:p>
        </w:tc>
        <w:tc>
          <w:tcPr>
            <w:tcW w:w="924" w:type="dxa"/>
            <w:gridSpan w:val="2"/>
            <w:tcBorders>
              <w:right w:val="single" w:sz="6" w:space="0" w:color="auto"/>
            </w:tcBorders>
          </w:tcPr>
          <w:p w:rsidR="00B40966" w:rsidRDefault="00B40966">
            <w:pPr>
              <w:pStyle w:val="TableText"/>
              <w:jc w:val="center"/>
              <w:rPr>
                <w:sz w:val="20"/>
              </w:rPr>
            </w:pPr>
            <w:r>
              <w:rPr>
                <w:position w:val="4"/>
                <w:sz w:val="20"/>
              </w:rPr>
              <w:t>13</w:t>
            </w:r>
            <w:r>
              <w:rPr>
                <w:sz w:val="20"/>
              </w:rPr>
              <w:t xml:space="preserve">/16 </w:t>
            </w:r>
          </w:p>
        </w:tc>
        <w:tc>
          <w:tcPr>
            <w:tcW w:w="684" w:type="dxa"/>
            <w:gridSpan w:val="3"/>
          </w:tcPr>
          <w:p w:rsidR="00B40966" w:rsidRDefault="00B40966">
            <w:pPr>
              <w:pStyle w:val="TableText"/>
              <w:jc w:val="center"/>
              <w:rPr>
                <w:sz w:val="20"/>
              </w:rPr>
            </w:pPr>
            <w:r>
              <w:rPr>
                <w:sz w:val="20"/>
              </w:rPr>
              <w:t>2</w:t>
            </w:r>
          </w:p>
        </w:tc>
        <w:tc>
          <w:tcPr>
            <w:tcW w:w="852" w:type="dxa"/>
          </w:tcPr>
          <w:p w:rsidR="00B40966" w:rsidRDefault="00B40966">
            <w:pPr>
              <w:pStyle w:val="TableText"/>
              <w:jc w:val="center"/>
              <w:rPr>
                <w:sz w:val="20"/>
              </w:rPr>
            </w:pPr>
            <w:r>
              <w:rPr>
                <w:sz w:val="20"/>
              </w:rPr>
              <w:t>5</w:t>
            </w:r>
          </w:p>
        </w:tc>
        <w:tc>
          <w:tcPr>
            <w:tcW w:w="588" w:type="dxa"/>
            <w:tcBorders>
              <w:left w:val="single" w:sz="6" w:space="0" w:color="auto"/>
            </w:tcBorders>
          </w:tcPr>
          <w:p w:rsidR="00B40966" w:rsidRDefault="00B40966">
            <w:pPr>
              <w:pStyle w:val="TableText"/>
              <w:jc w:val="center"/>
              <w:rPr>
                <w:sz w:val="20"/>
              </w:rPr>
            </w:pPr>
            <w:r>
              <w:rPr>
                <w:sz w:val="20"/>
              </w:rPr>
              <w:t>4</w:t>
            </w:r>
          </w:p>
        </w:tc>
        <w:tc>
          <w:tcPr>
            <w:tcW w:w="720" w:type="dxa"/>
            <w:gridSpan w:val="2"/>
          </w:tcPr>
          <w:p w:rsidR="00B40966" w:rsidRDefault="00B40966">
            <w:pPr>
              <w:pStyle w:val="TableText"/>
              <w:jc w:val="center"/>
              <w:rPr>
                <w:sz w:val="20"/>
              </w:rPr>
            </w:pPr>
            <w:r>
              <w:rPr>
                <w:sz w:val="20"/>
              </w:rPr>
              <w:t>7</w:t>
            </w:r>
          </w:p>
        </w:tc>
        <w:tc>
          <w:tcPr>
            <w:tcW w:w="764" w:type="dxa"/>
            <w:gridSpan w:val="2"/>
            <w:tcBorders>
              <w:left w:val="single" w:sz="6" w:space="0" w:color="auto"/>
            </w:tcBorders>
          </w:tcPr>
          <w:p w:rsidR="00B40966" w:rsidRDefault="00B40966">
            <w:pPr>
              <w:pStyle w:val="TableText"/>
              <w:jc w:val="center"/>
              <w:rPr>
                <w:sz w:val="20"/>
              </w:rPr>
            </w:pPr>
            <w:r>
              <w:rPr>
                <w:sz w:val="20"/>
              </w:rPr>
              <w:t>3</w:t>
            </w:r>
          </w:p>
        </w:tc>
        <w:tc>
          <w:tcPr>
            <w:tcW w:w="832" w:type="dxa"/>
          </w:tcPr>
          <w:p w:rsidR="00B40966" w:rsidRDefault="00B40966">
            <w:pPr>
              <w:pStyle w:val="TableText"/>
              <w:jc w:val="center"/>
              <w:rPr>
                <w:sz w:val="20"/>
              </w:rPr>
            </w:pPr>
            <w:r>
              <w:rPr>
                <w:sz w:val="20"/>
              </w:rPr>
              <w:t>18</w:t>
            </w:r>
          </w:p>
        </w:tc>
        <w:tc>
          <w:tcPr>
            <w:tcW w:w="768"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4</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5</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3</w:t>
            </w:r>
          </w:p>
        </w:tc>
      </w:tr>
      <w:tr w:rsidR="00B40966">
        <w:trPr>
          <w:cantSplit/>
          <w:trHeight w:val="200"/>
        </w:trPr>
        <w:tc>
          <w:tcPr>
            <w:tcW w:w="968" w:type="dxa"/>
            <w:tcBorders>
              <w:right w:val="single" w:sz="6" w:space="0" w:color="auto"/>
            </w:tcBorders>
          </w:tcPr>
          <w:p w:rsidR="00B40966" w:rsidRDefault="00B40966">
            <w:pPr>
              <w:pStyle w:val="TableText"/>
              <w:jc w:val="center"/>
              <w:rPr>
                <w:sz w:val="20"/>
              </w:rPr>
            </w:pPr>
            <w:r>
              <w:rPr>
                <w:sz w:val="20"/>
              </w:rPr>
              <w:t>2</w:t>
            </w:r>
            <w:r>
              <w:rPr>
                <w:position w:val="4"/>
                <w:sz w:val="20"/>
              </w:rPr>
              <w:t>3</w:t>
            </w:r>
            <w:r>
              <w:rPr>
                <w:sz w:val="20"/>
              </w:rPr>
              <w:t>/4</w:t>
            </w:r>
          </w:p>
        </w:tc>
        <w:tc>
          <w:tcPr>
            <w:tcW w:w="924" w:type="dxa"/>
            <w:gridSpan w:val="2"/>
            <w:tcBorders>
              <w:right w:val="single" w:sz="6" w:space="0" w:color="auto"/>
            </w:tcBorders>
          </w:tcPr>
          <w:p w:rsidR="00B40966" w:rsidRDefault="00B40966">
            <w:pPr>
              <w:pStyle w:val="TableText"/>
              <w:jc w:val="center"/>
              <w:rPr>
                <w:sz w:val="20"/>
              </w:rPr>
            </w:pPr>
            <w:r>
              <w:rPr>
                <w:position w:val="4"/>
                <w:sz w:val="20"/>
              </w:rPr>
              <w:t>7</w:t>
            </w:r>
            <w:r>
              <w:rPr>
                <w:sz w:val="20"/>
              </w:rPr>
              <w:t xml:space="preserve">/8 </w:t>
            </w:r>
          </w:p>
        </w:tc>
        <w:tc>
          <w:tcPr>
            <w:tcW w:w="684" w:type="dxa"/>
            <w:gridSpan w:val="3"/>
          </w:tcPr>
          <w:p w:rsidR="00B40966" w:rsidRDefault="00B40966">
            <w:pPr>
              <w:pStyle w:val="TableText"/>
              <w:jc w:val="center"/>
              <w:rPr>
                <w:sz w:val="20"/>
              </w:rPr>
            </w:pPr>
            <w:r>
              <w:rPr>
                <w:sz w:val="20"/>
              </w:rPr>
              <w:t>2</w:t>
            </w:r>
          </w:p>
        </w:tc>
        <w:tc>
          <w:tcPr>
            <w:tcW w:w="852" w:type="dxa"/>
          </w:tcPr>
          <w:p w:rsidR="00B40966" w:rsidRDefault="00B40966">
            <w:pPr>
              <w:pStyle w:val="TableText"/>
              <w:jc w:val="center"/>
              <w:rPr>
                <w:sz w:val="20"/>
              </w:rPr>
            </w:pPr>
            <w:r>
              <w:rPr>
                <w:sz w:val="20"/>
              </w:rPr>
              <w:t>16</w:t>
            </w:r>
          </w:p>
        </w:tc>
        <w:tc>
          <w:tcPr>
            <w:tcW w:w="588" w:type="dxa"/>
            <w:tcBorders>
              <w:left w:val="single" w:sz="6" w:space="0" w:color="auto"/>
            </w:tcBorders>
          </w:tcPr>
          <w:p w:rsidR="00B40966" w:rsidRDefault="00B40966">
            <w:pPr>
              <w:pStyle w:val="TableText"/>
              <w:jc w:val="center"/>
              <w:rPr>
                <w:sz w:val="20"/>
              </w:rPr>
            </w:pPr>
            <w:r>
              <w:rPr>
                <w:sz w:val="20"/>
              </w:rPr>
              <w:t>5</w:t>
            </w:r>
          </w:p>
        </w:tc>
        <w:tc>
          <w:tcPr>
            <w:tcW w:w="720" w:type="dxa"/>
            <w:gridSpan w:val="2"/>
          </w:tcPr>
          <w:p w:rsidR="00B40966" w:rsidRDefault="00B40966">
            <w:pPr>
              <w:pStyle w:val="TableText"/>
              <w:jc w:val="center"/>
              <w:rPr>
                <w:sz w:val="20"/>
              </w:rPr>
            </w:pPr>
            <w:r>
              <w:rPr>
                <w:sz w:val="20"/>
              </w:rPr>
              <w:t>8</w:t>
            </w:r>
          </w:p>
        </w:tc>
        <w:tc>
          <w:tcPr>
            <w:tcW w:w="764" w:type="dxa"/>
            <w:gridSpan w:val="2"/>
            <w:tcBorders>
              <w:left w:val="single" w:sz="6" w:space="0" w:color="auto"/>
            </w:tcBorders>
          </w:tcPr>
          <w:p w:rsidR="00B40966" w:rsidRDefault="00B40966">
            <w:pPr>
              <w:pStyle w:val="TableText"/>
              <w:jc w:val="center"/>
              <w:rPr>
                <w:sz w:val="20"/>
              </w:rPr>
            </w:pPr>
            <w:r>
              <w:rPr>
                <w:sz w:val="20"/>
              </w:rPr>
              <w:t>4</w:t>
            </w:r>
          </w:p>
        </w:tc>
        <w:tc>
          <w:tcPr>
            <w:tcW w:w="832" w:type="dxa"/>
          </w:tcPr>
          <w:p w:rsidR="00B40966" w:rsidRDefault="00B40966">
            <w:pPr>
              <w:pStyle w:val="TableText"/>
              <w:jc w:val="center"/>
              <w:rPr>
                <w:sz w:val="20"/>
              </w:rPr>
            </w:pPr>
            <w:r>
              <w:rPr>
                <w:sz w:val="20"/>
              </w:rPr>
              <w:t>17</w:t>
            </w:r>
          </w:p>
        </w:tc>
        <w:tc>
          <w:tcPr>
            <w:tcW w:w="768" w:type="dxa"/>
            <w:tcBorders>
              <w:left w:val="single" w:sz="6" w:space="0" w:color="auto"/>
            </w:tcBorders>
          </w:tcPr>
          <w:p w:rsidR="00B40966" w:rsidRDefault="00B40966">
            <w:pPr>
              <w:pStyle w:val="TableText"/>
              <w:jc w:val="center"/>
              <w:rPr>
                <w:sz w:val="20"/>
              </w:rPr>
            </w:pPr>
            <w:r>
              <w:rPr>
                <w:sz w:val="20"/>
              </w:rPr>
              <w:t>3</w:t>
            </w:r>
          </w:p>
        </w:tc>
        <w:tc>
          <w:tcPr>
            <w:tcW w:w="786" w:type="dxa"/>
            <w:gridSpan w:val="2"/>
          </w:tcPr>
          <w:p w:rsidR="00B40966" w:rsidRDefault="00B40966">
            <w:pPr>
              <w:pStyle w:val="TableText"/>
              <w:jc w:val="center"/>
              <w:rPr>
                <w:sz w:val="20"/>
              </w:rPr>
            </w:pPr>
            <w:r>
              <w:rPr>
                <w:sz w:val="20"/>
              </w:rPr>
              <w:t>19</w:t>
            </w:r>
          </w:p>
        </w:tc>
        <w:tc>
          <w:tcPr>
            <w:tcW w:w="760" w:type="dxa"/>
            <w:tcBorders>
              <w:left w:val="single" w:sz="6" w:space="0" w:color="auto"/>
            </w:tcBorders>
          </w:tcPr>
          <w:p w:rsidR="00B40966" w:rsidRDefault="00B40966">
            <w:pPr>
              <w:pStyle w:val="TableText"/>
              <w:jc w:val="center"/>
              <w:rPr>
                <w:sz w:val="20"/>
              </w:rPr>
            </w:pPr>
            <w:r>
              <w:rPr>
                <w:sz w:val="20"/>
              </w:rPr>
              <w:t>2</w:t>
            </w:r>
          </w:p>
        </w:tc>
        <w:tc>
          <w:tcPr>
            <w:tcW w:w="722" w:type="dxa"/>
            <w:tcBorders>
              <w:right w:val="single" w:sz="6" w:space="0" w:color="auto"/>
            </w:tcBorders>
          </w:tcPr>
          <w:p w:rsidR="00B40966" w:rsidRDefault="00B40966">
            <w:pPr>
              <w:pStyle w:val="TableText"/>
              <w:jc w:val="center"/>
              <w:rPr>
                <w:sz w:val="20"/>
              </w:rPr>
            </w:pPr>
            <w:r>
              <w:rPr>
                <w:sz w:val="20"/>
              </w:rPr>
              <w:t>16</w:t>
            </w:r>
          </w:p>
        </w:tc>
        <w:tc>
          <w:tcPr>
            <w:tcW w:w="838" w:type="dxa"/>
            <w:gridSpan w:val="2"/>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9</w:t>
            </w:r>
          </w:p>
        </w:tc>
      </w:tr>
      <w:tr w:rsidR="00B40966">
        <w:trPr>
          <w:cantSplit/>
          <w:trHeight w:val="200"/>
        </w:trPr>
        <w:tc>
          <w:tcPr>
            <w:tcW w:w="968" w:type="dxa"/>
          </w:tcPr>
          <w:p w:rsidR="00B40966" w:rsidRDefault="00B40966">
            <w:pPr>
              <w:pStyle w:val="TableText"/>
              <w:jc w:val="center"/>
              <w:rPr>
                <w:sz w:val="20"/>
              </w:rPr>
            </w:pPr>
            <w:r>
              <w:rPr>
                <w:sz w:val="20"/>
              </w:rPr>
              <w:t>3</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position w:val="4"/>
                <w:sz w:val="16"/>
              </w:rPr>
              <w:t>15</w:t>
            </w:r>
            <w:r>
              <w:rPr>
                <w:sz w:val="20"/>
              </w:rPr>
              <w:t>/</w:t>
            </w:r>
            <w:r>
              <w:rPr>
                <w:sz w:val="16"/>
              </w:rPr>
              <w:t>16</w:t>
            </w:r>
            <w:r>
              <w:rPr>
                <w:sz w:val="20"/>
              </w:rPr>
              <w:t xml:space="preserve"> </w:t>
            </w:r>
          </w:p>
        </w:tc>
        <w:tc>
          <w:tcPr>
            <w:tcW w:w="684" w:type="dxa"/>
            <w:gridSpan w:val="3"/>
          </w:tcPr>
          <w:p w:rsidR="00B40966" w:rsidRDefault="00B40966">
            <w:pPr>
              <w:pStyle w:val="TableText"/>
              <w:jc w:val="center"/>
              <w:rPr>
                <w:sz w:val="20"/>
              </w:rPr>
            </w:pPr>
            <w:r>
              <w:rPr>
                <w:sz w:val="20"/>
              </w:rPr>
              <w:t>3</w:t>
            </w:r>
          </w:p>
        </w:tc>
        <w:tc>
          <w:tcPr>
            <w:tcW w:w="852" w:type="dxa"/>
          </w:tcPr>
          <w:p w:rsidR="00B40966" w:rsidRDefault="00B40966">
            <w:pPr>
              <w:pStyle w:val="TableText"/>
              <w:jc w:val="center"/>
              <w:rPr>
                <w:sz w:val="20"/>
              </w:rPr>
            </w:pPr>
            <w:r>
              <w:rPr>
                <w:sz w:val="20"/>
              </w:rPr>
              <w:t>7</w:t>
            </w:r>
          </w:p>
        </w:tc>
        <w:tc>
          <w:tcPr>
            <w:tcW w:w="588" w:type="dxa"/>
            <w:tcBorders>
              <w:left w:val="single" w:sz="6" w:space="0" w:color="auto"/>
            </w:tcBorders>
          </w:tcPr>
          <w:p w:rsidR="00B40966" w:rsidRDefault="00B40966">
            <w:pPr>
              <w:pStyle w:val="TableText"/>
              <w:jc w:val="center"/>
              <w:rPr>
                <w:sz w:val="20"/>
              </w:rPr>
            </w:pPr>
            <w:r>
              <w:rPr>
                <w:sz w:val="20"/>
              </w:rPr>
              <w:t>6</w:t>
            </w:r>
          </w:p>
        </w:tc>
        <w:tc>
          <w:tcPr>
            <w:tcW w:w="720" w:type="dxa"/>
            <w:gridSpan w:val="2"/>
          </w:tcPr>
          <w:p w:rsidR="00B40966" w:rsidRDefault="00B40966">
            <w:pPr>
              <w:pStyle w:val="TableText"/>
              <w:jc w:val="center"/>
              <w:rPr>
                <w:sz w:val="20"/>
              </w:rPr>
            </w:pPr>
            <w:r>
              <w:rPr>
                <w:sz w:val="20"/>
              </w:rPr>
              <w:t>10</w:t>
            </w:r>
          </w:p>
        </w:tc>
        <w:tc>
          <w:tcPr>
            <w:tcW w:w="764" w:type="dxa"/>
            <w:gridSpan w:val="2"/>
            <w:tcBorders>
              <w:left w:val="single" w:sz="6" w:space="0" w:color="auto"/>
            </w:tcBorders>
          </w:tcPr>
          <w:p w:rsidR="00B40966" w:rsidRDefault="00B40966">
            <w:pPr>
              <w:pStyle w:val="TableText"/>
              <w:jc w:val="center"/>
              <w:rPr>
                <w:sz w:val="20"/>
              </w:rPr>
            </w:pPr>
            <w:r>
              <w:rPr>
                <w:sz w:val="20"/>
              </w:rPr>
              <w:t>5</w:t>
            </w:r>
          </w:p>
        </w:tc>
        <w:tc>
          <w:tcPr>
            <w:tcW w:w="832" w:type="dxa"/>
          </w:tcPr>
          <w:p w:rsidR="00B40966" w:rsidRDefault="00B40966">
            <w:pPr>
              <w:pStyle w:val="TableText"/>
              <w:jc w:val="center"/>
              <w:rPr>
                <w:sz w:val="20"/>
              </w:rPr>
            </w:pPr>
            <w:r>
              <w:rPr>
                <w:sz w:val="20"/>
              </w:rPr>
              <w:t>16</w:t>
            </w:r>
          </w:p>
        </w:tc>
        <w:tc>
          <w:tcPr>
            <w:tcW w:w="768" w:type="dxa"/>
            <w:tcBorders>
              <w:left w:val="single" w:sz="6" w:space="0" w:color="auto"/>
            </w:tcBorders>
          </w:tcPr>
          <w:p w:rsidR="00B40966" w:rsidRDefault="00B40966">
            <w:pPr>
              <w:pStyle w:val="TableText"/>
              <w:jc w:val="center"/>
              <w:rPr>
                <w:sz w:val="20"/>
              </w:rPr>
            </w:pPr>
            <w:r>
              <w:rPr>
                <w:sz w:val="20"/>
              </w:rPr>
              <w:t>4</w:t>
            </w:r>
          </w:p>
        </w:tc>
        <w:tc>
          <w:tcPr>
            <w:tcW w:w="786" w:type="dxa"/>
            <w:gridSpan w:val="2"/>
          </w:tcPr>
          <w:p w:rsidR="00B40966" w:rsidRDefault="00B40966">
            <w:pPr>
              <w:pStyle w:val="TableText"/>
              <w:jc w:val="center"/>
              <w:rPr>
                <w:sz w:val="20"/>
              </w:rPr>
            </w:pPr>
            <w:r>
              <w:rPr>
                <w:sz w:val="20"/>
              </w:rPr>
              <w:t>15</w:t>
            </w:r>
          </w:p>
        </w:tc>
        <w:tc>
          <w:tcPr>
            <w:tcW w:w="760" w:type="dxa"/>
            <w:tcBorders>
              <w:left w:val="single" w:sz="6" w:space="0" w:color="auto"/>
            </w:tcBorders>
          </w:tcPr>
          <w:p w:rsidR="00B40966" w:rsidRDefault="00B40966">
            <w:pPr>
              <w:pStyle w:val="TableText"/>
              <w:jc w:val="center"/>
              <w:rPr>
                <w:sz w:val="20"/>
              </w:rPr>
            </w:pPr>
            <w:r>
              <w:rPr>
                <w:sz w:val="20"/>
              </w:rPr>
              <w:t>3</w:t>
            </w:r>
          </w:p>
        </w:tc>
        <w:tc>
          <w:tcPr>
            <w:tcW w:w="722" w:type="dxa"/>
          </w:tcPr>
          <w:p w:rsidR="00B40966" w:rsidRDefault="00B40966">
            <w:pPr>
              <w:pStyle w:val="TableText"/>
              <w:jc w:val="center"/>
              <w:rPr>
                <w:sz w:val="20"/>
              </w:rPr>
            </w:pPr>
            <w:r>
              <w:rPr>
                <w:sz w:val="20"/>
              </w:rPr>
              <w:t>7</w:t>
            </w:r>
          </w:p>
        </w:tc>
        <w:tc>
          <w:tcPr>
            <w:tcW w:w="838" w:type="dxa"/>
            <w:gridSpan w:val="2"/>
            <w:tcBorders>
              <w:left w:val="single" w:sz="6" w:space="0" w:color="auto"/>
            </w:tcBorders>
          </w:tcPr>
          <w:p w:rsidR="00B40966" w:rsidRDefault="00B40966">
            <w:pPr>
              <w:pStyle w:val="TableText"/>
              <w:jc w:val="center"/>
              <w:rPr>
                <w:sz w:val="20"/>
              </w:rPr>
            </w:pPr>
            <w:r>
              <w:rPr>
                <w:sz w:val="20"/>
              </w:rPr>
              <w:t>1</w:t>
            </w:r>
          </w:p>
        </w:tc>
        <w:tc>
          <w:tcPr>
            <w:tcW w:w="662" w:type="dxa"/>
            <w:gridSpan w:val="2"/>
          </w:tcPr>
          <w:p w:rsidR="00B40966" w:rsidRDefault="00B40966">
            <w:pPr>
              <w:pStyle w:val="TableText"/>
              <w:jc w:val="center"/>
              <w:rPr>
                <w:sz w:val="20"/>
              </w:rPr>
            </w:pPr>
            <w:r>
              <w:rPr>
                <w:sz w:val="20"/>
              </w:rPr>
              <w:t>15</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16</w:t>
            </w:r>
          </w:p>
        </w:tc>
        <w:tc>
          <w:tcPr>
            <w:tcW w:w="684" w:type="dxa"/>
            <w:gridSpan w:val="3"/>
          </w:tcPr>
          <w:p w:rsidR="00B40966" w:rsidRDefault="00B40966">
            <w:pPr>
              <w:pStyle w:val="TableText"/>
              <w:jc w:val="center"/>
              <w:rPr>
                <w:sz w:val="20"/>
              </w:rPr>
            </w:pPr>
            <w:r>
              <w:rPr>
                <w:sz w:val="20"/>
              </w:rPr>
              <w:t>3</w:t>
            </w:r>
          </w:p>
        </w:tc>
        <w:tc>
          <w:tcPr>
            <w:tcW w:w="852" w:type="dxa"/>
          </w:tcPr>
          <w:p w:rsidR="00B40966" w:rsidRDefault="00B40966">
            <w:pPr>
              <w:pStyle w:val="TableText"/>
              <w:jc w:val="center"/>
              <w:rPr>
                <w:sz w:val="20"/>
              </w:rPr>
            </w:pPr>
            <w:r>
              <w:rPr>
                <w:sz w:val="20"/>
              </w:rPr>
              <w:t>17</w:t>
            </w:r>
          </w:p>
        </w:tc>
        <w:tc>
          <w:tcPr>
            <w:tcW w:w="588" w:type="dxa"/>
            <w:tcBorders>
              <w:left w:val="single" w:sz="6" w:space="0" w:color="auto"/>
            </w:tcBorders>
          </w:tcPr>
          <w:p w:rsidR="00B40966" w:rsidRDefault="00B40966">
            <w:pPr>
              <w:pStyle w:val="TableText"/>
              <w:jc w:val="center"/>
              <w:rPr>
                <w:sz w:val="20"/>
              </w:rPr>
            </w:pPr>
            <w:r>
              <w:rPr>
                <w:sz w:val="20"/>
              </w:rPr>
              <w:t>7</w:t>
            </w:r>
          </w:p>
        </w:tc>
        <w:tc>
          <w:tcPr>
            <w:tcW w:w="720" w:type="dxa"/>
            <w:gridSpan w:val="2"/>
          </w:tcPr>
          <w:p w:rsidR="00B40966" w:rsidRDefault="00B40966">
            <w:pPr>
              <w:pStyle w:val="TableText"/>
              <w:jc w:val="center"/>
              <w:rPr>
                <w:sz w:val="20"/>
              </w:rPr>
            </w:pPr>
            <w:r>
              <w:rPr>
                <w:sz w:val="20"/>
              </w:rPr>
              <w:t>9</w:t>
            </w:r>
          </w:p>
        </w:tc>
        <w:tc>
          <w:tcPr>
            <w:tcW w:w="764" w:type="dxa"/>
            <w:gridSpan w:val="2"/>
            <w:tcBorders>
              <w:left w:val="single" w:sz="6" w:space="0" w:color="auto"/>
            </w:tcBorders>
          </w:tcPr>
          <w:p w:rsidR="00B40966" w:rsidRDefault="00B40966">
            <w:pPr>
              <w:pStyle w:val="TableText"/>
              <w:jc w:val="center"/>
              <w:rPr>
                <w:sz w:val="20"/>
              </w:rPr>
            </w:pPr>
            <w:r>
              <w:rPr>
                <w:sz w:val="20"/>
              </w:rPr>
              <w:t>6</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5</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3</w:t>
            </w:r>
          </w:p>
        </w:tc>
        <w:tc>
          <w:tcPr>
            <w:tcW w:w="722" w:type="dxa"/>
          </w:tcPr>
          <w:p w:rsidR="00B40966" w:rsidRDefault="00B40966">
            <w:pPr>
              <w:pStyle w:val="TableText"/>
              <w:jc w:val="center"/>
              <w:rPr>
                <w:sz w:val="20"/>
              </w:rPr>
            </w:pPr>
            <w:r>
              <w:rPr>
                <w:sz w:val="20"/>
              </w:rPr>
              <w:t>17</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0</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8</w:t>
            </w:r>
          </w:p>
        </w:tc>
        <w:tc>
          <w:tcPr>
            <w:tcW w:w="684" w:type="dxa"/>
            <w:gridSpan w:val="3"/>
          </w:tcPr>
          <w:p w:rsidR="00B40966" w:rsidRDefault="00B40966">
            <w:pPr>
              <w:pStyle w:val="TableText"/>
              <w:jc w:val="center"/>
              <w:rPr>
                <w:sz w:val="20"/>
              </w:rPr>
            </w:pPr>
            <w:r>
              <w:rPr>
                <w:sz w:val="20"/>
              </w:rPr>
              <w:t>4</w:t>
            </w:r>
          </w:p>
        </w:tc>
        <w:tc>
          <w:tcPr>
            <w:tcW w:w="852" w:type="dxa"/>
          </w:tcPr>
          <w:p w:rsidR="00B40966" w:rsidRDefault="00B40966">
            <w:pPr>
              <w:pStyle w:val="TableText"/>
              <w:jc w:val="center"/>
              <w:rPr>
                <w:sz w:val="20"/>
              </w:rPr>
            </w:pPr>
            <w:r>
              <w:rPr>
                <w:sz w:val="20"/>
              </w:rPr>
              <w:t>10</w:t>
            </w:r>
          </w:p>
        </w:tc>
        <w:tc>
          <w:tcPr>
            <w:tcW w:w="588" w:type="dxa"/>
            <w:tcBorders>
              <w:left w:val="single" w:sz="6" w:space="0" w:color="auto"/>
            </w:tcBorders>
          </w:tcPr>
          <w:p w:rsidR="00B40966" w:rsidRDefault="00B40966">
            <w:pPr>
              <w:pStyle w:val="TableText"/>
              <w:jc w:val="center"/>
              <w:rPr>
                <w:sz w:val="20"/>
              </w:rPr>
            </w:pPr>
            <w:r>
              <w:rPr>
                <w:sz w:val="20"/>
              </w:rPr>
              <w:t>8</w:t>
            </w:r>
          </w:p>
        </w:tc>
        <w:tc>
          <w:tcPr>
            <w:tcW w:w="720" w:type="dxa"/>
            <w:gridSpan w:val="2"/>
          </w:tcPr>
          <w:p w:rsidR="00B40966" w:rsidRDefault="00B40966">
            <w:pPr>
              <w:pStyle w:val="TableText"/>
              <w:jc w:val="center"/>
              <w:rPr>
                <w:sz w:val="20"/>
              </w:rPr>
            </w:pPr>
            <w:r>
              <w:rPr>
                <w:sz w:val="20"/>
              </w:rPr>
              <w:t>14</w:t>
            </w:r>
          </w:p>
        </w:tc>
        <w:tc>
          <w:tcPr>
            <w:tcW w:w="764" w:type="dxa"/>
            <w:gridSpan w:val="2"/>
            <w:tcBorders>
              <w:left w:val="single" w:sz="6" w:space="0" w:color="auto"/>
            </w:tcBorders>
          </w:tcPr>
          <w:p w:rsidR="00B40966" w:rsidRDefault="00B40966">
            <w:pPr>
              <w:pStyle w:val="TableText"/>
              <w:jc w:val="center"/>
              <w:rPr>
                <w:sz w:val="20"/>
              </w:rPr>
            </w:pPr>
            <w:r>
              <w:rPr>
                <w:sz w:val="20"/>
              </w:rPr>
              <w:t>7</w:t>
            </w:r>
          </w:p>
        </w:tc>
        <w:tc>
          <w:tcPr>
            <w:tcW w:w="832" w:type="dxa"/>
          </w:tcPr>
          <w:p w:rsidR="00B40966" w:rsidRDefault="00B40966">
            <w:pPr>
              <w:pStyle w:val="TableText"/>
              <w:jc w:val="center"/>
              <w:rPr>
                <w:sz w:val="20"/>
              </w:rPr>
            </w:pPr>
            <w:r>
              <w:rPr>
                <w:sz w:val="20"/>
              </w:rPr>
              <w:t>16</w:t>
            </w:r>
          </w:p>
        </w:tc>
        <w:tc>
          <w:tcPr>
            <w:tcW w:w="768" w:type="dxa"/>
            <w:tcBorders>
              <w:left w:val="single" w:sz="6" w:space="0" w:color="auto"/>
            </w:tcBorders>
          </w:tcPr>
          <w:p w:rsidR="00B40966" w:rsidRDefault="00B40966">
            <w:pPr>
              <w:pStyle w:val="TableText"/>
              <w:jc w:val="center"/>
              <w:rPr>
                <w:sz w:val="20"/>
              </w:rPr>
            </w:pPr>
            <w:r>
              <w:rPr>
                <w:sz w:val="20"/>
              </w:rPr>
              <w:t>6</w:t>
            </w:r>
          </w:p>
        </w:tc>
        <w:tc>
          <w:tcPr>
            <w:tcW w:w="786" w:type="dxa"/>
            <w:gridSpan w:val="2"/>
          </w:tcPr>
          <w:p w:rsidR="00B40966" w:rsidRDefault="00B40966">
            <w:pPr>
              <w:pStyle w:val="TableText"/>
              <w:jc w:val="center"/>
              <w:rPr>
                <w:sz w:val="20"/>
              </w:rPr>
            </w:pPr>
            <w:r>
              <w:rPr>
                <w:sz w:val="20"/>
              </w:rPr>
              <w:t>7</w:t>
            </w:r>
          </w:p>
        </w:tc>
        <w:tc>
          <w:tcPr>
            <w:tcW w:w="760" w:type="dxa"/>
            <w:tcBorders>
              <w:left w:val="single" w:sz="6" w:space="0" w:color="auto"/>
            </w:tcBorders>
          </w:tcPr>
          <w:p w:rsidR="00B40966" w:rsidRDefault="00B40966">
            <w:pPr>
              <w:pStyle w:val="TableText"/>
              <w:jc w:val="center"/>
              <w:rPr>
                <w:sz w:val="20"/>
              </w:rPr>
            </w:pPr>
            <w:r>
              <w:rPr>
                <w:sz w:val="20"/>
              </w:rPr>
              <w:t>4</w:t>
            </w:r>
          </w:p>
        </w:tc>
        <w:tc>
          <w:tcPr>
            <w:tcW w:w="722" w:type="dxa"/>
          </w:tcPr>
          <w:p w:rsidR="00B40966" w:rsidRDefault="00B40966">
            <w:pPr>
              <w:pStyle w:val="TableText"/>
              <w:jc w:val="center"/>
              <w:rPr>
                <w:sz w:val="20"/>
              </w:rPr>
            </w:pPr>
            <w:r>
              <w:rPr>
                <w:sz w:val="20"/>
              </w:rPr>
              <w:t>10</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7</w:t>
            </w:r>
          </w:p>
        </w:tc>
      </w:tr>
      <w:tr w:rsidR="00B40966">
        <w:trPr>
          <w:cantSplit/>
          <w:trHeight w:val="200"/>
        </w:trPr>
        <w:tc>
          <w:tcPr>
            <w:tcW w:w="968" w:type="dxa"/>
          </w:tcPr>
          <w:p w:rsidR="00B40966" w:rsidRDefault="00B40966">
            <w:pPr>
              <w:pStyle w:val="TableText"/>
              <w:jc w:val="center"/>
              <w:rPr>
                <w:sz w:val="20"/>
              </w:rPr>
            </w:pPr>
            <w:r>
              <w:rPr>
                <w:sz w:val="20"/>
              </w:rPr>
              <w:t>3</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16</w:t>
            </w:r>
          </w:p>
        </w:tc>
        <w:tc>
          <w:tcPr>
            <w:tcW w:w="684" w:type="dxa"/>
            <w:gridSpan w:val="3"/>
          </w:tcPr>
          <w:p w:rsidR="00B40966" w:rsidRDefault="00B40966">
            <w:pPr>
              <w:pStyle w:val="TableText"/>
              <w:jc w:val="center"/>
              <w:rPr>
                <w:sz w:val="20"/>
              </w:rPr>
            </w:pPr>
            <w:r>
              <w:rPr>
                <w:sz w:val="20"/>
              </w:rPr>
              <w:t>5</w:t>
            </w:r>
          </w:p>
        </w:tc>
        <w:tc>
          <w:tcPr>
            <w:tcW w:w="852" w:type="dxa"/>
          </w:tcPr>
          <w:p w:rsidR="00B40966" w:rsidRDefault="00B40966">
            <w:pPr>
              <w:pStyle w:val="TableText"/>
              <w:jc w:val="center"/>
              <w:rPr>
                <w:sz w:val="20"/>
              </w:rPr>
            </w:pPr>
            <w:r>
              <w:rPr>
                <w:sz w:val="20"/>
              </w:rPr>
              <w:t>5</w:t>
            </w:r>
          </w:p>
        </w:tc>
        <w:tc>
          <w:tcPr>
            <w:tcW w:w="588" w:type="dxa"/>
            <w:tcBorders>
              <w:left w:val="single" w:sz="6" w:space="0" w:color="auto"/>
            </w:tcBorders>
          </w:tcPr>
          <w:p w:rsidR="00B40966" w:rsidRDefault="00B40966">
            <w:pPr>
              <w:pStyle w:val="TableText"/>
              <w:jc w:val="center"/>
              <w:rPr>
                <w:sz w:val="20"/>
              </w:rPr>
            </w:pPr>
            <w:r>
              <w:rPr>
                <w:sz w:val="20"/>
              </w:rPr>
              <w:t>10</w:t>
            </w:r>
          </w:p>
        </w:tc>
        <w:tc>
          <w:tcPr>
            <w:tcW w:w="720" w:type="dxa"/>
            <w:gridSpan w:val="2"/>
          </w:tcPr>
          <w:p w:rsidR="00B40966" w:rsidRDefault="00B40966">
            <w:pPr>
              <w:pStyle w:val="TableText"/>
              <w:jc w:val="center"/>
              <w:rPr>
                <w:sz w:val="20"/>
              </w:rPr>
            </w:pPr>
            <w:r>
              <w:rPr>
                <w:sz w:val="20"/>
              </w:rPr>
              <w:t>3</w:t>
            </w:r>
          </w:p>
        </w:tc>
        <w:tc>
          <w:tcPr>
            <w:tcW w:w="764" w:type="dxa"/>
            <w:gridSpan w:val="2"/>
            <w:tcBorders>
              <w:left w:val="single" w:sz="6" w:space="0" w:color="auto"/>
            </w:tcBorders>
          </w:tcPr>
          <w:p w:rsidR="00B40966" w:rsidRDefault="00B40966">
            <w:pPr>
              <w:pStyle w:val="TableText"/>
              <w:jc w:val="center"/>
              <w:rPr>
                <w:sz w:val="20"/>
              </w:rPr>
            </w:pPr>
            <w:r>
              <w:rPr>
                <w:sz w:val="20"/>
              </w:rPr>
              <w:t>9</w:t>
            </w:r>
          </w:p>
        </w:tc>
        <w:tc>
          <w:tcPr>
            <w:tcW w:w="832" w:type="dxa"/>
          </w:tcPr>
          <w:p w:rsidR="00B40966" w:rsidRDefault="00B40966">
            <w:pPr>
              <w:pStyle w:val="TableText"/>
              <w:jc w:val="center"/>
              <w:rPr>
                <w:sz w:val="20"/>
              </w:rPr>
            </w:pPr>
            <w:r>
              <w:rPr>
                <w:sz w:val="20"/>
              </w:rPr>
              <w:t>2</w:t>
            </w:r>
          </w:p>
        </w:tc>
        <w:tc>
          <w:tcPr>
            <w:tcW w:w="768" w:type="dxa"/>
            <w:tcBorders>
              <w:left w:val="single" w:sz="6" w:space="0" w:color="auto"/>
            </w:tcBorders>
          </w:tcPr>
          <w:p w:rsidR="00B40966" w:rsidRDefault="00B40966">
            <w:pPr>
              <w:pStyle w:val="TableText"/>
              <w:jc w:val="center"/>
              <w:rPr>
                <w:sz w:val="20"/>
              </w:rPr>
            </w:pPr>
            <w:r>
              <w:rPr>
                <w:sz w:val="20"/>
              </w:rPr>
              <w:t>7</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5</w:t>
            </w:r>
          </w:p>
        </w:tc>
        <w:tc>
          <w:tcPr>
            <w:tcW w:w="722" w:type="dxa"/>
          </w:tcPr>
          <w:p w:rsidR="00B40966" w:rsidRDefault="00B40966">
            <w:pPr>
              <w:pStyle w:val="TableText"/>
              <w:jc w:val="center"/>
              <w:rPr>
                <w:sz w:val="20"/>
              </w:rPr>
            </w:pPr>
            <w:r>
              <w:rPr>
                <w:sz w:val="20"/>
              </w:rPr>
              <w:t>5</w:t>
            </w:r>
          </w:p>
        </w:tc>
        <w:tc>
          <w:tcPr>
            <w:tcW w:w="838" w:type="dxa"/>
            <w:gridSpan w:val="2"/>
            <w:tcBorders>
              <w:left w:val="single" w:sz="6" w:space="0" w:color="auto"/>
            </w:tcBorders>
          </w:tcPr>
          <w:p w:rsidR="00B40966" w:rsidRDefault="00B40966">
            <w:pPr>
              <w:pStyle w:val="TableText"/>
              <w:jc w:val="center"/>
              <w:rPr>
                <w:sz w:val="20"/>
              </w:rPr>
            </w:pPr>
            <w:r>
              <w:rPr>
                <w:sz w:val="20"/>
              </w:rPr>
              <w:t>2</w:t>
            </w:r>
          </w:p>
        </w:tc>
        <w:tc>
          <w:tcPr>
            <w:tcW w:w="662" w:type="dxa"/>
            <w:gridSpan w:val="2"/>
          </w:tcPr>
          <w:p w:rsidR="00B40966" w:rsidRDefault="00B40966">
            <w:pPr>
              <w:pStyle w:val="TableText"/>
              <w:jc w:val="center"/>
              <w:rPr>
                <w:sz w:val="20"/>
              </w:rPr>
            </w:pPr>
            <w:r>
              <w:rPr>
                <w:sz w:val="20"/>
              </w:rPr>
              <w:t>14</w:t>
            </w:r>
          </w:p>
        </w:tc>
      </w:tr>
      <w:tr w:rsidR="00B40966">
        <w:trPr>
          <w:cantSplit/>
          <w:trHeight w:val="200"/>
        </w:trPr>
        <w:tc>
          <w:tcPr>
            <w:tcW w:w="968" w:type="dxa"/>
          </w:tcPr>
          <w:p w:rsidR="00B40966" w:rsidRDefault="00B40966">
            <w:pPr>
              <w:pStyle w:val="TableText"/>
              <w:jc w:val="center"/>
              <w:rPr>
                <w:sz w:val="20"/>
              </w:rPr>
            </w:pPr>
            <w:r>
              <w:rPr>
                <w:sz w:val="20"/>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4</w:t>
            </w:r>
          </w:p>
        </w:tc>
        <w:tc>
          <w:tcPr>
            <w:tcW w:w="684" w:type="dxa"/>
            <w:gridSpan w:val="3"/>
          </w:tcPr>
          <w:p w:rsidR="00B40966" w:rsidRDefault="00B40966">
            <w:pPr>
              <w:pStyle w:val="TableText"/>
              <w:jc w:val="center"/>
              <w:rPr>
                <w:sz w:val="20"/>
              </w:rPr>
            </w:pPr>
            <w:r>
              <w:rPr>
                <w:sz w:val="20"/>
              </w:rPr>
              <w:t>6</w:t>
            </w:r>
          </w:p>
        </w:tc>
        <w:tc>
          <w:tcPr>
            <w:tcW w:w="852" w:type="dxa"/>
          </w:tcPr>
          <w:p w:rsidR="00B40966" w:rsidRDefault="00B40966">
            <w:pPr>
              <w:pStyle w:val="TableText"/>
              <w:jc w:val="center"/>
              <w:rPr>
                <w:sz w:val="20"/>
              </w:rPr>
            </w:pPr>
            <w:r>
              <w:rPr>
                <w:sz w:val="20"/>
              </w:rPr>
              <w:t>0</w:t>
            </w:r>
          </w:p>
        </w:tc>
        <w:tc>
          <w:tcPr>
            <w:tcW w:w="588" w:type="dxa"/>
            <w:tcBorders>
              <w:left w:val="single" w:sz="6" w:space="0" w:color="auto"/>
            </w:tcBorders>
          </w:tcPr>
          <w:p w:rsidR="00B40966" w:rsidRDefault="00B40966">
            <w:pPr>
              <w:pStyle w:val="TableText"/>
              <w:jc w:val="center"/>
              <w:rPr>
                <w:sz w:val="20"/>
              </w:rPr>
            </w:pPr>
            <w:r>
              <w:rPr>
                <w:sz w:val="20"/>
              </w:rPr>
              <w:t>11</w:t>
            </w:r>
          </w:p>
        </w:tc>
        <w:tc>
          <w:tcPr>
            <w:tcW w:w="720" w:type="dxa"/>
            <w:gridSpan w:val="2"/>
          </w:tcPr>
          <w:p w:rsidR="00B40966" w:rsidRDefault="00B40966">
            <w:pPr>
              <w:pStyle w:val="TableText"/>
              <w:jc w:val="center"/>
              <w:rPr>
                <w:sz w:val="20"/>
              </w:rPr>
            </w:pPr>
            <w:r>
              <w:rPr>
                <w:sz w:val="20"/>
              </w:rPr>
              <w:t>12</w:t>
            </w:r>
          </w:p>
        </w:tc>
        <w:tc>
          <w:tcPr>
            <w:tcW w:w="764" w:type="dxa"/>
            <w:gridSpan w:val="2"/>
            <w:tcBorders>
              <w:left w:val="single" w:sz="6" w:space="0" w:color="auto"/>
            </w:tcBorders>
          </w:tcPr>
          <w:p w:rsidR="00B40966" w:rsidRDefault="00B40966">
            <w:pPr>
              <w:pStyle w:val="TableText"/>
              <w:jc w:val="center"/>
              <w:rPr>
                <w:sz w:val="20"/>
              </w:rPr>
            </w:pPr>
            <w:r>
              <w:rPr>
                <w:sz w:val="20"/>
              </w:rPr>
              <w:t>10</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8</w:t>
            </w:r>
          </w:p>
        </w:tc>
        <w:tc>
          <w:tcPr>
            <w:tcW w:w="786" w:type="dxa"/>
            <w:gridSpan w:val="2"/>
          </w:tcPr>
          <w:p w:rsidR="00B40966" w:rsidRDefault="00B40966">
            <w:pPr>
              <w:pStyle w:val="TableText"/>
              <w:jc w:val="center"/>
              <w:rPr>
                <w:sz w:val="20"/>
              </w:rPr>
            </w:pPr>
            <w:r>
              <w:rPr>
                <w:sz w:val="20"/>
              </w:rPr>
              <w:t>10</w:t>
            </w:r>
          </w:p>
        </w:tc>
        <w:tc>
          <w:tcPr>
            <w:tcW w:w="760" w:type="dxa"/>
            <w:tcBorders>
              <w:left w:val="single" w:sz="6" w:space="0" w:color="auto"/>
            </w:tcBorders>
          </w:tcPr>
          <w:p w:rsidR="00B40966" w:rsidRDefault="00B40966">
            <w:pPr>
              <w:pStyle w:val="TableText"/>
              <w:jc w:val="center"/>
              <w:rPr>
                <w:sz w:val="20"/>
              </w:rPr>
            </w:pPr>
            <w:r>
              <w:rPr>
                <w:sz w:val="20"/>
              </w:rPr>
              <w:t>6</w:t>
            </w:r>
          </w:p>
        </w:tc>
        <w:tc>
          <w:tcPr>
            <w:tcW w:w="722" w:type="dxa"/>
          </w:tcPr>
          <w:p w:rsidR="00B40966" w:rsidRDefault="00B40966">
            <w:pPr>
              <w:pStyle w:val="TableText"/>
              <w:jc w:val="center"/>
              <w:rPr>
                <w:sz w:val="20"/>
              </w:rPr>
            </w:pPr>
            <w:r>
              <w:rPr>
                <w:sz w:val="20"/>
              </w:rPr>
              <w:t>0</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62" w:type="dxa"/>
            <w:gridSpan w:val="2"/>
          </w:tcPr>
          <w:p w:rsidR="00B40966" w:rsidRDefault="00B40966">
            <w:pPr>
              <w:pStyle w:val="TableText"/>
              <w:jc w:val="center"/>
              <w:rPr>
                <w:sz w:val="20"/>
              </w:rPr>
            </w:pPr>
            <w:r>
              <w:rPr>
                <w:sz w:val="20"/>
              </w:rPr>
              <w:t>2</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8</w:t>
            </w:r>
          </w:p>
        </w:tc>
        <w:tc>
          <w:tcPr>
            <w:tcW w:w="684" w:type="dxa"/>
            <w:gridSpan w:val="3"/>
          </w:tcPr>
          <w:p w:rsidR="00B40966" w:rsidRDefault="00B40966">
            <w:pPr>
              <w:pStyle w:val="TableText"/>
              <w:jc w:val="center"/>
              <w:rPr>
                <w:sz w:val="20"/>
              </w:rPr>
            </w:pPr>
            <w:r>
              <w:rPr>
                <w:sz w:val="20"/>
              </w:rPr>
              <w:t>6</w:t>
            </w:r>
          </w:p>
        </w:tc>
        <w:tc>
          <w:tcPr>
            <w:tcW w:w="852" w:type="dxa"/>
          </w:tcPr>
          <w:p w:rsidR="00B40966" w:rsidRDefault="00B40966">
            <w:pPr>
              <w:pStyle w:val="TableText"/>
              <w:jc w:val="center"/>
              <w:rPr>
                <w:sz w:val="20"/>
              </w:rPr>
            </w:pPr>
            <w:r>
              <w:rPr>
                <w:sz w:val="20"/>
              </w:rPr>
              <w:t>17</w:t>
            </w:r>
          </w:p>
        </w:tc>
        <w:tc>
          <w:tcPr>
            <w:tcW w:w="588" w:type="dxa"/>
            <w:tcBorders>
              <w:left w:val="single" w:sz="6" w:space="0" w:color="auto"/>
            </w:tcBorders>
          </w:tcPr>
          <w:p w:rsidR="00B40966" w:rsidRDefault="00B40966">
            <w:pPr>
              <w:pStyle w:val="TableText"/>
              <w:jc w:val="center"/>
              <w:rPr>
                <w:sz w:val="20"/>
              </w:rPr>
            </w:pPr>
            <w:r>
              <w:rPr>
                <w:sz w:val="20"/>
              </w:rPr>
              <w:t>13</w:t>
            </w:r>
          </w:p>
        </w:tc>
        <w:tc>
          <w:tcPr>
            <w:tcW w:w="720" w:type="dxa"/>
            <w:gridSpan w:val="2"/>
          </w:tcPr>
          <w:p w:rsidR="00B40966" w:rsidRDefault="00B40966">
            <w:pPr>
              <w:pStyle w:val="TableText"/>
              <w:jc w:val="center"/>
              <w:rPr>
                <w:sz w:val="20"/>
              </w:rPr>
            </w:pPr>
            <w:r>
              <w:rPr>
                <w:sz w:val="20"/>
              </w:rPr>
              <w:t>4</w:t>
            </w:r>
          </w:p>
        </w:tc>
        <w:tc>
          <w:tcPr>
            <w:tcW w:w="764" w:type="dxa"/>
            <w:gridSpan w:val="2"/>
            <w:tcBorders>
              <w:left w:val="single" w:sz="6" w:space="0" w:color="auto"/>
            </w:tcBorders>
          </w:tcPr>
          <w:p w:rsidR="00B40966" w:rsidRDefault="00B40966">
            <w:pPr>
              <w:pStyle w:val="TableText"/>
              <w:jc w:val="center"/>
              <w:rPr>
                <w:sz w:val="20"/>
              </w:rPr>
            </w:pPr>
            <w:r>
              <w:rPr>
                <w:sz w:val="20"/>
              </w:rPr>
              <w:t>11</w:t>
            </w:r>
          </w:p>
        </w:tc>
        <w:tc>
          <w:tcPr>
            <w:tcW w:w="832" w:type="dxa"/>
          </w:tcPr>
          <w:p w:rsidR="00B40966" w:rsidRDefault="00B40966">
            <w:pPr>
              <w:pStyle w:val="TableText"/>
              <w:jc w:val="center"/>
              <w:rPr>
                <w:sz w:val="20"/>
              </w:rPr>
            </w:pPr>
            <w:r>
              <w:rPr>
                <w:sz w:val="20"/>
              </w:rPr>
              <w:t>18</w:t>
            </w:r>
          </w:p>
        </w:tc>
        <w:tc>
          <w:tcPr>
            <w:tcW w:w="768" w:type="dxa"/>
            <w:tcBorders>
              <w:left w:val="single" w:sz="6" w:space="0" w:color="auto"/>
            </w:tcBorders>
          </w:tcPr>
          <w:p w:rsidR="00B40966" w:rsidRDefault="00B40966">
            <w:pPr>
              <w:pStyle w:val="TableText"/>
              <w:jc w:val="center"/>
              <w:rPr>
                <w:sz w:val="20"/>
              </w:rPr>
            </w:pPr>
            <w:r>
              <w:rPr>
                <w:sz w:val="20"/>
              </w:rPr>
              <w:t>9</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6</w:t>
            </w:r>
          </w:p>
        </w:tc>
        <w:tc>
          <w:tcPr>
            <w:tcW w:w="722" w:type="dxa"/>
          </w:tcPr>
          <w:p w:rsidR="00B40966" w:rsidRDefault="00B40966">
            <w:pPr>
              <w:pStyle w:val="TableText"/>
              <w:jc w:val="center"/>
              <w:rPr>
                <w:sz w:val="20"/>
              </w:rPr>
            </w:pPr>
            <w:r>
              <w:rPr>
                <w:sz w:val="20"/>
              </w:rPr>
              <w:t>17</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62" w:type="dxa"/>
            <w:gridSpan w:val="2"/>
          </w:tcPr>
          <w:p w:rsidR="00B40966" w:rsidRDefault="00B40966">
            <w:pPr>
              <w:pStyle w:val="TableText"/>
              <w:jc w:val="center"/>
              <w:rPr>
                <w:sz w:val="20"/>
              </w:rPr>
            </w:pPr>
            <w:r>
              <w:rPr>
                <w:sz w:val="20"/>
              </w:rPr>
              <w:t>11</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16</w:t>
            </w:r>
          </w:p>
        </w:tc>
        <w:tc>
          <w:tcPr>
            <w:tcW w:w="684" w:type="dxa"/>
            <w:gridSpan w:val="3"/>
          </w:tcPr>
          <w:p w:rsidR="00B40966" w:rsidRDefault="00B40966">
            <w:pPr>
              <w:pStyle w:val="TableText"/>
              <w:jc w:val="center"/>
              <w:rPr>
                <w:sz w:val="20"/>
              </w:rPr>
            </w:pPr>
            <w:r>
              <w:rPr>
                <w:sz w:val="20"/>
              </w:rPr>
              <w:t>7</w:t>
            </w:r>
          </w:p>
        </w:tc>
        <w:tc>
          <w:tcPr>
            <w:tcW w:w="852" w:type="dxa"/>
          </w:tcPr>
          <w:p w:rsidR="00B40966" w:rsidRDefault="00B40966">
            <w:pPr>
              <w:pStyle w:val="TableText"/>
              <w:jc w:val="center"/>
              <w:rPr>
                <w:sz w:val="20"/>
              </w:rPr>
            </w:pPr>
            <w:r>
              <w:rPr>
                <w:sz w:val="20"/>
              </w:rPr>
              <w:t>10</w:t>
            </w:r>
          </w:p>
        </w:tc>
        <w:tc>
          <w:tcPr>
            <w:tcW w:w="588" w:type="dxa"/>
            <w:tcBorders>
              <w:left w:val="single" w:sz="6" w:space="0" w:color="auto"/>
            </w:tcBorders>
          </w:tcPr>
          <w:p w:rsidR="00B40966" w:rsidRDefault="00B40966">
            <w:pPr>
              <w:pStyle w:val="TableText"/>
              <w:jc w:val="center"/>
              <w:rPr>
                <w:sz w:val="20"/>
              </w:rPr>
            </w:pPr>
            <w:r>
              <w:rPr>
                <w:sz w:val="20"/>
              </w:rPr>
              <w:t>14</w:t>
            </w:r>
          </w:p>
        </w:tc>
        <w:tc>
          <w:tcPr>
            <w:tcW w:w="720" w:type="dxa"/>
            <w:gridSpan w:val="2"/>
          </w:tcPr>
          <w:p w:rsidR="00B40966" w:rsidRDefault="00B40966">
            <w:pPr>
              <w:pStyle w:val="TableText"/>
              <w:jc w:val="center"/>
              <w:rPr>
                <w:sz w:val="20"/>
              </w:rPr>
            </w:pPr>
            <w:r>
              <w:rPr>
                <w:sz w:val="20"/>
              </w:rPr>
              <w:t>10</w:t>
            </w:r>
          </w:p>
        </w:tc>
        <w:tc>
          <w:tcPr>
            <w:tcW w:w="764" w:type="dxa"/>
            <w:gridSpan w:val="2"/>
            <w:tcBorders>
              <w:left w:val="single" w:sz="6" w:space="0" w:color="auto"/>
            </w:tcBorders>
          </w:tcPr>
          <w:p w:rsidR="00B40966" w:rsidRDefault="00B40966">
            <w:pPr>
              <w:pStyle w:val="TableText"/>
              <w:jc w:val="center"/>
              <w:rPr>
                <w:sz w:val="20"/>
              </w:rPr>
            </w:pPr>
            <w:r>
              <w:rPr>
                <w:sz w:val="20"/>
              </w:rPr>
              <w:t>13</w:t>
            </w:r>
          </w:p>
        </w:tc>
        <w:tc>
          <w:tcPr>
            <w:tcW w:w="832" w:type="dxa"/>
          </w:tcPr>
          <w:p w:rsidR="00B40966" w:rsidRDefault="00B40966">
            <w:pPr>
              <w:pStyle w:val="TableText"/>
              <w:jc w:val="center"/>
              <w:rPr>
                <w:sz w:val="20"/>
              </w:rPr>
            </w:pPr>
            <w:r>
              <w:rPr>
                <w:sz w:val="20"/>
              </w:rPr>
              <w:t>0</w:t>
            </w:r>
          </w:p>
        </w:tc>
        <w:tc>
          <w:tcPr>
            <w:tcW w:w="768" w:type="dxa"/>
            <w:tcBorders>
              <w:left w:val="single" w:sz="6" w:space="0" w:color="auto"/>
            </w:tcBorders>
          </w:tcPr>
          <w:p w:rsidR="00B40966" w:rsidRDefault="00B40966">
            <w:pPr>
              <w:pStyle w:val="TableText"/>
              <w:jc w:val="center"/>
              <w:rPr>
                <w:sz w:val="20"/>
              </w:rPr>
            </w:pPr>
            <w:r>
              <w:rPr>
                <w:sz w:val="20"/>
              </w:rPr>
              <w:t>10</w:t>
            </w:r>
          </w:p>
        </w:tc>
        <w:tc>
          <w:tcPr>
            <w:tcW w:w="786" w:type="dxa"/>
            <w:gridSpan w:val="2"/>
          </w:tcPr>
          <w:p w:rsidR="00B40966" w:rsidRDefault="00B40966">
            <w:pPr>
              <w:pStyle w:val="TableText"/>
              <w:jc w:val="center"/>
              <w:rPr>
                <w:sz w:val="20"/>
              </w:rPr>
            </w:pPr>
            <w:r>
              <w:rPr>
                <w:sz w:val="20"/>
              </w:rPr>
              <w:t>12</w:t>
            </w:r>
          </w:p>
        </w:tc>
        <w:tc>
          <w:tcPr>
            <w:tcW w:w="760" w:type="dxa"/>
            <w:tcBorders>
              <w:left w:val="single" w:sz="6" w:space="0" w:color="auto"/>
            </w:tcBorders>
          </w:tcPr>
          <w:p w:rsidR="00B40966" w:rsidRDefault="00B40966">
            <w:pPr>
              <w:pStyle w:val="TableText"/>
              <w:jc w:val="center"/>
              <w:rPr>
                <w:sz w:val="20"/>
              </w:rPr>
            </w:pPr>
            <w:r>
              <w:rPr>
                <w:sz w:val="20"/>
              </w:rPr>
              <w:t>7</w:t>
            </w:r>
          </w:p>
        </w:tc>
        <w:tc>
          <w:tcPr>
            <w:tcW w:w="722" w:type="dxa"/>
          </w:tcPr>
          <w:p w:rsidR="00B40966" w:rsidRDefault="00B40966">
            <w:pPr>
              <w:pStyle w:val="TableText"/>
              <w:jc w:val="center"/>
              <w:rPr>
                <w:sz w:val="20"/>
              </w:rPr>
            </w:pPr>
            <w:r>
              <w:rPr>
                <w:sz w:val="20"/>
              </w:rPr>
              <w:t>10</w:t>
            </w:r>
          </w:p>
        </w:tc>
        <w:tc>
          <w:tcPr>
            <w:tcW w:w="838" w:type="dxa"/>
            <w:gridSpan w:val="2"/>
            <w:tcBorders>
              <w:left w:val="single" w:sz="6" w:space="0" w:color="auto"/>
            </w:tcBorders>
          </w:tcPr>
          <w:p w:rsidR="00B40966" w:rsidRDefault="00B40966">
            <w:pPr>
              <w:pStyle w:val="TableText"/>
              <w:jc w:val="center"/>
              <w:rPr>
                <w:sz w:val="20"/>
              </w:rPr>
            </w:pPr>
            <w:r>
              <w:rPr>
                <w:sz w:val="20"/>
              </w:rPr>
              <w:t>3</w:t>
            </w:r>
          </w:p>
        </w:tc>
        <w:tc>
          <w:tcPr>
            <w:tcW w:w="662" w:type="dxa"/>
            <w:gridSpan w:val="2"/>
          </w:tcPr>
          <w:p w:rsidR="00B40966" w:rsidRDefault="00B40966">
            <w:pPr>
              <w:pStyle w:val="TableText"/>
              <w:jc w:val="center"/>
              <w:rPr>
                <w:sz w:val="20"/>
              </w:rPr>
            </w:pPr>
            <w:r>
              <w:rPr>
                <w:sz w:val="20"/>
              </w:rPr>
              <w:t>18</w:t>
            </w:r>
          </w:p>
        </w:tc>
      </w:tr>
      <w:tr w:rsidR="00B40966">
        <w:trPr>
          <w:cantSplit/>
          <w:trHeight w:val="200"/>
        </w:trPr>
        <w:tc>
          <w:tcPr>
            <w:tcW w:w="968" w:type="dxa"/>
          </w:tcPr>
          <w:p w:rsidR="00B40966" w:rsidRDefault="00B40966">
            <w:pPr>
              <w:pStyle w:val="TableText"/>
              <w:jc w:val="center"/>
              <w:rPr>
                <w:sz w:val="20"/>
              </w:rPr>
            </w:pPr>
            <w:r>
              <w:rPr>
                <w:sz w:val="20"/>
              </w:rPr>
              <w:t>4</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w:t>
            </w:r>
            <w:r>
              <w:rPr>
                <w:sz w:val="20"/>
              </w:rPr>
              <w:t>/</w:t>
            </w:r>
            <w:r>
              <w:rPr>
                <w:sz w:val="16"/>
              </w:rPr>
              <w:t>2</w:t>
            </w:r>
          </w:p>
        </w:tc>
        <w:tc>
          <w:tcPr>
            <w:tcW w:w="684" w:type="dxa"/>
            <w:gridSpan w:val="3"/>
          </w:tcPr>
          <w:p w:rsidR="00B40966" w:rsidRDefault="00B40966">
            <w:pPr>
              <w:pStyle w:val="TableText"/>
              <w:jc w:val="center"/>
              <w:rPr>
                <w:sz w:val="20"/>
              </w:rPr>
            </w:pPr>
            <w:r>
              <w:rPr>
                <w:sz w:val="20"/>
              </w:rPr>
              <w:t>8</w:t>
            </w:r>
          </w:p>
        </w:tc>
        <w:tc>
          <w:tcPr>
            <w:tcW w:w="852" w:type="dxa"/>
          </w:tcPr>
          <w:p w:rsidR="00B40966" w:rsidRDefault="00B40966">
            <w:pPr>
              <w:pStyle w:val="TableText"/>
              <w:jc w:val="center"/>
              <w:rPr>
                <w:sz w:val="20"/>
              </w:rPr>
            </w:pPr>
            <w:r>
              <w:rPr>
                <w:sz w:val="20"/>
              </w:rPr>
              <w:t>9</w:t>
            </w:r>
          </w:p>
        </w:tc>
        <w:tc>
          <w:tcPr>
            <w:tcW w:w="588" w:type="dxa"/>
            <w:tcBorders>
              <w:left w:val="single" w:sz="6" w:space="0" w:color="auto"/>
            </w:tcBorders>
          </w:tcPr>
          <w:p w:rsidR="00B40966" w:rsidRDefault="00B40966">
            <w:pPr>
              <w:pStyle w:val="TableText"/>
              <w:jc w:val="center"/>
              <w:rPr>
                <w:sz w:val="20"/>
              </w:rPr>
            </w:pPr>
            <w:r>
              <w:rPr>
                <w:sz w:val="20"/>
              </w:rPr>
              <w:t>16</w:t>
            </w:r>
          </w:p>
        </w:tc>
        <w:tc>
          <w:tcPr>
            <w:tcW w:w="720" w:type="dxa"/>
            <w:gridSpan w:val="2"/>
          </w:tcPr>
          <w:p w:rsidR="00B40966" w:rsidRDefault="00B40966">
            <w:pPr>
              <w:pStyle w:val="TableText"/>
              <w:jc w:val="center"/>
              <w:rPr>
                <w:sz w:val="20"/>
              </w:rPr>
            </w:pPr>
            <w:r>
              <w:rPr>
                <w:sz w:val="20"/>
              </w:rPr>
              <w:t>8</w:t>
            </w:r>
          </w:p>
        </w:tc>
        <w:tc>
          <w:tcPr>
            <w:tcW w:w="764" w:type="dxa"/>
            <w:gridSpan w:val="2"/>
            <w:tcBorders>
              <w:left w:val="single" w:sz="6" w:space="0" w:color="auto"/>
            </w:tcBorders>
          </w:tcPr>
          <w:p w:rsidR="00B40966" w:rsidRDefault="00B40966">
            <w:pPr>
              <w:pStyle w:val="TableText"/>
              <w:jc w:val="center"/>
              <w:rPr>
                <w:sz w:val="20"/>
              </w:rPr>
            </w:pPr>
            <w:r>
              <w:rPr>
                <w:sz w:val="20"/>
              </w:rPr>
              <w:t>14</w:t>
            </w:r>
          </w:p>
        </w:tc>
        <w:tc>
          <w:tcPr>
            <w:tcW w:w="832" w:type="dxa"/>
          </w:tcPr>
          <w:p w:rsidR="00B40966" w:rsidRDefault="00B40966">
            <w:pPr>
              <w:pStyle w:val="TableText"/>
              <w:jc w:val="center"/>
              <w:rPr>
                <w:sz w:val="20"/>
              </w:rPr>
            </w:pPr>
            <w:r>
              <w:rPr>
                <w:sz w:val="20"/>
              </w:rPr>
              <w:t>13</w:t>
            </w:r>
          </w:p>
        </w:tc>
        <w:tc>
          <w:tcPr>
            <w:tcW w:w="768" w:type="dxa"/>
            <w:tcBorders>
              <w:left w:val="single" w:sz="6" w:space="0" w:color="auto"/>
            </w:tcBorders>
          </w:tcPr>
          <w:p w:rsidR="00B40966" w:rsidRDefault="00B40966">
            <w:pPr>
              <w:pStyle w:val="TableText"/>
              <w:jc w:val="center"/>
              <w:rPr>
                <w:sz w:val="20"/>
              </w:rPr>
            </w:pPr>
            <w:r>
              <w:rPr>
                <w:sz w:val="20"/>
              </w:rPr>
              <w:t>11</w:t>
            </w:r>
          </w:p>
        </w:tc>
        <w:tc>
          <w:tcPr>
            <w:tcW w:w="786" w:type="dxa"/>
            <w:gridSpan w:val="2"/>
          </w:tcPr>
          <w:p w:rsidR="00B40966" w:rsidRDefault="00B40966">
            <w:pPr>
              <w:pStyle w:val="TableText"/>
              <w:jc w:val="center"/>
              <w:rPr>
                <w:sz w:val="20"/>
              </w:rPr>
            </w:pPr>
            <w:r>
              <w:rPr>
                <w:sz w:val="20"/>
              </w:rPr>
              <w:t>19</w:t>
            </w:r>
          </w:p>
        </w:tc>
        <w:tc>
          <w:tcPr>
            <w:tcW w:w="760" w:type="dxa"/>
            <w:tcBorders>
              <w:left w:val="single" w:sz="6" w:space="0" w:color="auto"/>
            </w:tcBorders>
          </w:tcPr>
          <w:p w:rsidR="00B40966" w:rsidRDefault="00B40966">
            <w:pPr>
              <w:pStyle w:val="TableText"/>
              <w:jc w:val="center"/>
              <w:rPr>
                <w:sz w:val="20"/>
              </w:rPr>
            </w:pPr>
            <w:r>
              <w:rPr>
                <w:sz w:val="20"/>
              </w:rPr>
              <w:t>8</w:t>
            </w:r>
          </w:p>
        </w:tc>
        <w:tc>
          <w:tcPr>
            <w:tcW w:w="722" w:type="dxa"/>
          </w:tcPr>
          <w:p w:rsidR="00B40966" w:rsidRDefault="00B40966">
            <w:pPr>
              <w:pStyle w:val="TableText"/>
              <w:jc w:val="center"/>
              <w:rPr>
                <w:sz w:val="20"/>
              </w:rPr>
            </w:pPr>
            <w:r>
              <w:rPr>
                <w:sz w:val="20"/>
              </w:rPr>
              <w:t>9</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Pr>
          <w:p w:rsidR="00B40966" w:rsidRDefault="00B40966">
            <w:pPr>
              <w:pStyle w:val="TableText"/>
              <w:jc w:val="center"/>
              <w:rPr>
                <w:sz w:val="20"/>
              </w:rPr>
            </w:pPr>
            <w:r>
              <w:rPr>
                <w:sz w:val="20"/>
              </w:rPr>
              <w:t>5</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5</w:t>
            </w:r>
            <w:r>
              <w:rPr>
                <w:sz w:val="20"/>
              </w:rPr>
              <w:t>/</w:t>
            </w:r>
            <w:r>
              <w:rPr>
                <w:sz w:val="16"/>
              </w:rPr>
              <w:t>8</w:t>
            </w:r>
          </w:p>
        </w:tc>
        <w:tc>
          <w:tcPr>
            <w:tcW w:w="684" w:type="dxa"/>
            <w:gridSpan w:val="3"/>
          </w:tcPr>
          <w:p w:rsidR="00B40966" w:rsidRDefault="00B40966">
            <w:pPr>
              <w:pStyle w:val="TableText"/>
              <w:jc w:val="center"/>
              <w:rPr>
                <w:sz w:val="20"/>
              </w:rPr>
            </w:pPr>
            <w:r>
              <w:rPr>
                <w:sz w:val="20"/>
              </w:rPr>
              <w:t>9</w:t>
            </w:r>
          </w:p>
        </w:tc>
        <w:tc>
          <w:tcPr>
            <w:tcW w:w="852" w:type="dxa"/>
          </w:tcPr>
          <w:p w:rsidR="00B40966" w:rsidRDefault="00B40966">
            <w:pPr>
              <w:pStyle w:val="TableText"/>
              <w:jc w:val="center"/>
              <w:rPr>
                <w:sz w:val="20"/>
              </w:rPr>
            </w:pPr>
            <w:r>
              <w:rPr>
                <w:sz w:val="20"/>
              </w:rPr>
              <w:t>8</w:t>
            </w:r>
          </w:p>
        </w:tc>
        <w:tc>
          <w:tcPr>
            <w:tcW w:w="588" w:type="dxa"/>
            <w:tcBorders>
              <w:left w:val="single" w:sz="6" w:space="0" w:color="auto"/>
            </w:tcBorders>
          </w:tcPr>
          <w:p w:rsidR="00B40966" w:rsidRDefault="00B40966">
            <w:pPr>
              <w:pStyle w:val="TableText"/>
              <w:jc w:val="center"/>
              <w:rPr>
                <w:sz w:val="20"/>
              </w:rPr>
            </w:pPr>
            <w:r>
              <w:rPr>
                <w:sz w:val="20"/>
              </w:rPr>
              <w:t>18</w:t>
            </w:r>
          </w:p>
        </w:tc>
        <w:tc>
          <w:tcPr>
            <w:tcW w:w="720" w:type="dxa"/>
            <w:gridSpan w:val="2"/>
          </w:tcPr>
          <w:p w:rsidR="00B40966" w:rsidRDefault="00B40966">
            <w:pPr>
              <w:pStyle w:val="TableText"/>
              <w:jc w:val="center"/>
              <w:rPr>
                <w:sz w:val="20"/>
              </w:rPr>
            </w:pPr>
            <w:r>
              <w:rPr>
                <w:sz w:val="20"/>
              </w:rPr>
              <w:t>3</w:t>
            </w:r>
          </w:p>
        </w:tc>
        <w:tc>
          <w:tcPr>
            <w:tcW w:w="764" w:type="dxa"/>
            <w:gridSpan w:val="2"/>
            <w:tcBorders>
              <w:left w:val="single" w:sz="6" w:space="0" w:color="auto"/>
            </w:tcBorders>
          </w:tcPr>
          <w:p w:rsidR="00B40966" w:rsidRDefault="00B40966">
            <w:pPr>
              <w:pStyle w:val="TableText"/>
              <w:jc w:val="center"/>
              <w:rPr>
                <w:sz w:val="20"/>
              </w:rPr>
            </w:pPr>
            <w:r>
              <w:rPr>
                <w:sz w:val="20"/>
              </w:rPr>
              <w:t>16</w:t>
            </w:r>
          </w:p>
        </w:tc>
        <w:tc>
          <w:tcPr>
            <w:tcW w:w="832" w:type="dxa"/>
          </w:tcPr>
          <w:p w:rsidR="00B40966" w:rsidRDefault="00B40966">
            <w:pPr>
              <w:pStyle w:val="TableText"/>
              <w:jc w:val="center"/>
              <w:rPr>
                <w:sz w:val="20"/>
              </w:rPr>
            </w:pPr>
            <w:r>
              <w:rPr>
                <w:sz w:val="20"/>
              </w:rPr>
              <w:t>6</w:t>
            </w:r>
          </w:p>
        </w:tc>
        <w:tc>
          <w:tcPr>
            <w:tcW w:w="768" w:type="dxa"/>
            <w:tcBorders>
              <w:left w:val="single" w:sz="6" w:space="0" w:color="auto"/>
            </w:tcBorders>
          </w:tcPr>
          <w:p w:rsidR="00B40966" w:rsidRDefault="00B40966">
            <w:pPr>
              <w:pStyle w:val="TableText"/>
              <w:jc w:val="center"/>
              <w:rPr>
                <w:sz w:val="20"/>
              </w:rPr>
            </w:pPr>
            <w:r>
              <w:rPr>
                <w:sz w:val="20"/>
              </w:rPr>
              <w:t>13</w:t>
            </w:r>
          </w:p>
        </w:tc>
        <w:tc>
          <w:tcPr>
            <w:tcW w:w="786" w:type="dxa"/>
            <w:gridSpan w:val="2"/>
          </w:tcPr>
          <w:p w:rsidR="00B40966" w:rsidRDefault="00B40966">
            <w:pPr>
              <w:pStyle w:val="TableText"/>
              <w:jc w:val="center"/>
              <w:rPr>
                <w:sz w:val="20"/>
              </w:rPr>
            </w:pPr>
            <w:r>
              <w:rPr>
                <w:sz w:val="20"/>
              </w:rPr>
              <w:t>6</w:t>
            </w:r>
          </w:p>
        </w:tc>
        <w:tc>
          <w:tcPr>
            <w:tcW w:w="760" w:type="dxa"/>
            <w:tcBorders>
              <w:left w:val="single" w:sz="6" w:space="0" w:color="auto"/>
            </w:tcBorders>
          </w:tcPr>
          <w:p w:rsidR="00B40966" w:rsidRDefault="00B40966">
            <w:pPr>
              <w:pStyle w:val="TableText"/>
              <w:jc w:val="center"/>
              <w:rPr>
                <w:sz w:val="20"/>
              </w:rPr>
            </w:pPr>
            <w:r>
              <w:rPr>
                <w:sz w:val="20"/>
              </w:rPr>
              <w:t>9</w:t>
            </w:r>
          </w:p>
        </w:tc>
        <w:tc>
          <w:tcPr>
            <w:tcW w:w="722" w:type="dxa"/>
          </w:tcPr>
          <w:p w:rsidR="00B40966" w:rsidRDefault="00B40966">
            <w:pPr>
              <w:pStyle w:val="TableText"/>
              <w:jc w:val="center"/>
              <w:rPr>
                <w:sz w:val="20"/>
              </w:rPr>
            </w:pPr>
            <w:r>
              <w:rPr>
                <w:sz w:val="20"/>
              </w:rPr>
              <w:t>8</w:t>
            </w:r>
          </w:p>
        </w:tc>
        <w:tc>
          <w:tcPr>
            <w:tcW w:w="838" w:type="dxa"/>
            <w:gridSpan w:val="2"/>
            <w:tcBorders>
              <w:left w:val="single" w:sz="6" w:space="0" w:color="auto"/>
            </w:tcBorders>
          </w:tcPr>
          <w:p w:rsidR="00B40966" w:rsidRDefault="00B40966">
            <w:pPr>
              <w:pStyle w:val="TableText"/>
              <w:jc w:val="center"/>
              <w:rPr>
                <w:sz w:val="20"/>
              </w:rPr>
            </w:pPr>
            <w:r>
              <w:rPr>
                <w:sz w:val="20"/>
              </w:rPr>
              <w:t>4</w:t>
            </w:r>
          </w:p>
        </w:tc>
        <w:tc>
          <w:tcPr>
            <w:tcW w:w="662" w:type="dxa"/>
            <w:gridSpan w:val="2"/>
          </w:tcPr>
          <w:p w:rsidR="00B40966" w:rsidRDefault="00B40966">
            <w:pPr>
              <w:pStyle w:val="TableText"/>
              <w:jc w:val="center"/>
              <w:rPr>
                <w:sz w:val="20"/>
              </w:rPr>
            </w:pPr>
            <w:r>
              <w:rPr>
                <w:sz w:val="20"/>
              </w:rPr>
              <w:t>17</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11</w:t>
            </w:r>
            <w:r>
              <w:rPr>
                <w:sz w:val="20"/>
              </w:rPr>
              <w:t>/</w:t>
            </w:r>
            <w:r>
              <w:rPr>
                <w:sz w:val="16"/>
              </w:rPr>
              <w:t>16</w:t>
            </w:r>
          </w:p>
        </w:tc>
        <w:tc>
          <w:tcPr>
            <w:tcW w:w="684" w:type="dxa"/>
            <w:gridSpan w:val="3"/>
          </w:tcPr>
          <w:p w:rsidR="00B40966" w:rsidRDefault="00B40966">
            <w:pPr>
              <w:pStyle w:val="TableText"/>
              <w:jc w:val="center"/>
              <w:rPr>
                <w:sz w:val="20"/>
              </w:rPr>
            </w:pPr>
            <w:r>
              <w:rPr>
                <w:sz w:val="20"/>
              </w:rPr>
              <w:t>10</w:t>
            </w:r>
          </w:p>
        </w:tc>
        <w:tc>
          <w:tcPr>
            <w:tcW w:w="852" w:type="dxa"/>
          </w:tcPr>
          <w:p w:rsidR="00B40966" w:rsidRDefault="00B40966">
            <w:pPr>
              <w:pStyle w:val="TableText"/>
              <w:jc w:val="center"/>
              <w:rPr>
                <w:sz w:val="20"/>
              </w:rPr>
            </w:pPr>
            <w:r>
              <w:rPr>
                <w:sz w:val="20"/>
              </w:rPr>
              <w:t>8</w:t>
            </w:r>
          </w:p>
        </w:tc>
        <w:tc>
          <w:tcPr>
            <w:tcW w:w="588" w:type="dxa"/>
            <w:tcBorders>
              <w:left w:val="single" w:sz="6" w:space="0" w:color="auto"/>
            </w:tcBorders>
          </w:tcPr>
          <w:p w:rsidR="00B40966" w:rsidRDefault="00B40966">
            <w:pPr>
              <w:pStyle w:val="TableText"/>
              <w:jc w:val="center"/>
              <w:rPr>
                <w:sz w:val="20"/>
              </w:rPr>
            </w:pPr>
            <w:r>
              <w:rPr>
                <w:sz w:val="20"/>
              </w:rPr>
              <w:t>20</w:t>
            </w:r>
          </w:p>
        </w:tc>
        <w:tc>
          <w:tcPr>
            <w:tcW w:w="720" w:type="dxa"/>
            <w:gridSpan w:val="2"/>
          </w:tcPr>
          <w:p w:rsidR="00B40966" w:rsidRDefault="00B40966">
            <w:pPr>
              <w:pStyle w:val="TableText"/>
              <w:jc w:val="center"/>
              <w:rPr>
                <w:sz w:val="20"/>
              </w:rPr>
            </w:pPr>
            <w:r>
              <w:rPr>
                <w:sz w:val="20"/>
              </w:rPr>
              <w:t>2</w:t>
            </w:r>
          </w:p>
        </w:tc>
        <w:tc>
          <w:tcPr>
            <w:tcW w:w="764" w:type="dxa"/>
            <w:gridSpan w:val="2"/>
            <w:tcBorders>
              <w:left w:val="single" w:sz="6" w:space="0" w:color="auto"/>
            </w:tcBorders>
          </w:tcPr>
          <w:p w:rsidR="00B40966" w:rsidRDefault="00B40966">
            <w:pPr>
              <w:pStyle w:val="TableText"/>
              <w:jc w:val="center"/>
              <w:rPr>
                <w:sz w:val="20"/>
              </w:rPr>
            </w:pPr>
            <w:r>
              <w:rPr>
                <w:sz w:val="20"/>
              </w:rPr>
              <w:t>18</w:t>
            </w:r>
          </w:p>
        </w:tc>
        <w:tc>
          <w:tcPr>
            <w:tcW w:w="832" w:type="dxa"/>
          </w:tcPr>
          <w:p w:rsidR="00B40966" w:rsidRDefault="00B40966">
            <w:pPr>
              <w:pStyle w:val="TableText"/>
              <w:jc w:val="center"/>
              <w:rPr>
                <w:sz w:val="20"/>
              </w:rPr>
            </w:pPr>
            <w:r>
              <w:rPr>
                <w:sz w:val="20"/>
              </w:rPr>
              <w:t>0</w:t>
            </w:r>
          </w:p>
        </w:tc>
        <w:tc>
          <w:tcPr>
            <w:tcW w:w="768" w:type="dxa"/>
            <w:tcBorders>
              <w:left w:val="single" w:sz="6" w:space="0" w:color="auto"/>
            </w:tcBorders>
          </w:tcPr>
          <w:p w:rsidR="00B40966" w:rsidRDefault="00B40966">
            <w:pPr>
              <w:pStyle w:val="TableText"/>
              <w:jc w:val="center"/>
              <w:rPr>
                <w:sz w:val="20"/>
              </w:rPr>
            </w:pPr>
            <w:r>
              <w:rPr>
                <w:sz w:val="20"/>
              </w:rPr>
              <w:t>14</w:t>
            </w:r>
          </w:p>
        </w:tc>
        <w:tc>
          <w:tcPr>
            <w:tcW w:w="786" w:type="dxa"/>
            <w:gridSpan w:val="2"/>
          </w:tcPr>
          <w:p w:rsidR="00B40966" w:rsidRDefault="00B40966">
            <w:pPr>
              <w:pStyle w:val="TableText"/>
              <w:jc w:val="center"/>
              <w:rPr>
                <w:sz w:val="20"/>
              </w:rPr>
            </w:pPr>
            <w:r>
              <w:rPr>
                <w:sz w:val="20"/>
              </w:rPr>
              <w:t>14</w:t>
            </w:r>
          </w:p>
        </w:tc>
        <w:tc>
          <w:tcPr>
            <w:tcW w:w="760" w:type="dxa"/>
            <w:tcBorders>
              <w:left w:val="single" w:sz="6" w:space="0" w:color="auto"/>
            </w:tcBorders>
          </w:tcPr>
          <w:p w:rsidR="00B40966" w:rsidRDefault="00B40966">
            <w:pPr>
              <w:pStyle w:val="TableText"/>
              <w:jc w:val="center"/>
              <w:rPr>
                <w:sz w:val="20"/>
              </w:rPr>
            </w:pPr>
            <w:r>
              <w:rPr>
                <w:sz w:val="20"/>
              </w:rPr>
              <w:t>10</w:t>
            </w:r>
          </w:p>
        </w:tc>
        <w:tc>
          <w:tcPr>
            <w:tcW w:w="722" w:type="dxa"/>
          </w:tcPr>
          <w:p w:rsidR="00B40966" w:rsidRDefault="00B40966">
            <w:pPr>
              <w:pStyle w:val="TableText"/>
              <w:jc w:val="center"/>
              <w:rPr>
                <w:sz w:val="20"/>
              </w:rPr>
            </w:pPr>
            <w:r>
              <w:rPr>
                <w:sz w:val="20"/>
              </w:rPr>
              <w:t>8</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1</w:t>
            </w:r>
            <w:r>
              <w:rPr>
                <w:sz w:val="20"/>
              </w:rPr>
              <w:t>/</w:t>
            </w:r>
            <w:r>
              <w:rPr>
                <w:sz w:val="16"/>
              </w:rPr>
              <w:t>2</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3</w:t>
            </w:r>
            <w:r>
              <w:rPr>
                <w:sz w:val="20"/>
              </w:rPr>
              <w:t>/</w:t>
            </w:r>
            <w:r>
              <w:rPr>
                <w:sz w:val="16"/>
              </w:rPr>
              <w:t>4</w:t>
            </w:r>
          </w:p>
        </w:tc>
        <w:tc>
          <w:tcPr>
            <w:tcW w:w="684" w:type="dxa"/>
            <w:gridSpan w:val="3"/>
          </w:tcPr>
          <w:p w:rsidR="00B40966" w:rsidRDefault="00B40966">
            <w:pPr>
              <w:pStyle w:val="TableText"/>
              <w:jc w:val="center"/>
              <w:rPr>
                <w:sz w:val="20"/>
              </w:rPr>
            </w:pPr>
            <w:r>
              <w:rPr>
                <w:sz w:val="20"/>
              </w:rPr>
              <w:t>11</w:t>
            </w:r>
          </w:p>
        </w:tc>
        <w:tc>
          <w:tcPr>
            <w:tcW w:w="852" w:type="dxa"/>
          </w:tcPr>
          <w:p w:rsidR="00B40966" w:rsidRDefault="00B40966">
            <w:pPr>
              <w:pStyle w:val="TableText"/>
              <w:jc w:val="center"/>
              <w:rPr>
                <w:sz w:val="20"/>
              </w:rPr>
            </w:pPr>
            <w:r>
              <w:rPr>
                <w:sz w:val="20"/>
              </w:rPr>
              <w:t>4</w:t>
            </w:r>
          </w:p>
        </w:tc>
        <w:tc>
          <w:tcPr>
            <w:tcW w:w="588" w:type="dxa"/>
            <w:tcBorders>
              <w:left w:val="single" w:sz="6" w:space="0" w:color="auto"/>
            </w:tcBorders>
          </w:tcPr>
          <w:p w:rsidR="00B40966" w:rsidRDefault="00B40966">
            <w:pPr>
              <w:pStyle w:val="TableText"/>
              <w:jc w:val="center"/>
              <w:rPr>
                <w:sz w:val="20"/>
              </w:rPr>
            </w:pPr>
            <w:r>
              <w:rPr>
                <w:sz w:val="20"/>
              </w:rPr>
              <w:t>21</w:t>
            </w:r>
          </w:p>
        </w:tc>
        <w:tc>
          <w:tcPr>
            <w:tcW w:w="720" w:type="dxa"/>
            <w:gridSpan w:val="2"/>
          </w:tcPr>
          <w:p w:rsidR="00B40966" w:rsidRDefault="00B40966">
            <w:pPr>
              <w:pStyle w:val="TableText"/>
              <w:jc w:val="center"/>
              <w:rPr>
                <w:sz w:val="20"/>
              </w:rPr>
            </w:pPr>
            <w:r>
              <w:rPr>
                <w:sz w:val="20"/>
              </w:rPr>
              <w:t>12</w:t>
            </w:r>
          </w:p>
        </w:tc>
        <w:tc>
          <w:tcPr>
            <w:tcW w:w="764" w:type="dxa"/>
            <w:gridSpan w:val="2"/>
            <w:tcBorders>
              <w:left w:val="single" w:sz="6" w:space="0" w:color="auto"/>
            </w:tcBorders>
          </w:tcPr>
          <w:p w:rsidR="00B40966" w:rsidRDefault="00B40966">
            <w:pPr>
              <w:pStyle w:val="TableText"/>
              <w:jc w:val="center"/>
              <w:rPr>
                <w:sz w:val="20"/>
              </w:rPr>
            </w:pPr>
            <w:r>
              <w:rPr>
                <w:sz w:val="20"/>
              </w:rPr>
              <w:t>19</w:t>
            </w:r>
          </w:p>
        </w:tc>
        <w:tc>
          <w:tcPr>
            <w:tcW w:w="832" w:type="dxa"/>
          </w:tcPr>
          <w:p w:rsidR="00B40966" w:rsidRDefault="00B40966">
            <w:pPr>
              <w:pStyle w:val="TableText"/>
              <w:jc w:val="center"/>
              <w:rPr>
                <w:sz w:val="20"/>
              </w:rPr>
            </w:pPr>
            <w:r>
              <w:rPr>
                <w:sz w:val="20"/>
              </w:rPr>
              <w:t>8</w:t>
            </w:r>
          </w:p>
        </w:tc>
        <w:tc>
          <w:tcPr>
            <w:tcW w:w="768" w:type="dxa"/>
            <w:tcBorders>
              <w:left w:val="single" w:sz="6" w:space="0" w:color="auto"/>
            </w:tcBorders>
          </w:tcPr>
          <w:p w:rsidR="00B40966" w:rsidRDefault="00B40966">
            <w:pPr>
              <w:pStyle w:val="TableText"/>
              <w:jc w:val="center"/>
              <w:rPr>
                <w:sz w:val="20"/>
              </w:rPr>
            </w:pPr>
            <w:r>
              <w:rPr>
                <w:sz w:val="20"/>
              </w:rPr>
              <w:t>15</w:t>
            </w:r>
          </w:p>
        </w:tc>
        <w:tc>
          <w:tcPr>
            <w:tcW w:w="786" w:type="dxa"/>
            <w:gridSpan w:val="2"/>
          </w:tcPr>
          <w:p w:rsidR="00B40966" w:rsidRDefault="00B40966">
            <w:pPr>
              <w:pStyle w:val="TableText"/>
              <w:jc w:val="center"/>
              <w:rPr>
                <w:sz w:val="20"/>
              </w:rPr>
            </w:pPr>
            <w:r>
              <w:rPr>
                <w:sz w:val="20"/>
              </w:rPr>
              <w:t>17</w:t>
            </w:r>
          </w:p>
        </w:tc>
        <w:tc>
          <w:tcPr>
            <w:tcW w:w="760" w:type="dxa"/>
            <w:tcBorders>
              <w:left w:val="single" w:sz="6" w:space="0" w:color="auto"/>
            </w:tcBorders>
          </w:tcPr>
          <w:p w:rsidR="00B40966" w:rsidRDefault="00B40966">
            <w:pPr>
              <w:pStyle w:val="TableText"/>
              <w:jc w:val="center"/>
              <w:rPr>
                <w:sz w:val="20"/>
              </w:rPr>
            </w:pPr>
            <w:r>
              <w:rPr>
                <w:sz w:val="20"/>
              </w:rPr>
              <w:t>11</w:t>
            </w:r>
          </w:p>
        </w:tc>
        <w:tc>
          <w:tcPr>
            <w:tcW w:w="722" w:type="dxa"/>
          </w:tcPr>
          <w:p w:rsidR="00B40966" w:rsidRDefault="00B40966">
            <w:pPr>
              <w:pStyle w:val="TableText"/>
              <w:jc w:val="center"/>
              <w:rPr>
                <w:sz w:val="20"/>
              </w:rPr>
            </w:pPr>
            <w:r>
              <w:rPr>
                <w:sz w:val="20"/>
              </w:rPr>
              <w:t>4</w:t>
            </w:r>
          </w:p>
        </w:tc>
        <w:tc>
          <w:tcPr>
            <w:tcW w:w="838" w:type="dxa"/>
            <w:gridSpan w:val="2"/>
            <w:tcBorders>
              <w:left w:val="single" w:sz="6" w:space="0" w:color="auto"/>
            </w:tcBorders>
          </w:tcPr>
          <w:p w:rsidR="00B40966" w:rsidRDefault="00B40966">
            <w:pPr>
              <w:pStyle w:val="TableText"/>
              <w:jc w:val="center"/>
              <w:rPr>
                <w:sz w:val="20"/>
              </w:rPr>
            </w:pPr>
            <w:r>
              <w:rPr>
                <w:sz w:val="20"/>
              </w:rPr>
              <w:t>5</w:t>
            </w:r>
          </w:p>
        </w:tc>
        <w:tc>
          <w:tcPr>
            <w:tcW w:w="662" w:type="dxa"/>
            <w:gridSpan w:val="2"/>
          </w:tcPr>
          <w:p w:rsidR="00B40966" w:rsidRDefault="00B40966">
            <w:pPr>
              <w:pStyle w:val="TableText"/>
              <w:jc w:val="center"/>
              <w:rPr>
                <w:sz w:val="20"/>
              </w:rPr>
            </w:pPr>
            <w:r>
              <w:rPr>
                <w:sz w:val="20"/>
              </w:rPr>
              <w:t>16</w:t>
            </w:r>
          </w:p>
        </w:tc>
      </w:tr>
      <w:tr w:rsidR="00B40966">
        <w:trPr>
          <w:cantSplit/>
          <w:trHeight w:val="200"/>
        </w:trPr>
        <w:tc>
          <w:tcPr>
            <w:tcW w:w="968" w:type="dxa"/>
          </w:tcPr>
          <w:p w:rsidR="00B40966" w:rsidRDefault="00B40966">
            <w:pPr>
              <w:pStyle w:val="TableText"/>
              <w:jc w:val="center"/>
              <w:rPr>
                <w:sz w:val="20"/>
              </w:rPr>
            </w:pPr>
            <w:r>
              <w:rPr>
                <w:sz w:val="20"/>
              </w:rPr>
              <w:t>5</w:t>
            </w:r>
            <w:r>
              <w:rPr>
                <w:position w:val="4"/>
                <w:sz w:val="16"/>
              </w:rPr>
              <w:t>3</w:t>
            </w:r>
            <w:r>
              <w:rPr>
                <w:sz w:val="20"/>
              </w:rPr>
              <w:t>/</w:t>
            </w:r>
            <w:r>
              <w:rPr>
                <w:sz w:val="16"/>
              </w:rPr>
              <w:t>4</w:t>
            </w:r>
          </w:p>
        </w:tc>
        <w:tc>
          <w:tcPr>
            <w:tcW w:w="924" w:type="dxa"/>
            <w:gridSpan w:val="2"/>
            <w:tcBorders>
              <w:left w:val="single" w:sz="6" w:space="0" w:color="auto"/>
              <w:right w:val="single" w:sz="6" w:space="0" w:color="auto"/>
            </w:tcBorders>
          </w:tcPr>
          <w:p w:rsidR="00B40966" w:rsidRDefault="00B40966">
            <w:pPr>
              <w:pStyle w:val="TableText"/>
              <w:jc w:val="center"/>
              <w:rPr>
                <w:sz w:val="20"/>
              </w:rPr>
            </w:pPr>
            <w:r>
              <w:rPr>
                <w:sz w:val="20"/>
              </w:rPr>
              <w:t>1</w:t>
            </w:r>
            <w:r>
              <w:rPr>
                <w:position w:val="4"/>
                <w:sz w:val="16"/>
              </w:rPr>
              <w:t>13</w:t>
            </w:r>
            <w:r>
              <w:rPr>
                <w:sz w:val="20"/>
              </w:rPr>
              <w:t>/</w:t>
            </w:r>
            <w:r>
              <w:rPr>
                <w:sz w:val="16"/>
              </w:rPr>
              <w:t>16</w:t>
            </w:r>
          </w:p>
        </w:tc>
        <w:tc>
          <w:tcPr>
            <w:tcW w:w="684" w:type="dxa"/>
            <w:gridSpan w:val="3"/>
          </w:tcPr>
          <w:p w:rsidR="00B40966" w:rsidRDefault="00B40966">
            <w:pPr>
              <w:pStyle w:val="TableText"/>
              <w:jc w:val="center"/>
              <w:rPr>
                <w:sz w:val="20"/>
              </w:rPr>
            </w:pPr>
            <w:r>
              <w:rPr>
                <w:sz w:val="20"/>
              </w:rPr>
              <w:t>12</w:t>
            </w:r>
          </w:p>
        </w:tc>
        <w:tc>
          <w:tcPr>
            <w:tcW w:w="852" w:type="dxa"/>
          </w:tcPr>
          <w:p w:rsidR="00B40966" w:rsidRDefault="00B40966">
            <w:pPr>
              <w:pStyle w:val="TableText"/>
              <w:jc w:val="center"/>
              <w:rPr>
                <w:sz w:val="20"/>
              </w:rPr>
            </w:pPr>
            <w:r>
              <w:rPr>
                <w:sz w:val="20"/>
              </w:rPr>
              <w:t>7</w:t>
            </w:r>
          </w:p>
        </w:tc>
        <w:tc>
          <w:tcPr>
            <w:tcW w:w="588" w:type="dxa"/>
            <w:tcBorders>
              <w:left w:val="single" w:sz="6" w:space="0" w:color="auto"/>
            </w:tcBorders>
          </w:tcPr>
          <w:p w:rsidR="00B40966" w:rsidRDefault="00B40966">
            <w:pPr>
              <w:pStyle w:val="TableText"/>
              <w:jc w:val="center"/>
              <w:rPr>
                <w:sz w:val="20"/>
              </w:rPr>
            </w:pPr>
            <w:r>
              <w:rPr>
                <w:sz w:val="20"/>
              </w:rPr>
              <w:t>23</w:t>
            </w:r>
          </w:p>
        </w:tc>
        <w:tc>
          <w:tcPr>
            <w:tcW w:w="720" w:type="dxa"/>
            <w:gridSpan w:val="2"/>
          </w:tcPr>
          <w:p w:rsidR="00B40966" w:rsidRDefault="00B40966">
            <w:pPr>
              <w:pStyle w:val="TableText"/>
              <w:jc w:val="center"/>
              <w:rPr>
                <w:sz w:val="20"/>
              </w:rPr>
            </w:pPr>
            <w:r>
              <w:rPr>
                <w:sz w:val="20"/>
              </w:rPr>
              <w:t>17</w:t>
            </w:r>
          </w:p>
        </w:tc>
        <w:tc>
          <w:tcPr>
            <w:tcW w:w="764" w:type="dxa"/>
            <w:gridSpan w:val="2"/>
            <w:tcBorders>
              <w:left w:val="single" w:sz="6" w:space="0" w:color="auto"/>
            </w:tcBorders>
          </w:tcPr>
          <w:p w:rsidR="00B40966" w:rsidRDefault="00B40966">
            <w:pPr>
              <w:pStyle w:val="TableText"/>
              <w:jc w:val="center"/>
              <w:rPr>
                <w:sz w:val="20"/>
              </w:rPr>
            </w:pPr>
            <w:r>
              <w:rPr>
                <w:sz w:val="20"/>
              </w:rPr>
              <w:t>21</w:t>
            </w:r>
          </w:p>
        </w:tc>
        <w:tc>
          <w:tcPr>
            <w:tcW w:w="832" w:type="dxa"/>
          </w:tcPr>
          <w:p w:rsidR="00B40966" w:rsidRDefault="00B40966">
            <w:pPr>
              <w:pStyle w:val="TableText"/>
              <w:jc w:val="center"/>
              <w:rPr>
                <w:sz w:val="20"/>
              </w:rPr>
            </w:pPr>
            <w:r>
              <w:rPr>
                <w:sz w:val="20"/>
              </w:rPr>
              <w:t>7</w:t>
            </w:r>
          </w:p>
        </w:tc>
        <w:tc>
          <w:tcPr>
            <w:tcW w:w="768" w:type="dxa"/>
            <w:tcBorders>
              <w:left w:val="single" w:sz="6" w:space="0" w:color="auto"/>
            </w:tcBorders>
          </w:tcPr>
          <w:p w:rsidR="00B40966" w:rsidRDefault="00B40966">
            <w:pPr>
              <w:pStyle w:val="TableText"/>
              <w:jc w:val="center"/>
              <w:rPr>
                <w:sz w:val="20"/>
              </w:rPr>
            </w:pPr>
            <w:r>
              <w:rPr>
                <w:sz w:val="20"/>
              </w:rPr>
              <w:t>17</w:t>
            </w:r>
          </w:p>
        </w:tc>
        <w:tc>
          <w:tcPr>
            <w:tcW w:w="786" w:type="dxa"/>
            <w:gridSpan w:val="2"/>
          </w:tcPr>
          <w:p w:rsidR="00B40966" w:rsidRDefault="00B40966">
            <w:pPr>
              <w:pStyle w:val="TableText"/>
              <w:jc w:val="center"/>
              <w:rPr>
                <w:sz w:val="20"/>
              </w:rPr>
            </w:pPr>
            <w:r>
              <w:rPr>
                <w:sz w:val="20"/>
              </w:rPr>
              <w:t>9</w:t>
            </w:r>
          </w:p>
        </w:tc>
        <w:tc>
          <w:tcPr>
            <w:tcW w:w="760" w:type="dxa"/>
            <w:tcBorders>
              <w:left w:val="single" w:sz="6" w:space="0" w:color="auto"/>
            </w:tcBorders>
          </w:tcPr>
          <w:p w:rsidR="00B40966" w:rsidRDefault="00B40966">
            <w:pPr>
              <w:pStyle w:val="TableText"/>
              <w:jc w:val="center"/>
              <w:rPr>
                <w:sz w:val="20"/>
              </w:rPr>
            </w:pPr>
            <w:r>
              <w:rPr>
                <w:sz w:val="20"/>
              </w:rPr>
              <w:t>12</w:t>
            </w:r>
          </w:p>
        </w:tc>
        <w:tc>
          <w:tcPr>
            <w:tcW w:w="722" w:type="dxa"/>
          </w:tcPr>
          <w:p w:rsidR="00B40966" w:rsidRDefault="00B40966">
            <w:pPr>
              <w:pStyle w:val="TableText"/>
              <w:jc w:val="center"/>
              <w:rPr>
                <w:sz w:val="20"/>
              </w:rPr>
            </w:pPr>
            <w:r>
              <w:rPr>
                <w:sz w:val="20"/>
              </w:rPr>
              <w:t>7</w:t>
            </w:r>
          </w:p>
        </w:tc>
        <w:tc>
          <w:tcPr>
            <w:tcW w:w="838" w:type="dxa"/>
            <w:gridSpan w:val="2"/>
            <w:tcBorders>
              <w:left w:val="single" w:sz="6" w:space="0" w:color="auto"/>
            </w:tcBorders>
          </w:tcPr>
          <w:p w:rsidR="00B40966" w:rsidRDefault="00B40966">
            <w:pPr>
              <w:pStyle w:val="TableText"/>
              <w:jc w:val="center"/>
              <w:rPr>
                <w:sz w:val="20"/>
              </w:rPr>
            </w:pPr>
            <w:r>
              <w:rPr>
                <w:sz w:val="20"/>
              </w:rPr>
              <w:t>6</w:t>
            </w:r>
          </w:p>
        </w:tc>
        <w:tc>
          <w:tcPr>
            <w:tcW w:w="662" w:type="dxa"/>
            <w:gridSpan w:val="2"/>
          </w:tcPr>
          <w:p w:rsidR="00B40966" w:rsidRDefault="00B40966">
            <w:pPr>
              <w:pStyle w:val="TableText"/>
              <w:jc w:val="center"/>
              <w:rPr>
                <w:sz w:val="20"/>
              </w:rPr>
            </w:pPr>
            <w:r>
              <w:rPr>
                <w:sz w:val="20"/>
              </w:rPr>
              <w:t>8</w:t>
            </w:r>
          </w:p>
        </w:tc>
      </w:tr>
      <w:tr w:rsidR="00B40966">
        <w:trPr>
          <w:cantSplit/>
          <w:trHeight w:val="200"/>
        </w:trPr>
        <w:tc>
          <w:tcPr>
            <w:tcW w:w="968" w:type="dxa"/>
            <w:tcBorders>
              <w:bottom w:val="single" w:sz="6" w:space="0" w:color="auto"/>
            </w:tcBorders>
          </w:tcPr>
          <w:p w:rsidR="00B40966" w:rsidRDefault="00B40966">
            <w:pPr>
              <w:pStyle w:val="TableText"/>
              <w:jc w:val="center"/>
              <w:rPr>
                <w:sz w:val="20"/>
              </w:rPr>
            </w:pPr>
            <w:r>
              <w:rPr>
                <w:sz w:val="20"/>
              </w:rPr>
              <w:t>6</w:t>
            </w:r>
          </w:p>
        </w:tc>
        <w:tc>
          <w:tcPr>
            <w:tcW w:w="924" w:type="dxa"/>
            <w:gridSpan w:val="2"/>
            <w:tcBorders>
              <w:left w:val="single" w:sz="6" w:space="0" w:color="auto"/>
              <w:bottom w:val="single" w:sz="6" w:space="0" w:color="auto"/>
              <w:right w:val="single" w:sz="6" w:space="0" w:color="auto"/>
            </w:tcBorders>
          </w:tcPr>
          <w:p w:rsidR="00B40966" w:rsidRDefault="00B40966">
            <w:pPr>
              <w:pStyle w:val="TableText"/>
              <w:jc w:val="center"/>
              <w:rPr>
                <w:sz w:val="20"/>
              </w:rPr>
            </w:pPr>
            <w:r>
              <w:rPr>
                <w:sz w:val="20"/>
              </w:rPr>
              <w:t>1</w:t>
            </w:r>
            <w:r>
              <w:rPr>
                <w:position w:val="4"/>
                <w:sz w:val="16"/>
              </w:rPr>
              <w:t>7</w:t>
            </w:r>
            <w:r>
              <w:rPr>
                <w:sz w:val="20"/>
              </w:rPr>
              <w:t>/</w:t>
            </w:r>
            <w:r>
              <w:rPr>
                <w:sz w:val="16"/>
              </w:rPr>
              <w:t>8</w:t>
            </w:r>
          </w:p>
        </w:tc>
        <w:tc>
          <w:tcPr>
            <w:tcW w:w="684" w:type="dxa"/>
            <w:gridSpan w:val="3"/>
            <w:tcBorders>
              <w:bottom w:val="single" w:sz="6" w:space="0" w:color="auto"/>
            </w:tcBorders>
          </w:tcPr>
          <w:p w:rsidR="00B40966" w:rsidRDefault="00B40966">
            <w:pPr>
              <w:pStyle w:val="TableText"/>
              <w:jc w:val="center"/>
              <w:rPr>
                <w:sz w:val="20"/>
              </w:rPr>
            </w:pPr>
            <w:r>
              <w:rPr>
                <w:sz w:val="20"/>
              </w:rPr>
              <w:t>13</w:t>
            </w:r>
          </w:p>
        </w:tc>
        <w:tc>
          <w:tcPr>
            <w:tcW w:w="852" w:type="dxa"/>
            <w:tcBorders>
              <w:bottom w:val="single" w:sz="6" w:space="0" w:color="auto"/>
            </w:tcBorders>
          </w:tcPr>
          <w:p w:rsidR="00B40966" w:rsidRDefault="00B40966">
            <w:pPr>
              <w:pStyle w:val="TableText"/>
              <w:jc w:val="center"/>
              <w:rPr>
                <w:sz w:val="20"/>
              </w:rPr>
            </w:pPr>
            <w:r>
              <w:rPr>
                <w:sz w:val="20"/>
              </w:rPr>
              <w:t>10</w:t>
            </w:r>
          </w:p>
        </w:tc>
        <w:tc>
          <w:tcPr>
            <w:tcW w:w="588" w:type="dxa"/>
            <w:tcBorders>
              <w:left w:val="single" w:sz="6" w:space="0" w:color="auto"/>
              <w:bottom w:val="single" w:sz="6" w:space="0" w:color="auto"/>
            </w:tcBorders>
          </w:tcPr>
          <w:p w:rsidR="00B40966" w:rsidRDefault="00B40966">
            <w:pPr>
              <w:pStyle w:val="TableText"/>
              <w:jc w:val="center"/>
              <w:rPr>
                <w:sz w:val="20"/>
              </w:rPr>
            </w:pPr>
            <w:r>
              <w:rPr>
                <w:sz w:val="20"/>
              </w:rPr>
              <w:t>26</w:t>
            </w:r>
          </w:p>
        </w:tc>
        <w:tc>
          <w:tcPr>
            <w:tcW w:w="720" w:type="dxa"/>
            <w:gridSpan w:val="2"/>
            <w:tcBorders>
              <w:bottom w:val="single" w:sz="6" w:space="0" w:color="auto"/>
            </w:tcBorders>
          </w:tcPr>
          <w:p w:rsidR="00B40966" w:rsidRDefault="00B40966">
            <w:pPr>
              <w:pStyle w:val="TableText"/>
              <w:jc w:val="center"/>
              <w:rPr>
                <w:sz w:val="20"/>
              </w:rPr>
            </w:pPr>
            <w:r>
              <w:rPr>
                <w:sz w:val="20"/>
              </w:rPr>
              <w:t>1</w:t>
            </w:r>
          </w:p>
        </w:tc>
        <w:tc>
          <w:tcPr>
            <w:tcW w:w="764" w:type="dxa"/>
            <w:gridSpan w:val="2"/>
            <w:tcBorders>
              <w:left w:val="single" w:sz="6" w:space="0" w:color="auto"/>
              <w:bottom w:val="single" w:sz="6" w:space="0" w:color="auto"/>
            </w:tcBorders>
          </w:tcPr>
          <w:p w:rsidR="00B40966" w:rsidRDefault="00B40966">
            <w:pPr>
              <w:pStyle w:val="TableText"/>
              <w:jc w:val="center"/>
              <w:rPr>
                <w:sz w:val="20"/>
              </w:rPr>
            </w:pPr>
            <w:r>
              <w:rPr>
                <w:sz w:val="20"/>
              </w:rPr>
              <w:t>23</w:t>
            </w:r>
          </w:p>
        </w:tc>
        <w:tc>
          <w:tcPr>
            <w:tcW w:w="832" w:type="dxa"/>
            <w:tcBorders>
              <w:bottom w:val="single" w:sz="6" w:space="0" w:color="auto"/>
            </w:tcBorders>
          </w:tcPr>
          <w:p w:rsidR="00B40966" w:rsidRDefault="00B40966">
            <w:pPr>
              <w:pStyle w:val="TableText"/>
              <w:jc w:val="center"/>
              <w:rPr>
                <w:sz w:val="20"/>
              </w:rPr>
            </w:pPr>
            <w:r>
              <w:rPr>
                <w:sz w:val="20"/>
              </w:rPr>
              <w:t>8</w:t>
            </w:r>
          </w:p>
        </w:tc>
        <w:tc>
          <w:tcPr>
            <w:tcW w:w="768" w:type="dxa"/>
            <w:tcBorders>
              <w:left w:val="single" w:sz="6" w:space="0" w:color="auto"/>
              <w:bottom w:val="single" w:sz="6" w:space="0" w:color="auto"/>
            </w:tcBorders>
          </w:tcPr>
          <w:p w:rsidR="00B40966" w:rsidRDefault="00B40966">
            <w:pPr>
              <w:pStyle w:val="TableText"/>
              <w:jc w:val="center"/>
              <w:rPr>
                <w:sz w:val="20"/>
              </w:rPr>
            </w:pPr>
            <w:r>
              <w:rPr>
                <w:sz w:val="20"/>
              </w:rPr>
              <w:t>19</w:t>
            </w:r>
          </w:p>
        </w:tc>
        <w:tc>
          <w:tcPr>
            <w:tcW w:w="786" w:type="dxa"/>
            <w:gridSpan w:val="2"/>
            <w:tcBorders>
              <w:bottom w:val="single" w:sz="6" w:space="0" w:color="auto"/>
            </w:tcBorders>
          </w:tcPr>
          <w:p w:rsidR="00B40966" w:rsidRDefault="00B40966">
            <w:pPr>
              <w:pStyle w:val="TableText"/>
              <w:jc w:val="center"/>
              <w:rPr>
                <w:sz w:val="20"/>
              </w:rPr>
            </w:pPr>
            <w:r>
              <w:rPr>
                <w:sz w:val="20"/>
              </w:rPr>
              <w:t>2</w:t>
            </w:r>
          </w:p>
        </w:tc>
        <w:tc>
          <w:tcPr>
            <w:tcW w:w="760" w:type="dxa"/>
            <w:tcBorders>
              <w:left w:val="single" w:sz="6" w:space="0" w:color="auto"/>
              <w:bottom w:val="single" w:sz="6" w:space="0" w:color="auto"/>
            </w:tcBorders>
          </w:tcPr>
          <w:p w:rsidR="00B40966" w:rsidRDefault="00B40966">
            <w:pPr>
              <w:pStyle w:val="TableText"/>
              <w:jc w:val="center"/>
              <w:rPr>
                <w:sz w:val="20"/>
              </w:rPr>
            </w:pPr>
            <w:r>
              <w:rPr>
                <w:sz w:val="20"/>
              </w:rPr>
              <w:t>13</w:t>
            </w:r>
          </w:p>
        </w:tc>
        <w:tc>
          <w:tcPr>
            <w:tcW w:w="722" w:type="dxa"/>
            <w:tcBorders>
              <w:bottom w:val="single" w:sz="6" w:space="0" w:color="auto"/>
            </w:tcBorders>
          </w:tcPr>
          <w:p w:rsidR="00B40966" w:rsidRDefault="00B40966">
            <w:pPr>
              <w:pStyle w:val="TableText"/>
              <w:jc w:val="center"/>
              <w:rPr>
                <w:sz w:val="20"/>
              </w:rPr>
            </w:pPr>
            <w:r>
              <w:rPr>
                <w:sz w:val="20"/>
              </w:rPr>
              <w:t>10</w:t>
            </w:r>
          </w:p>
        </w:tc>
        <w:tc>
          <w:tcPr>
            <w:tcW w:w="838" w:type="dxa"/>
            <w:gridSpan w:val="2"/>
            <w:tcBorders>
              <w:left w:val="single" w:sz="6" w:space="0" w:color="auto"/>
              <w:bottom w:val="single" w:sz="6" w:space="0" w:color="auto"/>
            </w:tcBorders>
          </w:tcPr>
          <w:p w:rsidR="00B40966" w:rsidRDefault="00B40966">
            <w:pPr>
              <w:pStyle w:val="TableText"/>
              <w:jc w:val="center"/>
              <w:rPr>
                <w:sz w:val="20"/>
              </w:rPr>
            </w:pPr>
            <w:r>
              <w:rPr>
                <w:sz w:val="20"/>
              </w:rPr>
              <w:t>7</w:t>
            </w:r>
          </w:p>
        </w:tc>
        <w:tc>
          <w:tcPr>
            <w:tcW w:w="662" w:type="dxa"/>
            <w:gridSpan w:val="2"/>
            <w:tcBorders>
              <w:bottom w:val="single" w:sz="6" w:space="0" w:color="auto"/>
            </w:tcBorders>
          </w:tcPr>
          <w:p w:rsidR="00B40966" w:rsidRDefault="00B40966">
            <w:pPr>
              <w:pStyle w:val="TableText"/>
              <w:jc w:val="center"/>
              <w:rPr>
                <w:sz w:val="20"/>
              </w:rPr>
            </w:pPr>
            <w:r>
              <w:rPr>
                <w:sz w:val="20"/>
              </w:rPr>
              <w:t>0</w:t>
            </w:r>
          </w:p>
        </w:tc>
      </w:tr>
    </w:tbl>
    <w:p w:rsidR="00B40966" w:rsidRDefault="00B40966">
      <w:pPr>
        <w:pStyle w:val="02TextLandscape"/>
        <w:sectPr w:rsidR="00B40966">
          <w:headerReference w:type="even" r:id="rId160"/>
          <w:headerReference w:type="default" r:id="rId161"/>
          <w:footerReference w:type="even" r:id="rId162"/>
          <w:footerReference w:type="default" r:id="rId163"/>
          <w:pgSz w:w="16839" w:h="11907" w:orient="landscape" w:code="9"/>
          <w:pgMar w:top="2300" w:right="3000" w:bottom="1900" w:left="2500" w:header="2480" w:footer="2100" w:gutter="0"/>
          <w:cols w:space="720"/>
          <w:docGrid w:linePitch="254"/>
        </w:sectPr>
      </w:pPr>
    </w:p>
    <w:p w:rsidR="00B40966" w:rsidRDefault="00B40966">
      <w:pPr>
        <w:pStyle w:val="Assectheading"/>
      </w:pPr>
      <w:r>
        <w:rPr>
          <w:rStyle w:val="charItals"/>
          <w:i/>
        </w:rPr>
        <w:t>Ratio of drum (barrel) or sheave diameter to rope</w:t>
      </w:r>
    </w:p>
    <w:p w:rsidR="00B40966" w:rsidRDefault="00B40966">
      <w:pPr>
        <w:pStyle w:val="Amain"/>
      </w:pPr>
      <w:r>
        <w:tab/>
        <w:t>(20)</w:t>
      </w:r>
      <w:r>
        <w:tab/>
        <w:t>When power operated and for rope speeds not greater than 120 feet per minute, the diameter of a drum (barrel) roller, sheave or quadrant measured at the surface on which the rope operates (where ungrooved) or at the bottom of the groove (where grooved) shall be not less than that provided in table 144.2 as relevant and appropriate to the construction of the rope concerned.</w:t>
      </w:r>
    </w:p>
    <w:p w:rsidR="00B40966" w:rsidRDefault="00B40966">
      <w:pPr>
        <w:pStyle w:val="Amain"/>
      </w:pPr>
      <w:r>
        <w:tab/>
        <w:t>(21)</w:t>
      </w:r>
      <w:r>
        <w:tab/>
        <w:t>For each increase in rope speed of 60 feet per minute, above 120 feet per minute, 7</w:t>
      </w:r>
      <w:r>
        <w:rPr>
          <w:position w:val="6"/>
          <w:sz w:val="18"/>
        </w:rPr>
        <w:t>1</w:t>
      </w:r>
      <w:r>
        <w:t>/</w:t>
      </w:r>
      <w:r>
        <w:rPr>
          <w:sz w:val="18"/>
        </w:rPr>
        <w:t>2</w:t>
      </w:r>
      <w:r>
        <w:rPr>
          <w:sz w:val="20"/>
        </w:rPr>
        <w:t>%</w:t>
      </w:r>
      <w:r>
        <w:t xml:space="preserve"> shall be added to the diameter of the drum, barrel, roller, sheave or quadrant.</w:t>
      </w:r>
    </w:p>
    <w:p w:rsidR="00B40966" w:rsidRDefault="00B40966">
      <w:pPr>
        <w:pStyle w:val="Amain"/>
      </w:pPr>
      <w:r>
        <w:tab/>
        <w:t>(22)</w:t>
      </w:r>
      <w:r>
        <w:tab/>
        <w:t>The ratio of drum, barrel, roller, sheave or quadrant diameter to rope diameter when hand operated shall be not less than 10, when measured at the surface on which the rope operates.</w:t>
      </w:r>
    </w:p>
    <w:p w:rsidR="00B40966" w:rsidRDefault="00B40966">
      <w:pPr>
        <w:pStyle w:val="TableHd"/>
      </w:pPr>
      <w:r>
        <w:t>Table 144.2</w:t>
      </w:r>
    </w:p>
    <w:tbl>
      <w:tblPr>
        <w:tblW w:w="0" w:type="auto"/>
        <w:tblLayout w:type="fixed"/>
        <w:tblCellMar>
          <w:left w:w="80" w:type="dxa"/>
          <w:right w:w="80" w:type="dxa"/>
        </w:tblCellMar>
        <w:tblLook w:val="0000" w:firstRow="0" w:lastRow="0" w:firstColumn="0" w:lastColumn="0" w:noHBand="0" w:noVBand="0"/>
      </w:tblPr>
      <w:tblGrid>
        <w:gridCol w:w="1200"/>
        <w:gridCol w:w="1320"/>
        <w:gridCol w:w="1940"/>
        <w:gridCol w:w="2820"/>
      </w:tblGrid>
      <w:tr w:rsidR="00B40966">
        <w:trPr>
          <w:cantSplit/>
          <w:tblHeader/>
        </w:trPr>
        <w:tc>
          <w:tcPr>
            <w:tcW w:w="4460" w:type="dxa"/>
            <w:gridSpan w:val="3"/>
            <w:tcBorders>
              <w:top w:val="single" w:sz="6" w:space="0" w:color="auto"/>
              <w:bottom w:val="single" w:sz="6" w:space="0" w:color="auto"/>
            </w:tcBorders>
          </w:tcPr>
          <w:p w:rsidR="00B40966" w:rsidRDefault="00B40966">
            <w:pPr>
              <w:pStyle w:val="TableColHd"/>
              <w:jc w:val="center"/>
            </w:pPr>
            <w:r>
              <w:t>rope construction</w:t>
            </w:r>
          </w:p>
        </w:tc>
        <w:tc>
          <w:tcPr>
            <w:tcW w:w="2820" w:type="dxa"/>
            <w:tcBorders>
              <w:top w:val="single" w:sz="6" w:space="0" w:color="auto"/>
              <w:left w:val="single" w:sz="6" w:space="0" w:color="auto"/>
            </w:tcBorders>
          </w:tcPr>
          <w:p w:rsidR="00B40966" w:rsidRDefault="00B40966">
            <w:pPr>
              <w:pStyle w:val="TableColHd"/>
            </w:pPr>
          </w:p>
        </w:tc>
      </w:tr>
      <w:tr w:rsidR="00B40966">
        <w:trPr>
          <w:cantSplit/>
          <w:tblHeader/>
        </w:trPr>
        <w:tc>
          <w:tcPr>
            <w:tcW w:w="1200" w:type="dxa"/>
            <w:vAlign w:val="bottom"/>
          </w:tcPr>
          <w:p w:rsidR="00B40966" w:rsidRDefault="00B40966">
            <w:pPr>
              <w:pStyle w:val="TableColHd"/>
            </w:pPr>
            <w:r>
              <w:t xml:space="preserve">number </w:t>
            </w:r>
            <w:r>
              <w:br/>
              <w:t>of strands</w:t>
            </w:r>
          </w:p>
        </w:tc>
        <w:tc>
          <w:tcPr>
            <w:tcW w:w="1320" w:type="dxa"/>
            <w:tcBorders>
              <w:left w:val="single" w:sz="6" w:space="0" w:color="auto"/>
              <w:bottom w:val="single" w:sz="6" w:space="0" w:color="auto"/>
              <w:right w:val="single" w:sz="6" w:space="0" w:color="auto"/>
            </w:tcBorders>
            <w:vAlign w:val="bottom"/>
          </w:tcPr>
          <w:p w:rsidR="00B40966" w:rsidRDefault="00B40966">
            <w:pPr>
              <w:pStyle w:val="TableColHd"/>
            </w:pPr>
            <w:r>
              <w:t>number of wires in each strand</w:t>
            </w:r>
          </w:p>
        </w:tc>
        <w:tc>
          <w:tcPr>
            <w:tcW w:w="1940" w:type="dxa"/>
            <w:tcBorders>
              <w:bottom w:val="single" w:sz="6" w:space="0" w:color="auto"/>
            </w:tcBorders>
            <w:vAlign w:val="bottom"/>
          </w:tcPr>
          <w:p w:rsidR="00B40966" w:rsidRDefault="00B40966">
            <w:pPr>
              <w:pStyle w:val="TableColHd"/>
            </w:pPr>
            <w:r>
              <w:t>note</w:t>
            </w:r>
          </w:p>
        </w:tc>
        <w:tc>
          <w:tcPr>
            <w:tcW w:w="2820" w:type="dxa"/>
            <w:tcBorders>
              <w:left w:val="single" w:sz="6" w:space="0" w:color="auto"/>
              <w:bottom w:val="single" w:sz="6" w:space="0" w:color="auto"/>
            </w:tcBorders>
            <w:vAlign w:val="bottom"/>
          </w:tcPr>
          <w:p w:rsidR="00B40966" w:rsidRDefault="00B40966">
            <w:pPr>
              <w:pStyle w:val="TableColHd"/>
            </w:pPr>
            <w:r>
              <w:t xml:space="preserve">minimum diameter of drum, </w:t>
            </w:r>
            <w:r>
              <w:br/>
              <w:t>barrel, roller, sheave or quadrant expressed in terms of ‘d’ the diameter of the rope concerned</w:t>
            </w:r>
          </w:p>
        </w:tc>
      </w:tr>
      <w:tr w:rsidR="00B40966">
        <w:trPr>
          <w:cantSplit/>
          <w:trHeight w:val="396"/>
        </w:trPr>
        <w:tc>
          <w:tcPr>
            <w:tcW w:w="1200" w:type="dxa"/>
          </w:tcPr>
          <w:p w:rsidR="00B40966" w:rsidRDefault="00B40966">
            <w:pPr>
              <w:pStyle w:val="TableText"/>
              <w:spacing w:before="80" w:after="0"/>
            </w:pPr>
            <w:r>
              <w:t>4</w:t>
            </w:r>
          </w:p>
        </w:tc>
        <w:tc>
          <w:tcPr>
            <w:tcW w:w="1320" w:type="dxa"/>
            <w:vMerge w:val="restart"/>
            <w:tcBorders>
              <w:top w:val="single" w:sz="6" w:space="0" w:color="auto"/>
              <w:left w:val="single" w:sz="6" w:space="0" w:color="auto"/>
              <w:right w:val="single" w:sz="6" w:space="0" w:color="auto"/>
            </w:tcBorders>
          </w:tcPr>
          <w:p w:rsidR="00B40966" w:rsidRDefault="00B40966">
            <w:pPr>
              <w:pStyle w:val="Formula"/>
              <w:jc w:val="left"/>
            </w:pPr>
            <w:r>
              <w:rPr>
                <w:position w:val="-66"/>
              </w:rPr>
              <w:object w:dxaOrig="440" w:dyaOrig="1440">
                <v:shape id="_x0000_i1054" type="#_x0000_t75" style="width:21.75pt;height:1in" o:ole="" fillcolor="window">
                  <v:imagedata r:id="rId164" o:title=""/>
                </v:shape>
                <o:OLEObject Type="Embed" ProgID="Equation.2" ShapeID="_x0000_i1054" DrawAspect="Content" ObjectID="_1595937071" r:id="rId165"/>
              </w:object>
            </w:r>
          </w:p>
        </w:tc>
        <w:tc>
          <w:tcPr>
            <w:tcW w:w="1940" w:type="dxa"/>
            <w:vMerge w:val="restart"/>
            <w:tcBorders>
              <w:top w:val="single" w:sz="6" w:space="0" w:color="auto"/>
            </w:tcBorders>
          </w:tcPr>
          <w:p w:rsidR="00B40966" w:rsidRDefault="00B40966">
            <w:pPr>
              <w:pStyle w:val="TableText"/>
            </w:pPr>
            <w:r>
              <w:tab/>
            </w:r>
          </w:p>
        </w:tc>
        <w:tc>
          <w:tcPr>
            <w:tcW w:w="2820" w:type="dxa"/>
            <w:vMerge w:val="restart"/>
            <w:tcBorders>
              <w:top w:val="single" w:sz="6" w:space="0" w:color="auto"/>
              <w:left w:val="single" w:sz="6" w:space="0" w:color="auto"/>
            </w:tcBorders>
          </w:tcPr>
          <w:p w:rsidR="00B40966" w:rsidRDefault="00B40966">
            <w:pPr>
              <w:pStyle w:val="TableText"/>
            </w:pPr>
            <w:r>
              <w:t>23d.</w:t>
            </w:r>
          </w:p>
        </w:tc>
      </w:tr>
      <w:tr w:rsidR="00B40966">
        <w:trPr>
          <w:cantSplit/>
          <w:trHeight w:val="393"/>
        </w:trPr>
        <w:tc>
          <w:tcPr>
            <w:tcW w:w="1200" w:type="dxa"/>
          </w:tcPr>
          <w:p w:rsidR="00B40966" w:rsidRDefault="00B40966">
            <w:pPr>
              <w:pStyle w:val="TableText"/>
              <w:spacing w:before="80" w:after="0"/>
            </w:pPr>
            <w:r>
              <w:t>6</w:t>
            </w:r>
          </w:p>
        </w:tc>
        <w:tc>
          <w:tcPr>
            <w:tcW w:w="1320" w:type="dxa"/>
            <w:vMerge/>
            <w:tcBorders>
              <w:top w:val="nil"/>
              <w:left w:val="single" w:sz="6" w:space="0" w:color="auto"/>
              <w:right w:val="single" w:sz="6" w:space="0" w:color="auto"/>
            </w:tcBorders>
          </w:tcPr>
          <w:p w:rsidR="00B40966" w:rsidRDefault="00B40966">
            <w:pPr>
              <w:pStyle w:val="Formula"/>
              <w:jc w:val="left"/>
            </w:pPr>
          </w:p>
        </w:tc>
        <w:tc>
          <w:tcPr>
            <w:tcW w:w="1940" w:type="dxa"/>
            <w:vMerge/>
            <w:tcBorders>
              <w:top w:val="nil"/>
            </w:tcBorders>
          </w:tcPr>
          <w:p w:rsidR="00B40966" w:rsidRDefault="00B40966">
            <w:pPr>
              <w:pStyle w:val="TableText"/>
            </w:pPr>
          </w:p>
        </w:tc>
        <w:tc>
          <w:tcPr>
            <w:tcW w:w="2820" w:type="dxa"/>
            <w:vMerge/>
            <w:tcBorders>
              <w:top w:val="nil"/>
              <w:left w:val="single" w:sz="6" w:space="0" w:color="auto"/>
            </w:tcBorders>
          </w:tcPr>
          <w:p w:rsidR="00B40966" w:rsidRDefault="00B40966">
            <w:pPr>
              <w:pStyle w:val="TableText"/>
            </w:pPr>
          </w:p>
        </w:tc>
      </w:tr>
      <w:tr w:rsidR="00B40966">
        <w:trPr>
          <w:cantSplit/>
          <w:trHeight w:val="393"/>
        </w:trPr>
        <w:tc>
          <w:tcPr>
            <w:tcW w:w="1200" w:type="dxa"/>
          </w:tcPr>
          <w:p w:rsidR="00B40966" w:rsidRDefault="00B40966">
            <w:pPr>
              <w:pStyle w:val="TableText"/>
              <w:spacing w:before="80" w:after="0"/>
            </w:pPr>
            <w:r>
              <w:t>6</w:t>
            </w:r>
          </w:p>
        </w:tc>
        <w:tc>
          <w:tcPr>
            <w:tcW w:w="1320" w:type="dxa"/>
            <w:vMerge/>
            <w:tcBorders>
              <w:top w:val="nil"/>
              <w:left w:val="single" w:sz="6" w:space="0" w:color="auto"/>
              <w:right w:val="single" w:sz="6" w:space="0" w:color="auto"/>
            </w:tcBorders>
          </w:tcPr>
          <w:p w:rsidR="00B40966" w:rsidRDefault="00B40966">
            <w:pPr>
              <w:pStyle w:val="Formula"/>
              <w:jc w:val="left"/>
            </w:pPr>
          </w:p>
        </w:tc>
        <w:tc>
          <w:tcPr>
            <w:tcW w:w="1940" w:type="dxa"/>
            <w:vMerge/>
            <w:tcBorders>
              <w:top w:val="nil"/>
            </w:tcBorders>
          </w:tcPr>
          <w:p w:rsidR="00B40966" w:rsidRDefault="00B40966">
            <w:pPr>
              <w:pStyle w:val="TableText"/>
            </w:pPr>
          </w:p>
        </w:tc>
        <w:tc>
          <w:tcPr>
            <w:tcW w:w="2820" w:type="dxa"/>
            <w:vMerge/>
            <w:tcBorders>
              <w:top w:val="nil"/>
              <w:left w:val="single" w:sz="6" w:space="0" w:color="auto"/>
            </w:tcBorders>
          </w:tcPr>
          <w:p w:rsidR="00B40966" w:rsidRDefault="00B40966">
            <w:pPr>
              <w:pStyle w:val="TableText"/>
            </w:pPr>
          </w:p>
        </w:tc>
      </w:tr>
      <w:tr w:rsidR="00B40966">
        <w:trPr>
          <w:cantSplit/>
          <w:trHeight w:val="393"/>
        </w:trPr>
        <w:tc>
          <w:tcPr>
            <w:tcW w:w="1200" w:type="dxa"/>
          </w:tcPr>
          <w:p w:rsidR="00B40966" w:rsidRDefault="00B40966">
            <w:pPr>
              <w:pStyle w:val="TableText"/>
              <w:spacing w:before="80" w:after="0"/>
            </w:pPr>
            <w:r>
              <w:t>6</w:t>
            </w:r>
          </w:p>
        </w:tc>
        <w:tc>
          <w:tcPr>
            <w:tcW w:w="1320" w:type="dxa"/>
            <w:vMerge/>
            <w:tcBorders>
              <w:top w:val="nil"/>
              <w:left w:val="single" w:sz="6" w:space="0" w:color="auto"/>
              <w:right w:val="single" w:sz="6" w:space="0" w:color="auto"/>
            </w:tcBorders>
          </w:tcPr>
          <w:p w:rsidR="00B40966" w:rsidRDefault="00B40966">
            <w:pPr>
              <w:pStyle w:val="Formula"/>
              <w:jc w:val="left"/>
            </w:pPr>
          </w:p>
        </w:tc>
        <w:tc>
          <w:tcPr>
            <w:tcW w:w="1940" w:type="dxa"/>
            <w:vMerge/>
            <w:tcBorders>
              <w:top w:val="nil"/>
            </w:tcBorders>
          </w:tcPr>
          <w:p w:rsidR="00B40966" w:rsidRDefault="00B40966">
            <w:pPr>
              <w:pStyle w:val="TableText"/>
            </w:pPr>
          </w:p>
        </w:tc>
        <w:tc>
          <w:tcPr>
            <w:tcW w:w="2820" w:type="dxa"/>
            <w:vMerge/>
            <w:tcBorders>
              <w:top w:val="nil"/>
              <w:left w:val="single" w:sz="6" w:space="0" w:color="auto"/>
            </w:tcBorders>
          </w:tcPr>
          <w:p w:rsidR="00B40966" w:rsidRDefault="00B40966">
            <w:pPr>
              <w:pStyle w:val="TableText"/>
            </w:pPr>
          </w:p>
        </w:tc>
      </w:tr>
      <w:tr w:rsidR="00B40966">
        <w:trPr>
          <w:cantSplit/>
          <w:trHeight w:val="345"/>
        </w:trPr>
        <w:tc>
          <w:tcPr>
            <w:tcW w:w="1200" w:type="dxa"/>
          </w:tcPr>
          <w:p w:rsidR="00B40966" w:rsidRDefault="00B40966">
            <w:pPr>
              <w:pStyle w:val="TableText"/>
            </w:pPr>
            <w:r>
              <w:t>6</w:t>
            </w:r>
          </w:p>
        </w:tc>
        <w:tc>
          <w:tcPr>
            <w:tcW w:w="1320" w:type="dxa"/>
            <w:vMerge w:val="restart"/>
            <w:tcBorders>
              <w:left w:val="single" w:sz="6" w:space="0" w:color="auto"/>
              <w:right w:val="single" w:sz="6" w:space="0" w:color="auto"/>
            </w:tcBorders>
          </w:tcPr>
          <w:p w:rsidR="00B40966" w:rsidRDefault="00B40966">
            <w:pPr>
              <w:pStyle w:val="Formula"/>
              <w:jc w:val="left"/>
            </w:pPr>
            <w:r>
              <w:object w:dxaOrig="440" w:dyaOrig="740">
                <v:shape id="_x0000_i1055" type="#_x0000_t75" style="width:21.75pt;height:36.75pt" o:ole="" fillcolor="window">
                  <v:imagedata r:id="rId166" o:title=""/>
                </v:shape>
                <o:OLEObject Type="Embed" ProgID="Equation.2" ShapeID="_x0000_i1055" DrawAspect="Content" ObjectID="_1595937072" r:id="rId167"/>
              </w:object>
            </w:r>
          </w:p>
        </w:tc>
        <w:tc>
          <w:tcPr>
            <w:tcW w:w="1940" w:type="dxa"/>
            <w:vMerge w:val="restart"/>
          </w:tcPr>
          <w:p w:rsidR="00B40966" w:rsidRDefault="00B40966">
            <w:pPr>
              <w:pStyle w:val="TableText"/>
            </w:pPr>
            <w:r>
              <w:tab/>
            </w:r>
          </w:p>
        </w:tc>
        <w:tc>
          <w:tcPr>
            <w:tcW w:w="2820" w:type="dxa"/>
            <w:vMerge w:val="restart"/>
            <w:tcBorders>
              <w:left w:val="single" w:sz="6" w:space="0" w:color="auto"/>
            </w:tcBorders>
          </w:tcPr>
          <w:p w:rsidR="00B40966" w:rsidRDefault="00B40966">
            <w:pPr>
              <w:pStyle w:val="TableText"/>
            </w:pPr>
            <w:r>
              <w:t>19d.</w:t>
            </w:r>
          </w:p>
        </w:tc>
      </w:tr>
      <w:tr w:rsidR="00B40966">
        <w:trPr>
          <w:cantSplit/>
          <w:trHeight w:val="345"/>
        </w:trPr>
        <w:tc>
          <w:tcPr>
            <w:tcW w:w="1200" w:type="dxa"/>
          </w:tcPr>
          <w:p w:rsidR="00B40966" w:rsidRDefault="00B40966">
            <w:pPr>
              <w:pStyle w:val="TableText"/>
            </w:pPr>
            <w:r>
              <w:t>6</w:t>
            </w:r>
          </w:p>
        </w:tc>
        <w:tc>
          <w:tcPr>
            <w:tcW w:w="1320" w:type="dxa"/>
            <w:vMerge/>
            <w:tcBorders>
              <w:left w:val="single" w:sz="6" w:space="0" w:color="auto"/>
              <w:right w:val="single" w:sz="6" w:space="0" w:color="auto"/>
            </w:tcBorders>
          </w:tcPr>
          <w:p w:rsidR="00B40966" w:rsidRDefault="00B40966">
            <w:pPr>
              <w:pStyle w:val="allsections"/>
              <w:spacing w:before="0" w:after="0"/>
              <w:ind w:firstLine="0"/>
              <w:rPr>
                <w:color w:val="000000"/>
                <w:sz w:val="18"/>
              </w:rPr>
            </w:pPr>
          </w:p>
        </w:tc>
        <w:tc>
          <w:tcPr>
            <w:tcW w:w="1940" w:type="dxa"/>
            <w:vMerge/>
          </w:tcPr>
          <w:p w:rsidR="00B40966" w:rsidRDefault="00B40966">
            <w:pPr>
              <w:pStyle w:val="TableText"/>
            </w:pPr>
          </w:p>
        </w:tc>
        <w:tc>
          <w:tcPr>
            <w:tcW w:w="2820" w:type="dxa"/>
            <w:vMerge/>
            <w:tcBorders>
              <w:left w:val="single" w:sz="6" w:space="0" w:color="auto"/>
            </w:tcBorders>
          </w:tcPr>
          <w:p w:rsidR="00B40966" w:rsidRDefault="00B40966">
            <w:pPr>
              <w:pStyle w:val="TableText"/>
            </w:pPr>
          </w:p>
        </w:tc>
      </w:tr>
      <w:tr w:rsidR="00B40966">
        <w:trPr>
          <w:cantSplit/>
        </w:trPr>
        <w:tc>
          <w:tcPr>
            <w:tcW w:w="1200" w:type="dxa"/>
          </w:tcPr>
          <w:p w:rsidR="00B40966" w:rsidRDefault="00B40966">
            <w:pPr>
              <w:pStyle w:val="TableText"/>
            </w:pPr>
            <w:r>
              <w:t>6</w:t>
            </w:r>
          </w:p>
        </w:tc>
        <w:tc>
          <w:tcPr>
            <w:tcW w:w="1320" w:type="dxa"/>
            <w:tcBorders>
              <w:left w:val="single" w:sz="6" w:space="0" w:color="auto"/>
              <w:right w:val="single" w:sz="6" w:space="0" w:color="auto"/>
            </w:tcBorders>
          </w:tcPr>
          <w:p w:rsidR="00B40966" w:rsidRDefault="00B40966">
            <w:pPr>
              <w:pStyle w:val="TableText"/>
            </w:pPr>
            <w:r>
              <w:t>37</w:t>
            </w:r>
          </w:p>
        </w:tc>
        <w:tc>
          <w:tcPr>
            <w:tcW w:w="1940" w:type="dxa"/>
          </w:tcPr>
          <w:p w:rsidR="00B40966" w:rsidRDefault="00B40966">
            <w:pPr>
              <w:pStyle w:val="TableText"/>
            </w:pPr>
            <w:r>
              <w:tab/>
            </w:r>
          </w:p>
        </w:tc>
        <w:tc>
          <w:tcPr>
            <w:tcW w:w="2820" w:type="dxa"/>
            <w:tcBorders>
              <w:left w:val="single" w:sz="6" w:space="0" w:color="auto"/>
            </w:tcBorders>
          </w:tcPr>
          <w:p w:rsidR="00B40966" w:rsidRDefault="00B40966">
            <w:pPr>
              <w:pStyle w:val="TableText"/>
            </w:pPr>
            <w:r>
              <w:t>16</w:t>
            </w:r>
            <w:r>
              <w:rPr>
                <w:position w:val="6"/>
                <w:sz w:val="18"/>
              </w:rPr>
              <w:t>1</w:t>
            </w:r>
            <w:r>
              <w:t>/</w:t>
            </w:r>
            <w:r>
              <w:rPr>
                <w:sz w:val="18"/>
              </w:rPr>
              <w:t>2</w:t>
            </w:r>
            <w:r>
              <w:t xml:space="preserve"> d.</w:t>
            </w:r>
          </w:p>
        </w:tc>
      </w:tr>
      <w:tr w:rsidR="00B40966">
        <w:trPr>
          <w:cantSplit/>
        </w:trPr>
        <w:tc>
          <w:tcPr>
            <w:tcW w:w="1200" w:type="dxa"/>
          </w:tcPr>
          <w:p w:rsidR="00B40966" w:rsidRDefault="00B40966">
            <w:pPr>
              <w:pStyle w:val="TableText"/>
            </w:pPr>
            <w:r>
              <w:t>6</w:t>
            </w:r>
          </w:p>
        </w:tc>
        <w:tc>
          <w:tcPr>
            <w:tcW w:w="1320" w:type="dxa"/>
            <w:tcBorders>
              <w:left w:val="single" w:sz="6" w:space="0" w:color="auto"/>
              <w:right w:val="single" w:sz="6" w:space="0" w:color="auto"/>
            </w:tcBorders>
          </w:tcPr>
          <w:p w:rsidR="00B40966" w:rsidRDefault="00B40966">
            <w:pPr>
              <w:pStyle w:val="TableText"/>
            </w:pPr>
            <w:r>
              <w:t>61</w:t>
            </w:r>
          </w:p>
        </w:tc>
        <w:tc>
          <w:tcPr>
            <w:tcW w:w="1940" w:type="dxa"/>
          </w:tcPr>
          <w:p w:rsidR="00B40966" w:rsidRDefault="00B40966">
            <w:pPr>
              <w:pStyle w:val="TableText"/>
            </w:pPr>
            <w:r>
              <w:tab/>
            </w:r>
          </w:p>
        </w:tc>
        <w:tc>
          <w:tcPr>
            <w:tcW w:w="2820" w:type="dxa"/>
            <w:tcBorders>
              <w:left w:val="single" w:sz="6" w:space="0" w:color="auto"/>
            </w:tcBorders>
          </w:tcPr>
          <w:p w:rsidR="00B40966" w:rsidRDefault="00B40966">
            <w:pPr>
              <w:pStyle w:val="TableText"/>
            </w:pPr>
            <w:r>
              <w:t>15</w:t>
            </w:r>
            <w:r>
              <w:rPr>
                <w:position w:val="6"/>
                <w:sz w:val="18"/>
              </w:rPr>
              <w:t>1</w:t>
            </w:r>
            <w:r>
              <w:t>/</w:t>
            </w:r>
            <w:r>
              <w:rPr>
                <w:sz w:val="18"/>
              </w:rPr>
              <w:t>2</w:t>
            </w:r>
            <w:r>
              <w:t xml:space="preserve"> d.</w:t>
            </w:r>
          </w:p>
        </w:tc>
      </w:tr>
      <w:tr w:rsidR="00B40966">
        <w:trPr>
          <w:cantSplit/>
        </w:trPr>
        <w:tc>
          <w:tcPr>
            <w:tcW w:w="1200" w:type="dxa"/>
          </w:tcPr>
          <w:p w:rsidR="00B40966" w:rsidRDefault="00B40966">
            <w:pPr>
              <w:pStyle w:val="TableText"/>
            </w:pPr>
            <w:r>
              <w:t>6</w:t>
            </w:r>
          </w:p>
        </w:tc>
        <w:tc>
          <w:tcPr>
            <w:tcW w:w="1320" w:type="dxa"/>
            <w:tcBorders>
              <w:left w:val="single" w:sz="6" w:space="0" w:color="auto"/>
              <w:right w:val="single" w:sz="6" w:space="0" w:color="auto"/>
            </w:tcBorders>
          </w:tcPr>
          <w:p w:rsidR="00B40966" w:rsidRDefault="00B40966">
            <w:pPr>
              <w:pStyle w:val="TableText"/>
            </w:pPr>
            <w:r>
              <w:t>10</w:t>
            </w:r>
          </w:p>
        </w:tc>
        <w:tc>
          <w:tcPr>
            <w:tcW w:w="1940" w:type="dxa"/>
          </w:tcPr>
          <w:p w:rsidR="00B40966" w:rsidRDefault="00B40966">
            <w:pPr>
              <w:pStyle w:val="TableText"/>
            </w:pPr>
            <w:r>
              <w:t>flattened strand</w:t>
            </w:r>
          </w:p>
        </w:tc>
        <w:tc>
          <w:tcPr>
            <w:tcW w:w="2820" w:type="dxa"/>
            <w:tcBorders>
              <w:left w:val="single" w:sz="6" w:space="0" w:color="auto"/>
            </w:tcBorders>
          </w:tcPr>
          <w:p w:rsidR="00B40966" w:rsidRDefault="00B40966">
            <w:pPr>
              <w:pStyle w:val="TableText"/>
            </w:pPr>
            <w:r>
              <w:t>33d.</w:t>
            </w:r>
          </w:p>
        </w:tc>
      </w:tr>
      <w:tr w:rsidR="00B40966">
        <w:trPr>
          <w:cantSplit/>
        </w:trPr>
        <w:tc>
          <w:tcPr>
            <w:tcW w:w="1200" w:type="dxa"/>
          </w:tcPr>
          <w:p w:rsidR="00B40966" w:rsidRDefault="00B40966">
            <w:pPr>
              <w:pStyle w:val="TableText"/>
            </w:pPr>
            <w:r>
              <w:t>6</w:t>
            </w:r>
          </w:p>
        </w:tc>
        <w:tc>
          <w:tcPr>
            <w:tcW w:w="1320" w:type="dxa"/>
            <w:tcBorders>
              <w:left w:val="single" w:sz="6" w:space="0" w:color="auto"/>
              <w:right w:val="single" w:sz="6" w:space="0" w:color="auto"/>
            </w:tcBorders>
          </w:tcPr>
          <w:p w:rsidR="00B40966" w:rsidRDefault="00B40966">
            <w:pPr>
              <w:pStyle w:val="TableText"/>
            </w:pPr>
            <w:r>
              <w:t>25</w:t>
            </w:r>
          </w:p>
        </w:tc>
        <w:tc>
          <w:tcPr>
            <w:tcW w:w="1940" w:type="dxa"/>
          </w:tcPr>
          <w:p w:rsidR="00B40966" w:rsidRDefault="00B40966">
            <w:pPr>
              <w:pStyle w:val="TableText"/>
            </w:pPr>
            <w:r>
              <w:t>flattened strand</w:t>
            </w:r>
          </w:p>
        </w:tc>
        <w:tc>
          <w:tcPr>
            <w:tcW w:w="2820" w:type="dxa"/>
            <w:tcBorders>
              <w:left w:val="single" w:sz="6" w:space="0" w:color="auto"/>
            </w:tcBorders>
          </w:tcPr>
          <w:p w:rsidR="00B40966" w:rsidRDefault="00B40966">
            <w:pPr>
              <w:pStyle w:val="TableText"/>
            </w:pPr>
            <w:r>
              <w:t>27d.</w:t>
            </w:r>
          </w:p>
        </w:tc>
      </w:tr>
      <w:tr w:rsidR="00B40966">
        <w:trPr>
          <w:cantSplit/>
        </w:trPr>
        <w:tc>
          <w:tcPr>
            <w:tcW w:w="1200" w:type="dxa"/>
          </w:tcPr>
          <w:p w:rsidR="00B40966" w:rsidRDefault="00B40966">
            <w:pPr>
              <w:pStyle w:val="TableText"/>
            </w:pPr>
            <w:r>
              <w:t>6</w:t>
            </w:r>
          </w:p>
        </w:tc>
        <w:tc>
          <w:tcPr>
            <w:tcW w:w="1320" w:type="dxa"/>
            <w:tcBorders>
              <w:left w:val="single" w:sz="6" w:space="0" w:color="auto"/>
              <w:right w:val="single" w:sz="6" w:space="0" w:color="auto"/>
            </w:tcBorders>
          </w:tcPr>
          <w:p w:rsidR="00B40966" w:rsidRDefault="00B40966">
            <w:pPr>
              <w:pStyle w:val="TableText"/>
            </w:pPr>
            <w:r>
              <w:t>27</w:t>
            </w:r>
          </w:p>
        </w:tc>
        <w:tc>
          <w:tcPr>
            <w:tcW w:w="1940" w:type="dxa"/>
          </w:tcPr>
          <w:p w:rsidR="00B40966" w:rsidRDefault="00B40966">
            <w:pPr>
              <w:pStyle w:val="TableText"/>
            </w:pPr>
            <w:r>
              <w:t>flattened strand</w:t>
            </w:r>
          </w:p>
        </w:tc>
        <w:tc>
          <w:tcPr>
            <w:tcW w:w="2820" w:type="dxa"/>
            <w:tcBorders>
              <w:left w:val="single" w:sz="6" w:space="0" w:color="auto"/>
            </w:tcBorders>
          </w:tcPr>
          <w:p w:rsidR="00B40966" w:rsidRDefault="00B40966">
            <w:pPr>
              <w:pStyle w:val="TableText"/>
            </w:pPr>
            <w:r>
              <w:t>25d.</w:t>
            </w:r>
          </w:p>
        </w:tc>
      </w:tr>
      <w:tr w:rsidR="00B40966">
        <w:trPr>
          <w:cantSplit/>
        </w:trPr>
        <w:tc>
          <w:tcPr>
            <w:tcW w:w="1200" w:type="dxa"/>
          </w:tcPr>
          <w:p w:rsidR="00B40966" w:rsidRDefault="00B40966">
            <w:pPr>
              <w:pStyle w:val="TableText"/>
            </w:pPr>
            <w:r>
              <w:t>8</w:t>
            </w:r>
          </w:p>
        </w:tc>
        <w:tc>
          <w:tcPr>
            <w:tcW w:w="1320" w:type="dxa"/>
            <w:tcBorders>
              <w:left w:val="single" w:sz="6" w:space="0" w:color="auto"/>
              <w:right w:val="single" w:sz="6" w:space="0" w:color="auto"/>
            </w:tcBorders>
          </w:tcPr>
          <w:p w:rsidR="00B40966" w:rsidRDefault="00B40966">
            <w:pPr>
              <w:pStyle w:val="TableText"/>
            </w:pPr>
            <w:r>
              <w:t>19</w:t>
            </w:r>
          </w:p>
        </w:tc>
        <w:tc>
          <w:tcPr>
            <w:tcW w:w="1940" w:type="dxa"/>
          </w:tcPr>
          <w:p w:rsidR="00B40966" w:rsidRDefault="00B40966">
            <w:pPr>
              <w:pStyle w:val="TableText"/>
            </w:pPr>
            <w:r>
              <w:t>flattened strand</w:t>
            </w:r>
          </w:p>
        </w:tc>
        <w:tc>
          <w:tcPr>
            <w:tcW w:w="2820" w:type="dxa"/>
            <w:tcBorders>
              <w:left w:val="single" w:sz="6" w:space="0" w:color="auto"/>
            </w:tcBorders>
          </w:tcPr>
          <w:p w:rsidR="00B40966" w:rsidRDefault="00B40966">
            <w:pPr>
              <w:pStyle w:val="TableText"/>
            </w:pPr>
            <w:r>
              <w:t>17</w:t>
            </w:r>
            <w:r>
              <w:rPr>
                <w:position w:val="6"/>
                <w:sz w:val="18"/>
              </w:rPr>
              <w:t>1</w:t>
            </w:r>
            <w:r>
              <w:t>/</w:t>
            </w:r>
            <w:r>
              <w:rPr>
                <w:sz w:val="18"/>
              </w:rPr>
              <w:t>2</w:t>
            </w:r>
            <w:r>
              <w:t xml:space="preserve"> d.</w:t>
            </w:r>
          </w:p>
        </w:tc>
      </w:tr>
      <w:tr w:rsidR="00B40966">
        <w:trPr>
          <w:cantSplit/>
        </w:trPr>
        <w:tc>
          <w:tcPr>
            <w:tcW w:w="1200" w:type="dxa"/>
          </w:tcPr>
          <w:p w:rsidR="00B40966" w:rsidRDefault="00B40966">
            <w:pPr>
              <w:pStyle w:val="TableText"/>
            </w:pPr>
            <w:r>
              <w:t>17</w:t>
            </w:r>
          </w:p>
        </w:tc>
        <w:tc>
          <w:tcPr>
            <w:tcW w:w="1320" w:type="dxa"/>
            <w:tcBorders>
              <w:left w:val="single" w:sz="6" w:space="0" w:color="auto"/>
              <w:right w:val="single" w:sz="6" w:space="0" w:color="auto"/>
            </w:tcBorders>
          </w:tcPr>
          <w:p w:rsidR="00B40966" w:rsidRDefault="00B40966">
            <w:pPr>
              <w:pStyle w:val="TableText"/>
            </w:pPr>
            <w:r>
              <w:t>7</w:t>
            </w:r>
          </w:p>
        </w:tc>
        <w:tc>
          <w:tcPr>
            <w:tcW w:w="1940" w:type="dxa"/>
          </w:tcPr>
          <w:p w:rsidR="00B40966" w:rsidRDefault="00B40966">
            <w:pPr>
              <w:pStyle w:val="TableText"/>
            </w:pPr>
            <w:r>
              <w:t>non-spin</w:t>
            </w:r>
          </w:p>
        </w:tc>
        <w:tc>
          <w:tcPr>
            <w:tcW w:w="2820" w:type="dxa"/>
            <w:tcBorders>
              <w:left w:val="single" w:sz="6" w:space="0" w:color="auto"/>
            </w:tcBorders>
          </w:tcPr>
          <w:p w:rsidR="00B40966" w:rsidRDefault="00B40966">
            <w:pPr>
              <w:pStyle w:val="TableText"/>
            </w:pPr>
            <w:r>
              <w:t>20d.</w:t>
            </w:r>
          </w:p>
        </w:tc>
      </w:tr>
      <w:tr w:rsidR="00B40966">
        <w:trPr>
          <w:cantSplit/>
        </w:trPr>
        <w:tc>
          <w:tcPr>
            <w:tcW w:w="1200" w:type="dxa"/>
            <w:tcBorders>
              <w:bottom w:val="single" w:sz="6" w:space="0" w:color="auto"/>
            </w:tcBorders>
          </w:tcPr>
          <w:p w:rsidR="00B40966" w:rsidRDefault="00B40966">
            <w:pPr>
              <w:pStyle w:val="TableText"/>
            </w:pPr>
            <w:r>
              <w:t>34</w:t>
            </w:r>
          </w:p>
        </w:tc>
        <w:tc>
          <w:tcPr>
            <w:tcW w:w="1320" w:type="dxa"/>
            <w:tcBorders>
              <w:left w:val="single" w:sz="6" w:space="0" w:color="auto"/>
              <w:bottom w:val="single" w:sz="6" w:space="0" w:color="auto"/>
              <w:right w:val="single" w:sz="6" w:space="0" w:color="auto"/>
            </w:tcBorders>
          </w:tcPr>
          <w:p w:rsidR="00B40966" w:rsidRDefault="00B40966">
            <w:pPr>
              <w:pStyle w:val="TableText"/>
            </w:pPr>
            <w:r>
              <w:t>7</w:t>
            </w:r>
          </w:p>
        </w:tc>
        <w:tc>
          <w:tcPr>
            <w:tcW w:w="1940" w:type="dxa"/>
            <w:tcBorders>
              <w:bottom w:val="single" w:sz="6" w:space="0" w:color="auto"/>
            </w:tcBorders>
          </w:tcPr>
          <w:p w:rsidR="00B40966" w:rsidRDefault="00B40966">
            <w:pPr>
              <w:pStyle w:val="TableText"/>
            </w:pPr>
            <w:r>
              <w:t>non-spin</w:t>
            </w:r>
          </w:p>
        </w:tc>
        <w:tc>
          <w:tcPr>
            <w:tcW w:w="2820" w:type="dxa"/>
            <w:tcBorders>
              <w:left w:val="single" w:sz="6" w:space="0" w:color="auto"/>
              <w:bottom w:val="single" w:sz="6" w:space="0" w:color="auto"/>
            </w:tcBorders>
          </w:tcPr>
          <w:p w:rsidR="00B40966" w:rsidRDefault="00B40966">
            <w:pPr>
              <w:pStyle w:val="TableText"/>
            </w:pPr>
            <w:r>
              <w:t>16</w:t>
            </w:r>
            <w:r>
              <w:rPr>
                <w:position w:val="6"/>
                <w:sz w:val="18"/>
              </w:rPr>
              <w:t>1</w:t>
            </w:r>
            <w:r>
              <w:t>/</w:t>
            </w:r>
            <w:r>
              <w:rPr>
                <w:sz w:val="18"/>
              </w:rPr>
              <w:t>2</w:t>
            </w:r>
            <w:r>
              <w:t xml:space="preserve"> d.</w:t>
            </w:r>
          </w:p>
        </w:tc>
      </w:tr>
    </w:tbl>
    <w:p w:rsidR="00B40966" w:rsidRDefault="00B40966"/>
    <w:p w:rsidR="00B40966" w:rsidRDefault="00B40966">
      <w:pPr>
        <w:pStyle w:val="Assectheading"/>
        <w:rPr>
          <w:i w:val="0"/>
        </w:rPr>
      </w:pPr>
      <w:r>
        <w:rPr>
          <w:rStyle w:val="charItals"/>
          <w:i/>
        </w:rPr>
        <w:t>Equalising sheaves</w:t>
      </w:r>
    </w:p>
    <w:p w:rsidR="00B40966" w:rsidRDefault="00B40966">
      <w:pPr>
        <w:pStyle w:val="Amain"/>
      </w:pPr>
      <w:r>
        <w:tab/>
        <w:t>(23)</w:t>
      </w:r>
      <w:r>
        <w:tab/>
        <w:t>Equalising sheaves and analogous media shall have diameters at the bottoms of the grooves not less than 15 times the diameter of the ropes concerned.</w:t>
      </w:r>
    </w:p>
    <w:p w:rsidR="00B40966" w:rsidRDefault="00B40966">
      <w:pPr>
        <w:pStyle w:val="Assectheading"/>
      </w:pPr>
      <w:r>
        <w:rPr>
          <w:rStyle w:val="charItals"/>
          <w:i/>
        </w:rPr>
        <w:t>Angle of lead of rope to and from drums or sheaves—for grooved drums or sheaves</w:t>
      </w:r>
    </w:p>
    <w:p w:rsidR="00B40966" w:rsidRDefault="00B40966">
      <w:pPr>
        <w:pStyle w:val="Amain"/>
      </w:pPr>
      <w:r>
        <w:tab/>
        <w:t>(24)</w:t>
      </w:r>
      <w:r>
        <w:tab/>
      </w:r>
      <w:r>
        <w:rPr>
          <w:rStyle w:val="charItals"/>
          <w:i w:val="0"/>
        </w:rPr>
        <w:t>T</w:t>
      </w:r>
      <w:r>
        <w:t>he maximum lead angle shall be such that there is no danger of the rope being drawn out of its bed in the groove and shall not exceed 5° (1 in 12) each side of a plane perpendicular to the axis of rotation of the drum or sheave.</w:t>
      </w:r>
    </w:p>
    <w:p w:rsidR="00B40966" w:rsidRDefault="00B40966">
      <w:pPr>
        <w:pStyle w:val="Assectheading"/>
      </w:pPr>
      <w:r>
        <w:rPr>
          <w:rStyle w:val="charItals"/>
          <w:i/>
        </w:rPr>
        <w:t>Angle of lead of rope to and from drums or sheaves—for ungrooved drums</w:t>
      </w:r>
    </w:p>
    <w:p w:rsidR="00B40966" w:rsidRDefault="00B40966">
      <w:pPr>
        <w:pStyle w:val="Amain"/>
      </w:pPr>
      <w:r>
        <w:tab/>
        <w:t>(25)</w:t>
      </w:r>
      <w:r>
        <w:tab/>
      </w:r>
      <w:r>
        <w:rPr>
          <w:rStyle w:val="charItals"/>
          <w:i w:val="0"/>
        </w:rPr>
        <w:t>T</w:t>
      </w:r>
      <w:r>
        <w:t>he maximum lead angle shall be such that there is no danger of the rope ‘bunching’ on the drum and failing to lay correctly on it, and shall not exceed 3° (1 in 19) each side of a plane perpendicular to the axis of rotation of the drum.</w:t>
      </w:r>
    </w:p>
    <w:p w:rsidR="00B40966" w:rsidRDefault="00B40966">
      <w:pPr>
        <w:pStyle w:val="Assectheading"/>
      </w:pPr>
      <w:r>
        <w:rPr>
          <w:rStyle w:val="charItals"/>
          <w:i/>
        </w:rPr>
        <w:t>Grooving of drums</w:t>
      </w:r>
    </w:p>
    <w:p w:rsidR="00B40966" w:rsidRDefault="00B40966">
      <w:pPr>
        <w:pStyle w:val="Amain"/>
      </w:pPr>
      <w:r>
        <w:tab/>
        <w:t>(26)</w:t>
      </w:r>
      <w:r>
        <w:tab/>
        <w:t>If drums are grooved the grooves shall be machined and the contour at the bottom of the grooves shall be circular over an angle of 120°.</w:t>
      </w:r>
    </w:p>
    <w:p w:rsidR="00B40966" w:rsidRDefault="00B40966">
      <w:pPr>
        <w:pStyle w:val="Amain"/>
      </w:pPr>
      <w:r>
        <w:tab/>
        <w:t>(27)</w:t>
      </w:r>
      <w:r>
        <w:tab/>
        <w:t>The radius of the grooves shall be as shown in table 144.3.</w:t>
      </w:r>
    </w:p>
    <w:p w:rsidR="00B40966" w:rsidRDefault="00B40966">
      <w:pPr>
        <w:pStyle w:val="TableHd"/>
        <w:ind w:left="1425" w:hanging="1311"/>
      </w:pPr>
      <w:r>
        <w:t>Table 144.3</w:t>
      </w:r>
      <w:r>
        <w:tab/>
        <w:t>Radius of grooves in rope drums</w:t>
      </w:r>
    </w:p>
    <w:tbl>
      <w:tblPr>
        <w:tblW w:w="0" w:type="auto"/>
        <w:tblInd w:w="200" w:type="dxa"/>
        <w:tblLayout w:type="fixed"/>
        <w:tblCellMar>
          <w:left w:w="80" w:type="dxa"/>
          <w:right w:w="80" w:type="dxa"/>
        </w:tblCellMar>
        <w:tblLook w:val="0000" w:firstRow="0" w:lastRow="0" w:firstColumn="0" w:lastColumn="0" w:noHBand="0" w:noVBand="0"/>
      </w:tblPr>
      <w:tblGrid>
        <w:gridCol w:w="3300"/>
        <w:gridCol w:w="4218"/>
      </w:tblGrid>
      <w:tr w:rsidR="00B40966">
        <w:trPr>
          <w:cantSplit/>
        </w:trPr>
        <w:tc>
          <w:tcPr>
            <w:tcW w:w="3300" w:type="dxa"/>
          </w:tcPr>
          <w:p w:rsidR="00B40966" w:rsidRDefault="00B40966">
            <w:pPr>
              <w:pStyle w:val="TableText"/>
            </w:pPr>
            <w:r>
              <w:t>for ropes up to and including 2 inches circumference</w:t>
            </w:r>
          </w:p>
        </w:tc>
        <w:tc>
          <w:tcPr>
            <w:tcW w:w="4218" w:type="dxa"/>
          </w:tcPr>
          <w:p w:rsidR="00B40966" w:rsidRDefault="00B40966">
            <w:pPr>
              <w:pStyle w:val="TableText"/>
              <w:ind w:left="832"/>
            </w:pPr>
            <w:r>
              <w:t xml:space="preserve">radius of rope plus </w:t>
            </w:r>
            <w:r>
              <w:rPr>
                <w:position w:val="6"/>
                <w:sz w:val="18"/>
              </w:rPr>
              <w:t>1</w:t>
            </w:r>
            <w:r>
              <w:t>/</w:t>
            </w:r>
            <w:r>
              <w:rPr>
                <w:sz w:val="18"/>
              </w:rPr>
              <w:t>32</w:t>
            </w:r>
            <w:r>
              <w:t xml:space="preserve"> of an inch</w:t>
            </w:r>
          </w:p>
        </w:tc>
      </w:tr>
      <w:tr w:rsidR="00B40966">
        <w:trPr>
          <w:cantSplit/>
        </w:trPr>
        <w:tc>
          <w:tcPr>
            <w:tcW w:w="3300" w:type="dxa"/>
          </w:tcPr>
          <w:p w:rsidR="00B40966" w:rsidRDefault="00B40966">
            <w:pPr>
              <w:pStyle w:val="TableText"/>
            </w:pPr>
            <w:r>
              <w:t>for ropes of 2</w:t>
            </w:r>
            <w:r>
              <w:rPr>
                <w:position w:val="6"/>
                <w:sz w:val="18"/>
              </w:rPr>
              <w:t>1</w:t>
            </w:r>
            <w:r>
              <w:t>/</w:t>
            </w:r>
            <w:r>
              <w:rPr>
                <w:sz w:val="18"/>
              </w:rPr>
              <w:t>8</w:t>
            </w:r>
            <w:r>
              <w:t xml:space="preserve"> to 2</w:t>
            </w:r>
            <w:r>
              <w:rPr>
                <w:position w:val="6"/>
                <w:sz w:val="18"/>
              </w:rPr>
              <w:t>3</w:t>
            </w:r>
            <w:r>
              <w:t>/</w:t>
            </w:r>
            <w:r>
              <w:rPr>
                <w:sz w:val="18"/>
              </w:rPr>
              <w:t>4</w:t>
            </w:r>
            <w:r>
              <w:t xml:space="preserve"> inches circumference inclusive</w:t>
            </w:r>
          </w:p>
        </w:tc>
        <w:tc>
          <w:tcPr>
            <w:tcW w:w="4218" w:type="dxa"/>
          </w:tcPr>
          <w:p w:rsidR="00B40966" w:rsidRDefault="00B40966">
            <w:pPr>
              <w:pStyle w:val="TableText"/>
              <w:ind w:left="832"/>
            </w:pPr>
            <w:r>
              <w:t xml:space="preserve">radius of rope plus </w:t>
            </w:r>
            <w:r>
              <w:rPr>
                <w:position w:val="6"/>
                <w:sz w:val="18"/>
              </w:rPr>
              <w:t>3</w:t>
            </w:r>
            <w:r>
              <w:t>/</w:t>
            </w:r>
            <w:r>
              <w:rPr>
                <w:sz w:val="18"/>
              </w:rPr>
              <w:t>64</w:t>
            </w:r>
            <w:r>
              <w:t xml:space="preserve"> of an inch</w:t>
            </w:r>
          </w:p>
        </w:tc>
      </w:tr>
      <w:tr w:rsidR="00B40966">
        <w:trPr>
          <w:cantSplit/>
        </w:trPr>
        <w:tc>
          <w:tcPr>
            <w:tcW w:w="3300" w:type="dxa"/>
          </w:tcPr>
          <w:p w:rsidR="00B40966" w:rsidRDefault="00B40966">
            <w:pPr>
              <w:pStyle w:val="TableText"/>
            </w:pPr>
            <w:r>
              <w:t>for ropes of 3 to 3</w:t>
            </w:r>
            <w:r>
              <w:rPr>
                <w:position w:val="6"/>
                <w:sz w:val="18"/>
              </w:rPr>
              <w:t>1</w:t>
            </w:r>
            <w:r>
              <w:t>/</w:t>
            </w:r>
            <w:r>
              <w:rPr>
                <w:sz w:val="18"/>
              </w:rPr>
              <w:t>2</w:t>
            </w:r>
            <w:r>
              <w:t xml:space="preserve"> inches circumference inclusive</w:t>
            </w:r>
          </w:p>
        </w:tc>
        <w:tc>
          <w:tcPr>
            <w:tcW w:w="4218" w:type="dxa"/>
          </w:tcPr>
          <w:p w:rsidR="00B40966" w:rsidRDefault="00B40966">
            <w:pPr>
              <w:pStyle w:val="TableText"/>
              <w:ind w:left="832"/>
            </w:pPr>
            <w:r>
              <w:t xml:space="preserve">radius of rope plus </w:t>
            </w:r>
            <w:r>
              <w:rPr>
                <w:position w:val="6"/>
                <w:sz w:val="18"/>
              </w:rPr>
              <w:t>1</w:t>
            </w:r>
            <w:r>
              <w:t>/</w:t>
            </w:r>
            <w:r>
              <w:rPr>
                <w:sz w:val="18"/>
              </w:rPr>
              <w:t>16</w:t>
            </w:r>
            <w:r>
              <w:t xml:space="preserve"> of an inch</w:t>
            </w:r>
          </w:p>
        </w:tc>
      </w:tr>
      <w:tr w:rsidR="00B40966">
        <w:trPr>
          <w:cantSplit/>
        </w:trPr>
        <w:tc>
          <w:tcPr>
            <w:tcW w:w="3300" w:type="dxa"/>
          </w:tcPr>
          <w:p w:rsidR="00B40966" w:rsidRDefault="00B40966">
            <w:pPr>
              <w:pStyle w:val="TableText"/>
            </w:pPr>
            <w:r>
              <w:t>for ropes of 3</w:t>
            </w:r>
            <w:r>
              <w:rPr>
                <w:position w:val="6"/>
                <w:sz w:val="18"/>
              </w:rPr>
              <w:t>3</w:t>
            </w:r>
            <w:r>
              <w:t>/</w:t>
            </w:r>
            <w:r>
              <w:rPr>
                <w:sz w:val="18"/>
              </w:rPr>
              <w:t>4</w:t>
            </w:r>
            <w:r>
              <w:t xml:space="preserve"> inches circumference and larger</w:t>
            </w:r>
          </w:p>
        </w:tc>
        <w:tc>
          <w:tcPr>
            <w:tcW w:w="4218" w:type="dxa"/>
          </w:tcPr>
          <w:p w:rsidR="00B40966" w:rsidRDefault="00B40966">
            <w:pPr>
              <w:pStyle w:val="TableText"/>
              <w:ind w:left="832"/>
            </w:pPr>
            <w:r>
              <w:t xml:space="preserve">radius of rope plus </w:t>
            </w:r>
            <w:r>
              <w:rPr>
                <w:position w:val="6"/>
                <w:sz w:val="18"/>
              </w:rPr>
              <w:t>3</w:t>
            </w:r>
            <w:r>
              <w:t>/</w:t>
            </w:r>
            <w:r>
              <w:rPr>
                <w:sz w:val="18"/>
              </w:rPr>
              <w:t>32</w:t>
            </w:r>
            <w:r>
              <w:t xml:space="preserve"> of an inch</w:t>
            </w:r>
          </w:p>
        </w:tc>
      </w:tr>
    </w:tbl>
    <w:p w:rsidR="00B40966" w:rsidRDefault="00B40966"/>
    <w:p w:rsidR="00B40966" w:rsidRDefault="00B40966">
      <w:pPr>
        <w:pStyle w:val="Amain"/>
      </w:pPr>
      <w:r>
        <w:tab/>
        <w:t>(28)</w:t>
      </w:r>
      <w:r>
        <w:tab/>
        <w:t xml:space="preserve">Grooves shall have a depth of not less than </w:t>
      </w:r>
      <w:r>
        <w:rPr>
          <w:position w:val="6"/>
          <w:sz w:val="18"/>
        </w:rPr>
        <w:t>1</w:t>
      </w:r>
      <w:r>
        <w:t>/</w:t>
      </w:r>
      <w:r>
        <w:rPr>
          <w:sz w:val="18"/>
        </w:rPr>
        <w:t>3</w:t>
      </w:r>
      <w:r>
        <w:t xml:space="preserve"> of the diameter of the rope and shall be so pitched that there is a clearance of not less than </w:t>
      </w:r>
      <w:r>
        <w:rPr>
          <w:position w:val="6"/>
          <w:sz w:val="18"/>
        </w:rPr>
        <w:t>1</w:t>
      </w:r>
      <w:r>
        <w:t>/</w:t>
      </w:r>
      <w:r>
        <w:rPr>
          <w:sz w:val="18"/>
        </w:rPr>
        <w:t>32</w:t>
      </w:r>
      <w:r>
        <w:t xml:space="preserve"> of an inch for ropes up to 1</w:t>
      </w:r>
      <w:r>
        <w:rPr>
          <w:position w:val="6"/>
          <w:sz w:val="18"/>
        </w:rPr>
        <w:t>1</w:t>
      </w:r>
      <w:r>
        <w:t>/</w:t>
      </w:r>
      <w:r>
        <w:rPr>
          <w:sz w:val="18"/>
        </w:rPr>
        <w:t>2</w:t>
      </w:r>
      <w:r>
        <w:t xml:space="preserve"> inches diameter and not less than </w:t>
      </w:r>
      <w:r>
        <w:rPr>
          <w:position w:val="6"/>
          <w:sz w:val="18"/>
        </w:rPr>
        <w:t>1</w:t>
      </w:r>
      <w:r>
        <w:t>/</w:t>
      </w:r>
      <w:r>
        <w:rPr>
          <w:sz w:val="18"/>
        </w:rPr>
        <w:t>16</w:t>
      </w:r>
      <w:r>
        <w:t xml:space="preserve"> of an inch for ropes over 1</w:t>
      </w:r>
      <w:r>
        <w:rPr>
          <w:position w:val="6"/>
          <w:sz w:val="18"/>
        </w:rPr>
        <w:t>1</w:t>
      </w:r>
      <w:r>
        <w:t>/</w:t>
      </w:r>
      <w:r>
        <w:rPr>
          <w:sz w:val="18"/>
        </w:rPr>
        <w:t>2</w:t>
      </w:r>
      <w:r>
        <w:t xml:space="preserve"> inches diameter, between the parts of the rope when coiled on the drum.</w:t>
      </w:r>
    </w:p>
    <w:p w:rsidR="00B40966" w:rsidRDefault="00B40966">
      <w:pPr>
        <w:pStyle w:val="Amain"/>
      </w:pPr>
      <w:r>
        <w:tab/>
        <w:t>(29)</w:t>
      </w:r>
      <w:r>
        <w:tab/>
        <w:t>The grooves shall be smoothly finished and all sharp edges removed.</w:t>
      </w:r>
    </w:p>
    <w:p w:rsidR="00B40966" w:rsidRDefault="00B40966">
      <w:pPr>
        <w:pStyle w:val="Assectheading"/>
      </w:pPr>
      <w:r>
        <w:rPr>
          <w:rStyle w:val="charItals"/>
          <w:i/>
        </w:rPr>
        <w:t>Ungrooved drums for rope</w:t>
      </w:r>
    </w:p>
    <w:p w:rsidR="00B40966" w:rsidRDefault="00B40966">
      <w:pPr>
        <w:pStyle w:val="Amain"/>
      </w:pPr>
      <w:r>
        <w:tab/>
        <w:t>(30)</w:t>
      </w:r>
      <w:r>
        <w:tab/>
        <w:t>Ungrooved drums shall have flanges extending 1 rope diameter above the surface of the outer layer of rope when the maximum designed number of turns are wound on it, but in no case shall the total depth of the flange measured from the face of the empty drum be less than 3 rope diameters.</w:t>
      </w:r>
    </w:p>
    <w:p w:rsidR="00B40966" w:rsidRDefault="00B40966">
      <w:pPr>
        <w:pStyle w:val="Amain"/>
      </w:pPr>
      <w:r>
        <w:tab/>
        <w:t>(31)</w:t>
      </w:r>
      <w:r>
        <w:tab/>
        <w:t>Subsection (30) shall not imply that an additional flange is to be provided when a wheel that is attached to the drum will serve to form 1 of the flanges.</w:t>
      </w:r>
    </w:p>
    <w:p w:rsidR="00B40966" w:rsidRDefault="00B40966">
      <w:pPr>
        <w:pStyle w:val="Assectheading"/>
      </w:pPr>
      <w:r>
        <w:rPr>
          <w:rStyle w:val="charItals"/>
          <w:i/>
        </w:rPr>
        <w:t>Rope pulleys and quadrants</w:t>
      </w:r>
    </w:p>
    <w:p w:rsidR="00B40966" w:rsidRDefault="00B40966">
      <w:pPr>
        <w:pStyle w:val="Amain"/>
      </w:pPr>
      <w:r>
        <w:tab/>
        <w:t>(32)</w:t>
      </w:r>
      <w:r>
        <w:tab/>
        <w:t>Rope pulleys and quadrants shall be machine grooved to a depth not less than 1</w:t>
      </w:r>
      <w:r>
        <w:rPr>
          <w:position w:val="6"/>
          <w:sz w:val="18"/>
        </w:rPr>
        <w:t>1</w:t>
      </w:r>
      <w:r>
        <w:t>/</w:t>
      </w:r>
      <w:r>
        <w:rPr>
          <w:sz w:val="18"/>
        </w:rPr>
        <w:t>2</w:t>
      </w:r>
      <w:r>
        <w:t xml:space="preserve"> times the diameter of the rope used on it and the grooving shall comply with the provisions of subsections (26) to (29).</w:t>
      </w:r>
    </w:p>
    <w:p w:rsidR="00B40966" w:rsidRDefault="00B40966">
      <w:pPr>
        <w:pStyle w:val="Amain"/>
      </w:pPr>
      <w:r>
        <w:tab/>
        <w:t>(33)</w:t>
      </w:r>
      <w:r>
        <w:tab/>
        <w:t>The included angle of flare between the 2 sides of the grooving of a pulley or quadrant shall be not less than 42° and not more than 52°.</w:t>
      </w:r>
    </w:p>
    <w:p w:rsidR="00B40966" w:rsidRDefault="00B40966">
      <w:pPr>
        <w:pStyle w:val="Amain"/>
      </w:pPr>
      <w:r>
        <w:tab/>
        <w:t>(34)</w:t>
      </w:r>
      <w:r>
        <w:tab/>
        <w:t>When ropes are prevented from leaving their grooves, the grooves may be not less in depth than the diameter of the rope concerned.</w:t>
      </w:r>
    </w:p>
    <w:p w:rsidR="00B40966" w:rsidRDefault="00B40966">
      <w:pPr>
        <w:pStyle w:val="Amain"/>
      </w:pPr>
      <w:r>
        <w:tab/>
        <w:t>(35)</w:t>
      </w:r>
      <w:r>
        <w:tab/>
        <w:t>Lifting block pulleys shall be provided with suitable guards to keep the ropes in the grooves.</w:t>
      </w:r>
    </w:p>
    <w:p w:rsidR="00B40966" w:rsidRDefault="00B40966">
      <w:pPr>
        <w:pStyle w:val="Assectheading"/>
      </w:pPr>
      <w:r>
        <w:rPr>
          <w:rStyle w:val="charItals"/>
          <w:i/>
        </w:rPr>
        <w:t>Swivel hooks</w:t>
      </w:r>
    </w:p>
    <w:p w:rsidR="00B40966" w:rsidRDefault="00B40966">
      <w:pPr>
        <w:pStyle w:val="Amain"/>
      </w:pPr>
      <w:r>
        <w:tab/>
        <w:t>(36)</w:t>
      </w:r>
      <w:r>
        <w:tab/>
        <w:t>Lifting hooks and lifting eyes attached to single falls (parts) of steel wire rope other than rope slings, shall be freely rotatable under all conditions of loading and if the load exceeds 2 tons shall be of the ball or roller thrust bearing type.</w:t>
      </w:r>
    </w:p>
    <w:p w:rsidR="00B40966" w:rsidRDefault="00B40966">
      <w:pPr>
        <w:pStyle w:val="Amain"/>
      </w:pPr>
      <w:r>
        <w:tab/>
        <w:t>(37)</w:t>
      </w:r>
      <w:r>
        <w:tab/>
        <w:t>Provision shall be made to exclude dust and other foreign matter from thrust bearings.</w:t>
      </w:r>
    </w:p>
    <w:p w:rsidR="00B40966" w:rsidRDefault="00B40966">
      <w:pPr>
        <w:pStyle w:val="Assectheading"/>
        <w:rPr>
          <w:i w:val="0"/>
        </w:rPr>
      </w:pPr>
      <w:r>
        <w:rPr>
          <w:rStyle w:val="charItals"/>
          <w:i/>
        </w:rPr>
        <w:t>Guards</w:t>
      </w:r>
    </w:p>
    <w:p w:rsidR="00B40966" w:rsidRDefault="00B40966">
      <w:pPr>
        <w:pStyle w:val="Amain"/>
      </w:pPr>
      <w:r>
        <w:tab/>
        <w:t>(38)</w:t>
      </w:r>
      <w:r>
        <w:tab/>
        <w:t>Guards shall be provided to prevent persons’ hands or other parts of their body being injured by the rope or pulleys of hook blocks or bottom blocks in power-operated cranes or hoists if the blocks are used for loads of less than 5 tons.</w:t>
      </w:r>
    </w:p>
    <w:p w:rsidR="00B40966" w:rsidRDefault="00B40966">
      <w:pPr>
        <w:pStyle w:val="Amain"/>
      </w:pPr>
      <w:r>
        <w:tab/>
        <w:t>(39)</w:t>
      </w:r>
      <w:r>
        <w:tab/>
        <w:t>Guards shall be provided if there is a danger that ropes will become displaced from pulleys, or quadrants.</w:t>
      </w:r>
    </w:p>
    <w:p w:rsidR="00B40966" w:rsidRDefault="00B40966">
      <w:pPr>
        <w:pStyle w:val="Assectheading"/>
      </w:pPr>
      <w:r>
        <w:rPr>
          <w:rStyle w:val="charItals"/>
          <w:i/>
        </w:rPr>
        <w:t>Rope anchorages</w:t>
      </w:r>
    </w:p>
    <w:p w:rsidR="00B40966" w:rsidRDefault="00B40966">
      <w:pPr>
        <w:pStyle w:val="Amain"/>
      </w:pPr>
      <w:r>
        <w:tab/>
        <w:t>(40)</w:t>
      </w:r>
      <w:r>
        <w:tab/>
        <w:t>Eye splices, sockets, and rope anchorages shall be capable of withstanding 90% of the guaranteed breaking strength of the rope or ropes to which they are attached.</w:t>
      </w:r>
    </w:p>
    <w:p w:rsidR="00B40966" w:rsidRDefault="00B40966">
      <w:pPr>
        <w:pStyle w:val="Amain"/>
      </w:pPr>
      <w:r>
        <w:tab/>
        <w:t>(41)</w:t>
      </w:r>
      <w:r>
        <w:tab/>
        <w:t>Rope anchorages shall be readily accessible at all times.</w:t>
      </w:r>
    </w:p>
    <w:p w:rsidR="00B40966" w:rsidRDefault="00B40966">
      <w:pPr>
        <w:pStyle w:val="Amain"/>
      </w:pPr>
      <w:r>
        <w:tab/>
        <w:t>(42)</w:t>
      </w:r>
      <w:r>
        <w:tab/>
        <w:t>There shall be at least 2 full turns of each rope, remaining on the drum or barrel when the hook or other lifting or hauling medium is fully lowered or unwound.</w:t>
      </w:r>
    </w:p>
    <w:p w:rsidR="00B40966" w:rsidRDefault="00B40966">
      <w:pPr>
        <w:pStyle w:val="Assectheading"/>
      </w:pPr>
      <w:r>
        <w:rPr>
          <w:rStyle w:val="charItals"/>
          <w:i/>
        </w:rPr>
        <w:t>Splicing</w:t>
      </w:r>
    </w:p>
    <w:p w:rsidR="00B40966" w:rsidRDefault="00B40966">
      <w:pPr>
        <w:pStyle w:val="Amain"/>
      </w:pPr>
      <w:r>
        <w:tab/>
        <w:t>(43)</w:t>
      </w:r>
      <w:r>
        <w:tab/>
        <w:t xml:space="preserve">Eye splices shall have at least 3 tucks with each whole strand of the rope, and 2 tucks with </w:t>
      </w:r>
      <w:r>
        <w:rPr>
          <w:position w:val="6"/>
          <w:sz w:val="18"/>
        </w:rPr>
        <w:t>1</w:t>
      </w:r>
      <w:r>
        <w:t>/</w:t>
      </w:r>
      <w:r>
        <w:rPr>
          <w:sz w:val="18"/>
        </w:rPr>
        <w:t>2</w:t>
      </w:r>
      <w:r>
        <w:t xml:space="preserve"> of the wires cut out of each strand, made in each case, under and over against the lay of the rope.</w:t>
      </w:r>
    </w:p>
    <w:p w:rsidR="00B40966" w:rsidRDefault="00B40966">
      <w:pPr>
        <w:pStyle w:val="Amain"/>
      </w:pPr>
      <w:r>
        <w:tab/>
        <w:t>(44)</w:t>
      </w:r>
      <w:r>
        <w:tab/>
        <w:t>The splice shall be tightly drawn and neatly made.</w:t>
      </w:r>
    </w:p>
    <w:p w:rsidR="00B40966" w:rsidRDefault="00B40966">
      <w:pPr>
        <w:pStyle w:val="Amain"/>
      </w:pPr>
      <w:r>
        <w:tab/>
        <w:t>(45)</w:t>
      </w:r>
      <w:r>
        <w:tab/>
        <w:t>Thimbles shall be used if ropes are spliced to hooks, shackles, rings, swivels, pins, eyes, and analogous fittings.</w:t>
      </w:r>
    </w:p>
    <w:p w:rsidR="00B40966" w:rsidRDefault="00B40966">
      <w:pPr>
        <w:pStyle w:val="Assectheading"/>
      </w:pPr>
      <w:r>
        <w:rPr>
          <w:rStyle w:val="charItals"/>
          <w:i/>
        </w:rPr>
        <w:t>Periodic inspection of rope</w:t>
      </w:r>
    </w:p>
    <w:p w:rsidR="00B40966" w:rsidRDefault="00B40966">
      <w:pPr>
        <w:pStyle w:val="Amain"/>
      </w:pPr>
      <w:r>
        <w:tab/>
        <w:t>(46)</w:t>
      </w:r>
      <w:r>
        <w:tab/>
        <w:t>No person shall use any wire rope or any attachments of it unless the rope and the attachments of it have been subjected to close detailed examination at the intervals that are necessary or advisable to ensure that defective ropes or attachments are not used.</w:t>
      </w:r>
    </w:p>
    <w:p w:rsidR="00B40966" w:rsidRDefault="00B40966">
      <w:pPr>
        <w:pStyle w:val="Amain"/>
      </w:pPr>
      <w:r>
        <w:tab/>
        <w:t>(47)</w:t>
      </w:r>
      <w:r>
        <w:tab/>
        <w:t>No steel wire rope shall be used if it is excessively worn, corroded, or otherwise defective, or if in any length equal to 8 diameters of the rope the number of visible broken wires exceeds 10% of the total number of wires in the rope.</w:t>
      </w:r>
    </w:p>
    <w:p w:rsidR="00B40966" w:rsidRDefault="00B40966">
      <w:pPr>
        <w:pStyle w:val="Assectheading"/>
      </w:pPr>
      <w:r>
        <w:rPr>
          <w:rStyle w:val="charItals"/>
          <w:i/>
        </w:rPr>
        <w:t>Identification and testing of steel wire rope</w:t>
      </w:r>
    </w:p>
    <w:p w:rsidR="00B40966" w:rsidRDefault="00B40966">
      <w:pPr>
        <w:pStyle w:val="Amain"/>
        <w:keepLines/>
      </w:pPr>
      <w:r>
        <w:tab/>
        <w:t>(48)</w:t>
      </w:r>
      <w:r>
        <w:tab/>
        <w:t>No person shall use any steel wire rope unless the person holds a purchaser’s docket or other document, issued to the person and signed by the person from whom he or she purchased or obtained the use of the rope, clearly and legibly setting out in the English language the length of rope to which the docket or document applies, the size, construction and lay of the rope, the maker’s guaranteed minimum breaking tensile strength of the rope, the maker’s identification number of the coil from which the rope was obtained, and the date of purchase or acquisition of the rope.</w:t>
      </w:r>
    </w:p>
    <w:p w:rsidR="00B40966" w:rsidRDefault="00B40966">
      <w:pPr>
        <w:pStyle w:val="Amain"/>
      </w:pPr>
      <w:r>
        <w:tab/>
        <w:t>(49)</w:t>
      </w:r>
      <w:r>
        <w:tab/>
        <w:t>Every person using any steel wire rope shall when so required by an inspector immediately produce to the inspector, and allow the inspector to examine and copy, the docket or document required by subsection (48) to be held by the person for that rope.</w:t>
      </w:r>
    </w:p>
    <w:p w:rsidR="00B40966" w:rsidRDefault="00B40966">
      <w:pPr>
        <w:pStyle w:val="Amain"/>
      </w:pPr>
      <w:r>
        <w:tab/>
        <w:t>(50)</w:t>
      </w:r>
      <w:r>
        <w:tab/>
        <w:t>Every person who uses or has in his or her possession for use any steel wire rope shall, if requested by the chief inspector so to do, produce to the chief inspector or to an inspector named in the request, at a reasonable place specified in the request and within a reasonable time not exceeding 4 weeks after the receipt of the request, a test certificate for the rope or of rope of which it formed a part, which certificate shall be in accordance with Australian Standard Specification No M4—1955, appendix K, ‘Steel Wire Ropes for Winding and Hauling Purposes in Mines’ of Standards Australia, and the person shall, if necessary for compliance with the request, cause the appropriate test to be made.</w:t>
      </w:r>
    </w:p>
    <w:p w:rsidR="00B40966" w:rsidRDefault="00B40966">
      <w:pPr>
        <w:pStyle w:val="Amain"/>
      </w:pPr>
      <w:r>
        <w:tab/>
        <w:t>(51)</w:t>
      </w:r>
      <w:r>
        <w:tab/>
        <w:t>Unless the chief inspector directs the production of the original certificate, the production of a true copy of it, if bearing a statement signed by the maker or a vendor of the rope that it is a true copy, shall be a sufficient compliance with the request.</w:t>
      </w:r>
    </w:p>
    <w:p w:rsidR="00B40966" w:rsidRDefault="00B40966">
      <w:pPr>
        <w:pStyle w:val="Amain"/>
      </w:pPr>
      <w:r>
        <w:tab/>
        <w:t>(52)</w:t>
      </w:r>
      <w:r>
        <w:tab/>
        <w:t>Any person who in any test certificate given for steel wire rope knowingly makes or signs any false statement, or who knowingly makes or signs a false statement that any document is a true copy of the certificate, commits a breach of this regulation.</w:t>
      </w:r>
    </w:p>
    <w:p w:rsidR="00B40966" w:rsidRDefault="00B40966">
      <w:pPr>
        <w:pStyle w:val="AH4SubDiv"/>
        <w:ind w:left="0" w:firstLine="0"/>
      </w:pPr>
      <w:bookmarkStart w:id="286" w:name="_Toc87258122"/>
      <w:r>
        <w:t>Fibre rope for use in connection with cranes, lifts, hoists, scaffolding, plant, gear, or building work, excavation work, or compressed air work</w:t>
      </w:r>
      <w:bookmarkEnd w:id="286"/>
    </w:p>
    <w:p w:rsidR="00B40966" w:rsidRDefault="00B40966">
      <w:pPr>
        <w:pStyle w:val="AH5Sec"/>
      </w:pPr>
      <w:bookmarkStart w:id="287" w:name="_Toc87258123"/>
      <w:r>
        <w:rPr>
          <w:rStyle w:val="CharSectNo"/>
        </w:rPr>
        <w:t>145</w:t>
      </w:r>
      <w:bookmarkEnd w:id="287"/>
      <w:r>
        <w:tab/>
        <w:t xml:space="preserve">  </w:t>
      </w:r>
    </w:p>
    <w:p w:rsidR="00B40966" w:rsidRDefault="00B40966">
      <w:pPr>
        <w:pStyle w:val="Assectheading"/>
      </w:pPr>
      <w:r>
        <w:rPr>
          <w:rStyle w:val="charItals"/>
          <w:i/>
        </w:rPr>
        <w:t>General</w:t>
      </w:r>
    </w:p>
    <w:p w:rsidR="00B40966" w:rsidRDefault="00B40966">
      <w:pPr>
        <w:pStyle w:val="Amain"/>
      </w:pPr>
      <w:r>
        <w:tab/>
        <w:t>(1)</w:t>
      </w:r>
      <w:r>
        <w:tab/>
        <w:t>All fibre rope and every part of it shall be of sound material, good construction, adequate strength, free from patent defects and be suitable and safe for the purpose for which it is intended.</w:t>
      </w:r>
    </w:p>
    <w:p w:rsidR="00B40966" w:rsidRDefault="00B40966">
      <w:pPr>
        <w:pStyle w:val="Amain"/>
      </w:pPr>
      <w:r>
        <w:tab/>
        <w:t>(2)</w:t>
      </w:r>
      <w:r>
        <w:tab/>
        <w:t>Suitable packing shall be provided and used to prevent fibre rope coming in contact with sharp edges of loads, etc.</w:t>
      </w:r>
    </w:p>
    <w:p w:rsidR="00B40966" w:rsidRDefault="00B40966">
      <w:pPr>
        <w:pStyle w:val="Amain"/>
      </w:pPr>
      <w:r>
        <w:tab/>
        <w:t>(3)</w:t>
      </w:r>
      <w:r>
        <w:tab/>
        <w:t>Fibre rope shall not be exposed to extremes of temperature either in or out of use.</w:t>
      </w:r>
    </w:p>
    <w:p w:rsidR="00B40966" w:rsidRDefault="00B40966">
      <w:pPr>
        <w:pStyle w:val="Amain"/>
      </w:pPr>
      <w:r>
        <w:tab/>
        <w:t>(4)</w:t>
      </w:r>
      <w:r>
        <w:tab/>
        <w:t>Fibre ropes of circumference less than 1</w:t>
      </w:r>
      <w:r>
        <w:rPr>
          <w:position w:val="6"/>
          <w:sz w:val="18"/>
        </w:rPr>
        <w:t>1</w:t>
      </w:r>
      <w:r>
        <w:t>/</w:t>
      </w:r>
      <w:r>
        <w:rPr>
          <w:sz w:val="18"/>
        </w:rPr>
        <w:t>2</w:t>
      </w:r>
      <w:r>
        <w:t xml:space="preserve"> inches shall not be used for load carrying purposes unless otherwise approved.</w:t>
      </w:r>
    </w:p>
    <w:p w:rsidR="00B40966" w:rsidRDefault="00B40966">
      <w:pPr>
        <w:pStyle w:val="Amain"/>
      </w:pPr>
      <w:r>
        <w:tab/>
        <w:t>(5)</w:t>
      </w:r>
      <w:r>
        <w:tab/>
        <w:t>If fibre rope is held by hand under load, it shall be not less than 2 inches circumference.</w:t>
      </w:r>
    </w:p>
    <w:p w:rsidR="00B40966" w:rsidRDefault="00B40966">
      <w:pPr>
        <w:pStyle w:val="Amain"/>
      </w:pPr>
      <w:r>
        <w:tab/>
        <w:t>(6)</w:t>
      </w:r>
      <w:r>
        <w:tab/>
        <w:t>Kinked ropes shall not be used.</w:t>
      </w:r>
    </w:p>
    <w:p w:rsidR="00B40966" w:rsidRDefault="00B40966">
      <w:pPr>
        <w:pStyle w:val="Amain"/>
      </w:pPr>
      <w:r>
        <w:tab/>
        <w:t>(7)</w:t>
      </w:r>
      <w:r>
        <w:tab/>
        <w:t>Ropes shall be kept clean, stored under cover in a clean dry place, and be raised clear of the ground.</w:t>
      </w:r>
    </w:p>
    <w:p w:rsidR="00B40966" w:rsidRDefault="00B40966">
      <w:pPr>
        <w:pStyle w:val="Amain"/>
      </w:pPr>
      <w:r>
        <w:tab/>
        <w:t>(8)</w:t>
      </w:r>
      <w:r>
        <w:tab/>
        <w:t>In no case shall the rope be in contact with ashes, clinker or coke.</w:t>
      </w:r>
    </w:p>
    <w:p w:rsidR="00B40966" w:rsidRDefault="00B40966">
      <w:pPr>
        <w:pStyle w:val="Amain"/>
      </w:pPr>
      <w:r>
        <w:tab/>
        <w:t>(9)</w:t>
      </w:r>
      <w:r>
        <w:tab/>
        <w:t>Ropes shall be kept clear of acids and other deleterious chemicals and their fumes.</w:t>
      </w:r>
    </w:p>
    <w:p w:rsidR="00B40966" w:rsidRDefault="00B40966">
      <w:pPr>
        <w:pStyle w:val="Amain"/>
      </w:pPr>
      <w:r>
        <w:tab/>
        <w:t>(10)</w:t>
      </w:r>
      <w:r>
        <w:tab/>
        <w:t>Ropes shall be examined each time before being used.</w:t>
      </w:r>
    </w:p>
    <w:p w:rsidR="00B40966" w:rsidRDefault="00B40966">
      <w:pPr>
        <w:pStyle w:val="Amain"/>
      </w:pPr>
      <w:r>
        <w:tab/>
        <w:t>(11)</w:t>
      </w:r>
      <w:r>
        <w:tab/>
        <w:t>If a load is supported on more than 1 fall or single part of rope, the load shall be equally distributed by statically determinate automatic means between the various falls, singles or parts.</w:t>
      </w:r>
    </w:p>
    <w:p w:rsidR="00B40966" w:rsidRDefault="00B40966">
      <w:pPr>
        <w:pStyle w:val="Amain"/>
      </w:pPr>
      <w:r>
        <w:tab/>
        <w:t>(12)</w:t>
      </w:r>
      <w:r>
        <w:tab/>
        <w:t>No rope shall be used for load-carrying purposes that has been subjected to a severe shock or that has been unduly stretched.</w:t>
      </w:r>
    </w:p>
    <w:p w:rsidR="00B40966" w:rsidRDefault="00B40966">
      <w:pPr>
        <w:pStyle w:val="Amain"/>
      </w:pPr>
      <w:r>
        <w:tab/>
        <w:t>(13)</w:t>
      </w:r>
      <w:r>
        <w:tab/>
        <w:t>No rope sling shall be used if the included angle measured between any 2 legs exceeds 150°, or if the angle formed between any sling leg and the line of action of the pull exceeds 75°.</w:t>
      </w:r>
    </w:p>
    <w:p w:rsidR="00B40966" w:rsidRDefault="00B40966">
      <w:pPr>
        <w:pStyle w:val="Amain"/>
      </w:pPr>
      <w:r>
        <w:tab/>
        <w:t>(14)</w:t>
      </w:r>
      <w:r>
        <w:tab/>
        <w:t>Rope slings before being used, and if repaired or altered, before being reused shall be subjected to a load equal to their safe working load and closely examined to ensure suitability for use or reuse as the case may be.</w:t>
      </w:r>
    </w:p>
    <w:p w:rsidR="00B40966" w:rsidRDefault="00B40966">
      <w:pPr>
        <w:pStyle w:val="Amain"/>
      </w:pPr>
      <w:r>
        <w:tab/>
        <w:t>(15)</w:t>
      </w:r>
      <w:r>
        <w:tab/>
        <w:t>Fibre rope shall not be exposed to temperatures exceeding 150° Fahrenheit.</w:t>
      </w:r>
    </w:p>
    <w:p w:rsidR="00B40966" w:rsidRDefault="00B40966">
      <w:pPr>
        <w:pStyle w:val="Amain"/>
      </w:pPr>
      <w:r>
        <w:tab/>
        <w:t>(16)</w:t>
      </w:r>
      <w:r>
        <w:tab/>
        <w:t>Fibre ropes that are excessively worn or have been adversely affected by weather or by water shall be discarded.</w:t>
      </w:r>
    </w:p>
    <w:p w:rsidR="00B40966" w:rsidRDefault="00B40966">
      <w:pPr>
        <w:pStyle w:val="Assectheading"/>
      </w:pPr>
      <w:r>
        <w:rPr>
          <w:rStyle w:val="charItals"/>
          <w:i/>
        </w:rPr>
        <w:t>Design, construction, use and safe working load</w:t>
      </w:r>
    </w:p>
    <w:p w:rsidR="00B40966" w:rsidRDefault="00B40966">
      <w:pPr>
        <w:pStyle w:val="Amain"/>
      </w:pPr>
      <w:r>
        <w:tab/>
        <w:t>(17)</w:t>
      </w:r>
      <w:r>
        <w:tab/>
        <w:t>All fibre rope shall comply with the provisions of Australian Standard Specifications No (E) L.507—1941, or No (E) L.508—1941, promulgated by Standards Australia, unless otherwise approved.</w:t>
      </w:r>
    </w:p>
    <w:p w:rsidR="00B40966" w:rsidRDefault="00B40966">
      <w:pPr>
        <w:pStyle w:val="Amain"/>
      </w:pPr>
      <w:r>
        <w:tab/>
        <w:t>(18)</w:t>
      </w:r>
      <w:r>
        <w:tab/>
        <w:t>However—</w:t>
      </w:r>
    </w:p>
    <w:p w:rsidR="00B40966" w:rsidRDefault="00B40966">
      <w:pPr>
        <w:pStyle w:val="Apara"/>
      </w:pPr>
      <w:r>
        <w:tab/>
        <w:t>(a)</w:t>
      </w:r>
      <w:r>
        <w:tab/>
        <w:t>every fibre rope shall be classified numerically in conformity with table 145; and</w:t>
      </w:r>
    </w:p>
    <w:p w:rsidR="00B40966" w:rsidRDefault="00B40966">
      <w:pPr>
        <w:pStyle w:val="Apara"/>
      </w:pPr>
      <w:r>
        <w:tab/>
        <w:t>(b)</w:t>
      </w:r>
      <w:r>
        <w:tab/>
        <w:t>in the event of uncertainty or dispute the classification may be determined by the chief inspector; and</w:t>
      </w:r>
    </w:p>
    <w:p w:rsidR="00B40966" w:rsidRDefault="00B40966">
      <w:pPr>
        <w:pStyle w:val="Apara"/>
      </w:pPr>
      <w:r>
        <w:tab/>
        <w:t>(c)</w:t>
      </w:r>
      <w:r>
        <w:tab/>
        <w:t>no fibre rope shall be subjected to any greater load than that determined by multiplying the least ultimate tensile value of the rope by the fraction mentioned in subsections (21) and (22) relevant and appropriate to its classification and way of use.</w:t>
      </w:r>
    </w:p>
    <w:p w:rsidR="00B40966" w:rsidRDefault="00B40966">
      <w:pPr>
        <w:pStyle w:val="Amain"/>
        <w:keepLines/>
      </w:pPr>
      <w:r>
        <w:tab/>
        <w:t>(19)</w:t>
      </w:r>
      <w:r>
        <w:tab/>
        <w:t>For subsection (18) (c), the least ultimate tensile value of a rope that is in the best condition may be deemed equal to the minimum breaking load or strength of that rope prescribed by Australian Standard Specification No (E) L.507—1941, for sisal rope or No (E) L.508—1941, for Manila rope, whichever is relevant and appropriate, the specifications being those promulgated by Standards Australia.</w:t>
      </w:r>
    </w:p>
    <w:p w:rsidR="00B40966" w:rsidRDefault="00B40966">
      <w:pPr>
        <w:pStyle w:val="Amain"/>
      </w:pPr>
      <w:r>
        <w:tab/>
        <w:t>(20)</w:t>
      </w:r>
      <w:r>
        <w:tab/>
        <w:t xml:space="preserve">For worn rope the ultimate tensile value shall be deemed to be </w:t>
      </w:r>
      <w:r>
        <w:rPr>
          <w:position w:val="6"/>
          <w:sz w:val="18"/>
        </w:rPr>
        <w:t>1</w:t>
      </w:r>
      <w:r>
        <w:t>/</w:t>
      </w:r>
      <w:r>
        <w:rPr>
          <w:sz w:val="18"/>
        </w:rPr>
        <w:t>2</w:t>
      </w:r>
      <w:r>
        <w:t xml:space="preserve"> of that determined in accordance with subsection (18) (c).</w:t>
      </w:r>
    </w:p>
    <w:p w:rsidR="00B40966" w:rsidRDefault="00B40966">
      <w:pPr>
        <w:pStyle w:val="Amain"/>
      </w:pPr>
      <w:r>
        <w:tab/>
        <w:t>(21)</w:t>
      </w:r>
      <w:r>
        <w:tab/>
        <w:t>Ropes within classification 1 of table 145.</w:t>
      </w:r>
    </w:p>
    <w:p w:rsidR="00B40966" w:rsidRDefault="00B40966">
      <w:pPr>
        <w:pStyle w:val="Amain"/>
      </w:pPr>
      <w:r>
        <w:tab/>
        <w:t>(22)</w:t>
      </w:r>
      <w:r>
        <w:tab/>
        <w:t>Ropes within classification 2 of table 145.</w:t>
      </w:r>
    </w:p>
    <w:p w:rsidR="00B40966" w:rsidRDefault="00B40966">
      <w:pPr>
        <w:pStyle w:val="Amain"/>
      </w:pPr>
      <w:r>
        <w:tab/>
        <w:t>(23)</w:t>
      </w:r>
      <w:r>
        <w:tab/>
        <w:t>Unless first approved by the chief inspector no fibre rope shall be used of other design or other material than that provided in Australian Standard Specifications mentioned in subsection (19).</w:t>
      </w:r>
    </w:p>
    <w:p w:rsidR="00B40966" w:rsidRDefault="00B40966">
      <w:pPr>
        <w:pStyle w:val="TableHd"/>
      </w:pPr>
      <w:r>
        <w:t>Table 145</w:t>
      </w:r>
      <w:r>
        <w:tab/>
        <w:t>Classification of fibre rope for purposes of design, construction and use</w:t>
      </w:r>
    </w:p>
    <w:tbl>
      <w:tblPr>
        <w:tblW w:w="0" w:type="auto"/>
        <w:tblLayout w:type="fixed"/>
        <w:tblCellMar>
          <w:left w:w="80" w:type="dxa"/>
          <w:right w:w="80" w:type="dxa"/>
        </w:tblCellMar>
        <w:tblLook w:val="0000" w:firstRow="0" w:lastRow="0" w:firstColumn="0" w:lastColumn="0" w:noHBand="0" w:noVBand="0"/>
      </w:tblPr>
      <w:tblGrid>
        <w:gridCol w:w="1580"/>
        <w:gridCol w:w="3687"/>
        <w:gridCol w:w="2041"/>
      </w:tblGrid>
      <w:tr w:rsidR="00B40966">
        <w:trPr>
          <w:cantSplit/>
        </w:trPr>
        <w:tc>
          <w:tcPr>
            <w:tcW w:w="1580" w:type="dxa"/>
            <w:tcBorders>
              <w:bottom w:val="single" w:sz="4" w:space="0" w:color="auto"/>
            </w:tcBorders>
            <w:vAlign w:val="bottom"/>
          </w:tcPr>
          <w:p w:rsidR="00B40966" w:rsidRDefault="00B40966">
            <w:pPr>
              <w:pStyle w:val="TableColHd"/>
            </w:pPr>
            <w:r>
              <w:t>classification number</w:t>
            </w:r>
          </w:p>
        </w:tc>
        <w:tc>
          <w:tcPr>
            <w:tcW w:w="3687" w:type="dxa"/>
            <w:tcBorders>
              <w:bottom w:val="single" w:sz="4" w:space="0" w:color="auto"/>
            </w:tcBorders>
            <w:vAlign w:val="bottom"/>
          </w:tcPr>
          <w:p w:rsidR="00B40966" w:rsidRDefault="00B40966">
            <w:pPr>
              <w:pStyle w:val="TableColHd"/>
            </w:pPr>
            <w:r>
              <w:t xml:space="preserve">classification of crane, hoist, lift, plant </w:t>
            </w:r>
            <w:r>
              <w:br/>
              <w:t>or scaffolding in connection with which the fibre rope is used</w:t>
            </w:r>
          </w:p>
        </w:tc>
        <w:tc>
          <w:tcPr>
            <w:tcW w:w="2041" w:type="dxa"/>
            <w:tcBorders>
              <w:bottom w:val="single" w:sz="4" w:space="0" w:color="auto"/>
            </w:tcBorders>
            <w:vAlign w:val="bottom"/>
          </w:tcPr>
          <w:p w:rsidR="00B40966" w:rsidRDefault="00B40966">
            <w:pPr>
              <w:pStyle w:val="TableColHd"/>
            </w:pPr>
            <w:r>
              <w:t>rope used for other purposes</w:t>
            </w:r>
          </w:p>
        </w:tc>
      </w:tr>
      <w:tr w:rsidR="00B40966">
        <w:trPr>
          <w:cantSplit/>
        </w:trPr>
        <w:tc>
          <w:tcPr>
            <w:tcW w:w="1580" w:type="dxa"/>
            <w:tcBorders>
              <w:top w:val="single" w:sz="4" w:space="0" w:color="auto"/>
            </w:tcBorders>
          </w:tcPr>
          <w:p w:rsidR="00B40966" w:rsidRDefault="00B40966">
            <w:pPr>
              <w:pStyle w:val="TableText"/>
            </w:pPr>
            <w:r>
              <w:t>1</w:t>
            </w:r>
          </w:p>
        </w:tc>
        <w:tc>
          <w:tcPr>
            <w:tcW w:w="3687" w:type="dxa"/>
            <w:tcBorders>
              <w:top w:val="single" w:sz="4" w:space="0" w:color="auto"/>
            </w:tcBorders>
          </w:tcPr>
          <w:p w:rsidR="00B40966" w:rsidRDefault="00B40966">
            <w:pPr>
              <w:pStyle w:val="TableText"/>
            </w:pPr>
            <w:r>
              <w:t>classification No 1, 2 and 3</w:t>
            </w:r>
          </w:p>
        </w:tc>
        <w:tc>
          <w:tcPr>
            <w:tcW w:w="2041" w:type="dxa"/>
            <w:tcBorders>
              <w:top w:val="single" w:sz="4" w:space="0" w:color="auto"/>
            </w:tcBorders>
          </w:tcPr>
          <w:p w:rsidR="00B40966" w:rsidRDefault="00B40966">
            <w:pPr>
              <w:pStyle w:val="TableText"/>
            </w:pPr>
            <w:r>
              <w:t>building work, excavation work, or compressed air work</w:t>
            </w:r>
          </w:p>
        </w:tc>
      </w:tr>
      <w:tr w:rsidR="00B40966">
        <w:trPr>
          <w:cantSplit/>
        </w:trPr>
        <w:tc>
          <w:tcPr>
            <w:tcW w:w="1580" w:type="dxa"/>
          </w:tcPr>
          <w:p w:rsidR="00B40966" w:rsidRDefault="00B40966">
            <w:pPr>
              <w:pStyle w:val="TableText"/>
            </w:pPr>
            <w:r>
              <w:t>2</w:t>
            </w:r>
          </w:p>
        </w:tc>
        <w:tc>
          <w:tcPr>
            <w:tcW w:w="3687" w:type="dxa"/>
          </w:tcPr>
          <w:p w:rsidR="00B40966" w:rsidRDefault="00B40966">
            <w:pPr>
              <w:pStyle w:val="TableText"/>
            </w:pPr>
            <w:r>
              <w:t>classification No 4</w:t>
            </w:r>
          </w:p>
        </w:tc>
        <w:tc>
          <w:tcPr>
            <w:tcW w:w="2041" w:type="dxa"/>
          </w:tcPr>
          <w:p w:rsidR="00B40966" w:rsidRDefault="00B40966">
            <w:pPr>
              <w:pStyle w:val="TableText"/>
            </w:pPr>
            <w:r>
              <w:tab/>
            </w:r>
          </w:p>
        </w:tc>
      </w:tr>
    </w:tbl>
    <w:p w:rsidR="00B40966" w:rsidRDefault="00B40966"/>
    <w:p w:rsidR="00B40966" w:rsidRDefault="00B40966">
      <w:pPr>
        <w:pStyle w:val="Assectheading"/>
        <w:rPr>
          <w:i w:val="0"/>
        </w:rPr>
      </w:pPr>
      <w:r>
        <w:rPr>
          <w:rStyle w:val="charItals"/>
          <w:i/>
        </w:rPr>
        <w:t>Ratio of drum (barrel) or sheave diameter to rope diameter</w:t>
      </w:r>
    </w:p>
    <w:p w:rsidR="00B40966" w:rsidRDefault="00B40966">
      <w:pPr>
        <w:pStyle w:val="Amain"/>
      </w:pPr>
      <w:r>
        <w:tab/>
        <w:t>(24)</w:t>
      </w:r>
      <w:r>
        <w:tab/>
        <w:t>The diameter of any drum, barrel, roller, sheave or quadrant measured at the surface on which the rope operates shall be not less than 5 times the diameter of the rope concerned if hand-operated, or 10 times the rope diameter if power-operated.</w:t>
      </w:r>
    </w:p>
    <w:p w:rsidR="00B40966" w:rsidRDefault="00B40966">
      <w:pPr>
        <w:pStyle w:val="Assectheading"/>
      </w:pPr>
      <w:r>
        <w:rPr>
          <w:rStyle w:val="charItals"/>
          <w:i/>
        </w:rPr>
        <w:t>Guards</w:t>
      </w:r>
    </w:p>
    <w:p w:rsidR="00B40966" w:rsidRDefault="00B40966">
      <w:pPr>
        <w:pStyle w:val="Amain"/>
      </w:pPr>
      <w:r>
        <w:tab/>
        <w:t>(25)</w:t>
      </w:r>
      <w:r>
        <w:tab/>
        <w:t>Guards shall be provided to prevent ropes becoming displaced from sheaves, rollers or quadrants.</w:t>
      </w:r>
    </w:p>
    <w:p w:rsidR="00B40966" w:rsidRDefault="00B40966">
      <w:pPr>
        <w:pStyle w:val="Assectheading"/>
      </w:pPr>
      <w:r>
        <w:rPr>
          <w:rStyle w:val="charItals"/>
          <w:i/>
        </w:rPr>
        <w:t>Rope anchorages</w:t>
      </w:r>
    </w:p>
    <w:p w:rsidR="00B40966" w:rsidRDefault="00B40966">
      <w:pPr>
        <w:pStyle w:val="Amain"/>
      </w:pPr>
      <w:r>
        <w:tab/>
        <w:t>(26)</w:t>
      </w:r>
      <w:r>
        <w:tab/>
        <w:t>Each rope anchorage shall be capable of withstanding 75% of the ultimate tensile strength of the rope attached to it.</w:t>
      </w:r>
    </w:p>
    <w:p w:rsidR="00B40966" w:rsidRDefault="00B40966">
      <w:pPr>
        <w:pStyle w:val="Amain"/>
      </w:pPr>
      <w:r>
        <w:tab/>
        <w:t>(27)</w:t>
      </w:r>
      <w:r>
        <w:tab/>
        <w:t>Rope anchorages shall be readily accessible at all times.</w:t>
      </w:r>
    </w:p>
    <w:p w:rsidR="00B40966" w:rsidRDefault="00B40966">
      <w:pPr>
        <w:pStyle w:val="Amain"/>
      </w:pPr>
      <w:r>
        <w:tab/>
        <w:t>(28)</w:t>
      </w:r>
      <w:r>
        <w:tab/>
        <w:t>There shall be at least 2 full turns of each rope remaining on the drum or barrel when the hook or other lifting or hauling medium is fully lowered or unwound.</w:t>
      </w:r>
    </w:p>
    <w:p w:rsidR="00B40966" w:rsidRDefault="00B40966">
      <w:pPr>
        <w:pStyle w:val="Assectheading"/>
      </w:pPr>
      <w:r>
        <w:rPr>
          <w:rStyle w:val="charItals"/>
          <w:i/>
        </w:rPr>
        <w:t>Splicing</w:t>
      </w:r>
    </w:p>
    <w:p w:rsidR="00B40966" w:rsidRDefault="00B40966">
      <w:pPr>
        <w:pStyle w:val="Amain"/>
      </w:pPr>
      <w:r>
        <w:tab/>
        <w:t>(29)</w:t>
      </w:r>
      <w:r>
        <w:tab/>
        <w:t>Eye splices shall have at least 3 tucks with each whole strand of the rope, made under and over against the lay of the rope, and followed by effective dog-knotting.</w:t>
      </w:r>
    </w:p>
    <w:p w:rsidR="00B40966" w:rsidRDefault="00B40966">
      <w:pPr>
        <w:pStyle w:val="Amain"/>
      </w:pPr>
      <w:r>
        <w:tab/>
        <w:t>(30)</w:t>
      </w:r>
      <w:r>
        <w:tab/>
        <w:t>The splice shall be tightly drawn and neatly made.</w:t>
      </w:r>
    </w:p>
    <w:p w:rsidR="00B40966" w:rsidRDefault="00B40966">
      <w:pPr>
        <w:pStyle w:val="Amain"/>
      </w:pPr>
      <w:r>
        <w:tab/>
        <w:t>(31)</w:t>
      </w:r>
      <w:r>
        <w:tab/>
        <w:t>Thimbles shall be used if ropes are spliced to hooks, shackles, rings, swivels, pins, eyes or analogous media.</w:t>
      </w:r>
    </w:p>
    <w:p w:rsidR="00B40966" w:rsidRDefault="00B40966">
      <w:pPr>
        <w:pStyle w:val="Assectheading"/>
      </w:pPr>
      <w:r>
        <w:rPr>
          <w:rStyle w:val="charItals"/>
          <w:i/>
        </w:rPr>
        <w:t>Periodic inspection of rope</w:t>
      </w:r>
    </w:p>
    <w:p w:rsidR="00B40966" w:rsidRDefault="00B40966">
      <w:pPr>
        <w:pStyle w:val="Amain"/>
      </w:pPr>
      <w:r>
        <w:tab/>
        <w:t>(32)</w:t>
      </w:r>
      <w:r>
        <w:tab/>
        <w:t>No person shall use any fibre rope or any attachment of it unless the rope and the attachments have been subjected to close detailed examinations at the intervals that are necessary or advisable to ensure that defective ropes or attachments are not used.</w:t>
      </w:r>
    </w:p>
    <w:p w:rsidR="00B40966" w:rsidRDefault="00B40966">
      <w:pPr>
        <w:pStyle w:val="AH4SubDiv"/>
      </w:pPr>
      <w:bookmarkStart w:id="288" w:name="_Toc87258124"/>
      <w:r>
        <w:t>Airlocks</w:t>
      </w:r>
      <w:bookmarkEnd w:id="288"/>
    </w:p>
    <w:p w:rsidR="00B40966" w:rsidRDefault="00B40966">
      <w:pPr>
        <w:pStyle w:val="AH5Sec"/>
      </w:pPr>
      <w:bookmarkStart w:id="289" w:name="_Toc87258125"/>
      <w:r>
        <w:rPr>
          <w:rStyle w:val="CharSectNo"/>
        </w:rPr>
        <w:t>146</w:t>
      </w:r>
      <w:bookmarkEnd w:id="289"/>
      <w:r>
        <w:tab/>
        <w:t xml:space="preserve">  </w:t>
      </w:r>
    </w:p>
    <w:p w:rsidR="00B40966" w:rsidRDefault="00B40966">
      <w:pPr>
        <w:pStyle w:val="Amainreturn"/>
        <w:keepLines/>
      </w:pPr>
      <w:r>
        <w:t>Every airlock shall be designed and constructed in accordance with the provisions of the Australian Standard Rules for the Design, Construction, Inspection and Operation of Boilers and Unfired Pressure Vessels and their Appurtenances published by Standards Australia, as revised in 1942.</w:t>
      </w:r>
    </w:p>
    <w:p w:rsidR="00B40966" w:rsidRDefault="00B40966">
      <w:pPr>
        <w:pStyle w:val="AH4SubDiv"/>
      </w:pPr>
      <w:bookmarkStart w:id="290" w:name="_Toc87258126"/>
      <w:r>
        <w:t>Bordeaux connections</w:t>
      </w:r>
      <w:bookmarkEnd w:id="290"/>
    </w:p>
    <w:p w:rsidR="00B40966" w:rsidRDefault="00B40966">
      <w:pPr>
        <w:pStyle w:val="AH5Sec"/>
      </w:pPr>
      <w:bookmarkStart w:id="291" w:name="_Toc87258127"/>
      <w:r>
        <w:rPr>
          <w:rStyle w:val="CharSectNo"/>
        </w:rPr>
        <w:t>147</w:t>
      </w:r>
      <w:bookmarkEnd w:id="291"/>
      <w:r>
        <w:tab/>
        <w:t xml:space="preserve">  </w:t>
      </w:r>
    </w:p>
    <w:p w:rsidR="00B40966" w:rsidRDefault="00B40966">
      <w:pPr>
        <w:pStyle w:val="Amainreturn"/>
      </w:pPr>
      <w:r>
        <w:t>Bordeaux connections for connecting wire rope to crane chain, and fittings used in a like way shall comply with the provisions of British Standard Specification No 461—1932, promulgated by the British Standards Institution, England, except as may be otherwise provided in this regulation.</w:t>
      </w:r>
    </w:p>
    <w:p w:rsidR="00B40966" w:rsidRDefault="00B40966">
      <w:pPr>
        <w:pStyle w:val="AH4SubDiv"/>
      </w:pPr>
      <w:bookmarkStart w:id="292" w:name="_Toc87258128"/>
      <w:r>
        <w:t>Sockets for wire ropes</w:t>
      </w:r>
      <w:bookmarkEnd w:id="292"/>
    </w:p>
    <w:p w:rsidR="00B40966" w:rsidRDefault="00B40966">
      <w:pPr>
        <w:pStyle w:val="AH5Sec"/>
      </w:pPr>
      <w:bookmarkStart w:id="293" w:name="_Toc87258129"/>
      <w:r>
        <w:rPr>
          <w:rStyle w:val="CharSectNo"/>
        </w:rPr>
        <w:t>148</w:t>
      </w:r>
      <w:bookmarkEnd w:id="293"/>
      <w:r>
        <w:tab/>
        <w:t xml:space="preserve">  </w:t>
      </w:r>
    </w:p>
    <w:p w:rsidR="00B40966" w:rsidRDefault="00B40966">
      <w:pPr>
        <w:pStyle w:val="Amainreturn"/>
      </w:pPr>
      <w:r>
        <w:t>Sockets for wire rope and fittings used in a like way shall comply with the provisions of British Standard Specification No 463—1946, promulgated by the British Standards Institution, England, except as may be otherwise provided in this regulation.</w:t>
      </w:r>
    </w:p>
    <w:p w:rsidR="00B40966" w:rsidRDefault="00B40966">
      <w:pPr>
        <w:pStyle w:val="AH4SubDiv"/>
      </w:pPr>
      <w:bookmarkStart w:id="294" w:name="_Toc87258130"/>
      <w:r>
        <w:t>Thimbles for wire and fibre rope</w:t>
      </w:r>
      <w:bookmarkEnd w:id="294"/>
    </w:p>
    <w:p w:rsidR="00B40966" w:rsidRDefault="00B40966">
      <w:pPr>
        <w:pStyle w:val="AH5Sec"/>
      </w:pPr>
      <w:bookmarkStart w:id="295" w:name="_Toc87258131"/>
      <w:r>
        <w:rPr>
          <w:rStyle w:val="CharSectNo"/>
        </w:rPr>
        <w:t>149</w:t>
      </w:r>
      <w:bookmarkEnd w:id="295"/>
      <w:r>
        <w:tab/>
        <w:t xml:space="preserve">  </w:t>
      </w:r>
    </w:p>
    <w:p w:rsidR="00B40966" w:rsidRDefault="00B40966">
      <w:pPr>
        <w:pStyle w:val="Amainreturn"/>
      </w:pPr>
      <w:r>
        <w:t>Thimbles for wire and fibre rope shall be of approved design and construction.</w:t>
      </w:r>
    </w:p>
    <w:p w:rsidR="00B40966" w:rsidRDefault="00B40966">
      <w:pPr>
        <w:pStyle w:val="AH4SubDiv"/>
      </w:pPr>
      <w:bookmarkStart w:id="296" w:name="_Toc87258132"/>
      <w:r>
        <w:t>Steel eye bolts</w:t>
      </w:r>
      <w:bookmarkEnd w:id="296"/>
    </w:p>
    <w:p w:rsidR="00B40966" w:rsidRDefault="00B40966">
      <w:pPr>
        <w:pStyle w:val="AH5Sec"/>
      </w:pPr>
      <w:bookmarkStart w:id="297" w:name="_Toc87258133"/>
      <w:r>
        <w:rPr>
          <w:rStyle w:val="CharSectNo"/>
        </w:rPr>
        <w:t>150</w:t>
      </w:r>
      <w:bookmarkEnd w:id="297"/>
      <w:r>
        <w:tab/>
        <w:t xml:space="preserve">  </w:t>
      </w:r>
    </w:p>
    <w:p w:rsidR="00B40966" w:rsidRDefault="00B40966">
      <w:pPr>
        <w:pStyle w:val="Amain"/>
      </w:pPr>
      <w:r>
        <w:tab/>
        <w:t>(1)</w:t>
      </w:r>
      <w:r>
        <w:tab/>
        <w:t>Steel eye bolts and analogous fittings shall comply with the provisions of British Standard Specification No 529, parts 1 and 2, 1944, promulgated by the British Standards Institution, England, except as may be otherwise provided in this regulation.</w:t>
      </w:r>
    </w:p>
    <w:p w:rsidR="00B40966" w:rsidRDefault="00B40966">
      <w:pPr>
        <w:pStyle w:val="Amain"/>
      </w:pPr>
      <w:r>
        <w:tab/>
        <w:t>(2)</w:t>
      </w:r>
      <w:r>
        <w:tab/>
        <w:t>The maximum load in the threaded part of an eye bolt shall not exceed that prescribed by section 126 (38) having due regard to the classification of the eye bolt.</w:t>
      </w:r>
    </w:p>
    <w:p w:rsidR="00B40966" w:rsidRDefault="00B40966">
      <w:pPr>
        <w:pStyle w:val="Amain"/>
      </w:pPr>
      <w:r>
        <w:tab/>
        <w:t>(3)</w:t>
      </w:r>
      <w:r>
        <w:tab/>
        <w:t xml:space="preserve">Eye bolts without collars shall, unless otherwise approved, be used only for direct axial loading. </w:t>
      </w:r>
    </w:p>
    <w:p w:rsidR="00B40966" w:rsidRDefault="00B40966">
      <w:pPr>
        <w:pStyle w:val="AH4SubDiv"/>
        <w:ind w:left="0" w:firstLine="0"/>
      </w:pPr>
      <w:bookmarkStart w:id="298" w:name="_Toc87258134"/>
      <w:r>
        <w:t>Mild steel rigging screws, and stretching screws and turnbuckles</w:t>
      </w:r>
      <w:bookmarkEnd w:id="298"/>
    </w:p>
    <w:p w:rsidR="00B40966" w:rsidRDefault="00B40966">
      <w:pPr>
        <w:pStyle w:val="AH5Sec"/>
      </w:pPr>
      <w:bookmarkStart w:id="299" w:name="_Toc87258135"/>
      <w:r>
        <w:rPr>
          <w:rStyle w:val="CharSectNo"/>
        </w:rPr>
        <w:t>151</w:t>
      </w:r>
      <w:bookmarkEnd w:id="299"/>
      <w:r>
        <w:tab/>
        <w:t xml:space="preserve">  </w:t>
      </w:r>
    </w:p>
    <w:p w:rsidR="00B40966" w:rsidRDefault="00B40966">
      <w:pPr>
        <w:pStyle w:val="Amain"/>
      </w:pPr>
      <w:r>
        <w:tab/>
        <w:t>(1)</w:t>
      </w:r>
      <w:r>
        <w:tab/>
        <w:t>Mild steel rigging screws, and stretching screws and turnbuckles and analogous fittings shall comply with the provision of British Standard Specification No 716—1937, promulgated by the British Standards Institution, England, except as may be otherwise provided in this regulation.</w:t>
      </w:r>
    </w:p>
    <w:p w:rsidR="00B40966" w:rsidRDefault="00B40966">
      <w:pPr>
        <w:pStyle w:val="Amain"/>
      </w:pPr>
      <w:r>
        <w:tab/>
        <w:t>(2)</w:t>
      </w:r>
      <w:r>
        <w:tab/>
        <w:t>The maximum load in the threaded section of any tensile male component of these fittings shall not exceed that prescribed by section 126</w:t>
      </w:r>
      <w:r>
        <w:rPr>
          <w:b/>
        </w:rPr>
        <w:t xml:space="preserve"> </w:t>
      </w:r>
      <w:r>
        <w:t>(38)</w:t>
      </w:r>
      <w:r>
        <w:rPr>
          <w:b/>
        </w:rPr>
        <w:t xml:space="preserve"> </w:t>
      </w:r>
      <w:r>
        <w:t>having due regard to classification.</w:t>
      </w:r>
    </w:p>
    <w:p w:rsidR="00B40966" w:rsidRDefault="00B40966">
      <w:pPr>
        <w:pStyle w:val="AH4SubDiv"/>
      </w:pPr>
      <w:bookmarkStart w:id="300" w:name="_Toc87258136"/>
      <w:r>
        <w:t>Mild steel shackles</w:t>
      </w:r>
      <w:bookmarkEnd w:id="300"/>
    </w:p>
    <w:p w:rsidR="00B40966" w:rsidRDefault="00B40966">
      <w:pPr>
        <w:pStyle w:val="AH5Sec"/>
      </w:pPr>
      <w:bookmarkStart w:id="301" w:name="_Toc87258137"/>
      <w:r>
        <w:rPr>
          <w:rStyle w:val="CharSectNo"/>
        </w:rPr>
        <w:t>152</w:t>
      </w:r>
      <w:bookmarkEnd w:id="301"/>
      <w:r>
        <w:tab/>
        <w:t xml:space="preserve">  </w:t>
      </w:r>
    </w:p>
    <w:p w:rsidR="00B40966" w:rsidRDefault="00B40966">
      <w:pPr>
        <w:pStyle w:val="Amainreturn"/>
      </w:pPr>
      <w:r>
        <w:t>Mild steel shackles and analogous fittings shall comply with British Standard Specification No  825—1939, promulgated by the British Standards Institution, England, except as may be otherwise provided in this regulation.</w:t>
      </w:r>
    </w:p>
    <w:p w:rsidR="00B40966" w:rsidRDefault="00B40966">
      <w:pPr>
        <w:pStyle w:val="AH4SubDiv"/>
        <w:ind w:left="0" w:firstLine="0"/>
      </w:pPr>
      <w:bookmarkStart w:id="302" w:name="_Toc87258138"/>
      <w:r>
        <w:t>Rings, links alternative to rings, egg links and Intermediate links</w:t>
      </w:r>
      <w:bookmarkEnd w:id="302"/>
    </w:p>
    <w:p w:rsidR="00B40966" w:rsidRDefault="00B40966">
      <w:pPr>
        <w:pStyle w:val="AH5Sec"/>
      </w:pPr>
      <w:bookmarkStart w:id="303" w:name="_Toc87258139"/>
      <w:r>
        <w:rPr>
          <w:rStyle w:val="CharSectNo"/>
        </w:rPr>
        <w:t>153</w:t>
      </w:r>
      <w:bookmarkEnd w:id="303"/>
      <w:r>
        <w:tab/>
        <w:t xml:space="preserve">  </w:t>
      </w:r>
    </w:p>
    <w:p w:rsidR="00B40966" w:rsidRDefault="00B40966">
      <w:pPr>
        <w:pStyle w:val="Amainreturn"/>
      </w:pPr>
      <w:r>
        <w:t>Rings, links alternative to rings, egg links and intermediate links, and analogous fittings shall comply with the provisions of British Standard Specification No 781—1938, promulgated by the British Standards Institution, England, except as may be otherwise provided in this regulation.</w:t>
      </w:r>
    </w:p>
    <w:p w:rsidR="00B40966" w:rsidRDefault="00B40966">
      <w:pPr>
        <w:pStyle w:val="AH4SubDiv"/>
      </w:pPr>
      <w:bookmarkStart w:id="304" w:name="_Toc87258140"/>
      <w:r>
        <w:t>Handrails</w:t>
      </w:r>
      <w:bookmarkEnd w:id="304"/>
    </w:p>
    <w:p w:rsidR="00B40966" w:rsidRDefault="00B40966">
      <w:pPr>
        <w:pStyle w:val="AH5Sec"/>
      </w:pPr>
      <w:bookmarkStart w:id="305" w:name="_Toc87258141"/>
      <w:r>
        <w:rPr>
          <w:rStyle w:val="CharSectNo"/>
        </w:rPr>
        <w:t>154</w:t>
      </w:r>
      <w:bookmarkEnd w:id="305"/>
      <w:r>
        <w:tab/>
        <w:t xml:space="preserve">  </w:t>
      </w:r>
    </w:p>
    <w:p w:rsidR="00B40966" w:rsidRDefault="00B40966">
      <w:pPr>
        <w:pStyle w:val="Amain"/>
      </w:pPr>
      <w:r>
        <w:tab/>
        <w:t>(1)</w:t>
      </w:r>
      <w:r>
        <w:tab/>
        <w:t>Except if otherwise provided—</w:t>
      </w:r>
    </w:p>
    <w:p w:rsidR="00B40966" w:rsidRDefault="00B40966">
      <w:pPr>
        <w:pStyle w:val="Apara"/>
      </w:pPr>
      <w:r>
        <w:tab/>
        <w:t>(a)</w:t>
      </w:r>
      <w:r>
        <w:tab/>
        <w:t>handrails shall be fixed at a height of 3 feet above the working platforms or surfaces served, and shall be strongly supported at points not further apart than 8 feet; and</w:t>
      </w:r>
    </w:p>
    <w:p w:rsidR="00B40966" w:rsidRDefault="00B40966">
      <w:pPr>
        <w:pStyle w:val="Apara"/>
      </w:pPr>
      <w:r>
        <w:tab/>
        <w:t>(b)</w:t>
      </w:r>
      <w:r>
        <w:tab/>
        <w:t>handrails shall be of not less strength and rigidity than the following alternative members:</w:t>
      </w:r>
    </w:p>
    <w:p w:rsidR="00B40966" w:rsidRDefault="00B40966">
      <w:pPr>
        <w:pStyle w:val="Asubpara"/>
      </w:pPr>
      <w:r>
        <w:tab/>
        <w:t>(i)</w:t>
      </w:r>
      <w:r>
        <w:tab/>
        <w:t>if of timber—pine timber not less than 3 inches in depth by 2 inches in horizontal width; or</w:t>
      </w:r>
    </w:p>
    <w:p w:rsidR="00B40966" w:rsidRDefault="00B40966">
      <w:pPr>
        <w:pStyle w:val="Asubpara"/>
      </w:pPr>
      <w:r>
        <w:tab/>
        <w:t>(ii)</w:t>
      </w:r>
      <w:r>
        <w:tab/>
        <w:t>if of steel—steel water pipe of 1 inch diameter nominal bore, having a wall thickness not less than 0.144 of an inch; or</w:t>
      </w:r>
    </w:p>
    <w:p w:rsidR="00B40966" w:rsidRDefault="00B40966">
      <w:pPr>
        <w:pStyle w:val="Asubpara"/>
      </w:pPr>
      <w:r>
        <w:tab/>
        <w:t>(iii)</w:t>
      </w:r>
      <w:r>
        <w:tab/>
        <w:t>if of rolled mild steel—rolled mild steel angle section 1</w:t>
      </w:r>
      <w:r>
        <w:rPr>
          <w:position w:val="6"/>
          <w:sz w:val="18"/>
        </w:rPr>
        <w:t>3</w:t>
      </w:r>
      <w:r>
        <w:t>/</w:t>
      </w:r>
      <w:r>
        <w:rPr>
          <w:sz w:val="18"/>
        </w:rPr>
        <w:t>4</w:t>
      </w:r>
      <w:r>
        <w:t xml:space="preserve"> inches by 1</w:t>
      </w:r>
      <w:r>
        <w:rPr>
          <w:position w:val="6"/>
          <w:sz w:val="18"/>
        </w:rPr>
        <w:t>3</w:t>
      </w:r>
      <w:r>
        <w:t>/</w:t>
      </w:r>
      <w:r>
        <w:rPr>
          <w:sz w:val="18"/>
        </w:rPr>
        <w:t>4</w:t>
      </w:r>
      <w:r>
        <w:t xml:space="preserve"> inches by </w:t>
      </w:r>
      <w:r>
        <w:rPr>
          <w:position w:val="6"/>
          <w:sz w:val="18"/>
        </w:rPr>
        <w:t>1</w:t>
      </w:r>
      <w:r>
        <w:t>/</w:t>
      </w:r>
      <w:r>
        <w:rPr>
          <w:sz w:val="18"/>
        </w:rPr>
        <w:t>4</w:t>
      </w:r>
      <w:r>
        <w:t xml:space="preserve"> of an inch.</w:t>
      </w:r>
    </w:p>
    <w:p w:rsidR="00B40966" w:rsidRDefault="00B40966">
      <w:pPr>
        <w:pStyle w:val="Amain"/>
      </w:pPr>
      <w:r>
        <w:tab/>
        <w:t>(2)</w:t>
      </w:r>
      <w:r>
        <w:tab/>
        <w:t xml:space="preserve">Unless otherwise approved, handrail stanchions or standards shall be welded or bolted in place, with bolts each not less than </w:t>
      </w:r>
      <w:r>
        <w:rPr>
          <w:position w:val="6"/>
          <w:sz w:val="18"/>
        </w:rPr>
        <w:t>3</w:t>
      </w:r>
      <w:r>
        <w:t>/</w:t>
      </w:r>
      <w:r>
        <w:rPr>
          <w:sz w:val="18"/>
        </w:rPr>
        <w:t>8</w:t>
      </w:r>
      <w:r>
        <w:t xml:space="preserve"> of an inch in diameter and having washers under heads and nuts.</w:t>
      </w:r>
    </w:p>
    <w:p w:rsidR="00B40966" w:rsidRDefault="00B40966">
      <w:pPr>
        <w:pStyle w:val="Amain"/>
        <w:keepNext/>
      </w:pPr>
      <w:r>
        <w:tab/>
        <w:t>(3)</w:t>
      </w:r>
      <w:r>
        <w:tab/>
        <w:t>Handrails shall be strongly secured to standards by—</w:t>
      </w:r>
    </w:p>
    <w:p w:rsidR="00B40966" w:rsidRDefault="00B40966">
      <w:pPr>
        <w:pStyle w:val="Apara"/>
      </w:pPr>
      <w:r>
        <w:tab/>
        <w:t>(a)</w:t>
      </w:r>
      <w:r>
        <w:tab/>
        <w:t xml:space="preserve">steel U-strips not less than 1 inch in width and </w:t>
      </w:r>
      <w:r>
        <w:rPr>
          <w:position w:val="6"/>
          <w:sz w:val="18"/>
        </w:rPr>
        <w:t>1</w:t>
      </w:r>
      <w:r>
        <w:t>/</w:t>
      </w:r>
      <w:r>
        <w:rPr>
          <w:sz w:val="18"/>
        </w:rPr>
        <w:t>16</w:t>
      </w:r>
      <w:r>
        <w:t xml:space="preserve"> of an inch in thickness, strongly spiked or screwed in place; or</w:t>
      </w:r>
    </w:p>
    <w:p w:rsidR="00B40966" w:rsidRDefault="00B40966">
      <w:pPr>
        <w:pStyle w:val="Apara"/>
      </w:pPr>
      <w:r>
        <w:tab/>
        <w:t>(b)</w:t>
      </w:r>
      <w:r>
        <w:tab/>
        <w:t>bolts as for standards; or</w:t>
      </w:r>
    </w:p>
    <w:p w:rsidR="00B40966" w:rsidRDefault="00B40966">
      <w:pPr>
        <w:pStyle w:val="Apara"/>
      </w:pPr>
      <w:r>
        <w:tab/>
        <w:t>(c)</w:t>
      </w:r>
      <w:r>
        <w:tab/>
        <w:t>approved cleats or approved lashings; or</w:t>
      </w:r>
    </w:p>
    <w:p w:rsidR="00B40966" w:rsidRDefault="00B40966">
      <w:pPr>
        <w:pStyle w:val="Apara"/>
      </w:pPr>
      <w:r>
        <w:tab/>
        <w:t>(d)</w:t>
      </w:r>
      <w:r>
        <w:tab/>
        <w:t>by adequate full-strength welding.</w:t>
      </w:r>
    </w:p>
    <w:p w:rsidR="00B40966" w:rsidRDefault="00B40966">
      <w:pPr>
        <w:pStyle w:val="AH4SubDiv"/>
      </w:pPr>
      <w:bookmarkStart w:id="306" w:name="_Toc87258142"/>
      <w:r>
        <w:t>Rope clips</w:t>
      </w:r>
      <w:bookmarkEnd w:id="306"/>
    </w:p>
    <w:p w:rsidR="00B40966" w:rsidRDefault="00B40966">
      <w:pPr>
        <w:pStyle w:val="AH5Sec"/>
      </w:pPr>
      <w:bookmarkStart w:id="307" w:name="_Toc87258143"/>
      <w:r>
        <w:rPr>
          <w:rStyle w:val="CharSectNo"/>
        </w:rPr>
        <w:t>155</w:t>
      </w:r>
      <w:bookmarkEnd w:id="307"/>
      <w:r>
        <w:tab/>
        <w:t xml:space="preserve">  </w:t>
      </w:r>
    </w:p>
    <w:p w:rsidR="00B40966" w:rsidRDefault="00B40966">
      <w:pPr>
        <w:pStyle w:val="Amainreturn"/>
      </w:pPr>
      <w:r>
        <w:t>Rope clips shall not be used unless—</w:t>
      </w:r>
    </w:p>
    <w:p w:rsidR="00B40966" w:rsidRDefault="00B40966">
      <w:pPr>
        <w:pStyle w:val="Apara"/>
      </w:pPr>
      <w:r>
        <w:tab/>
        <w:t>(a)</w:t>
      </w:r>
      <w:r>
        <w:tab/>
        <w:t>they are of approved design and construction; and</w:t>
      </w:r>
    </w:p>
    <w:p w:rsidR="00B40966" w:rsidRDefault="00B40966">
      <w:pPr>
        <w:pStyle w:val="Apara"/>
      </w:pPr>
      <w:r>
        <w:tab/>
        <w:t>(b)</w:t>
      </w:r>
      <w:r>
        <w:tab/>
        <w:t>they are used only for the purpose and in the way approved.</w:t>
      </w:r>
    </w:p>
    <w:p w:rsidR="00B40966" w:rsidRDefault="00B40966">
      <w:pPr>
        <w:pStyle w:val="AH4SubDiv"/>
      </w:pPr>
      <w:bookmarkStart w:id="308" w:name="_Toc87258144"/>
      <w:r>
        <w:t>Gin blocks used with fibre rope</w:t>
      </w:r>
      <w:bookmarkEnd w:id="308"/>
    </w:p>
    <w:p w:rsidR="00B40966" w:rsidRDefault="00B40966">
      <w:pPr>
        <w:pStyle w:val="AH5Sec"/>
      </w:pPr>
      <w:bookmarkStart w:id="309" w:name="_Toc87258145"/>
      <w:r>
        <w:rPr>
          <w:rStyle w:val="CharSectNo"/>
        </w:rPr>
        <w:t>156</w:t>
      </w:r>
      <w:bookmarkEnd w:id="309"/>
      <w:r>
        <w:tab/>
        <w:t xml:space="preserve">  </w:t>
      </w:r>
    </w:p>
    <w:p w:rsidR="00B40966" w:rsidRDefault="00B40966">
      <w:pPr>
        <w:pStyle w:val="Assectheading"/>
      </w:pPr>
      <w:r>
        <w:rPr>
          <w:rStyle w:val="charItals"/>
          <w:i/>
        </w:rPr>
        <w:t>Frames</w:t>
      </w:r>
    </w:p>
    <w:p w:rsidR="00B40966" w:rsidRDefault="00B40966">
      <w:pPr>
        <w:pStyle w:val="Amain"/>
      </w:pPr>
      <w:r>
        <w:tab/>
        <w:t>(1)</w:t>
      </w:r>
      <w:r>
        <w:tab/>
        <w:t>The frame shall be either—</w:t>
      </w:r>
    </w:p>
    <w:p w:rsidR="00B40966" w:rsidRDefault="00B40966">
      <w:pPr>
        <w:pStyle w:val="Apara"/>
      </w:pPr>
      <w:r>
        <w:tab/>
        <w:t>(a)</w:t>
      </w:r>
      <w:r>
        <w:tab/>
        <w:t>a malleable iron or steel casting, or other approved material; or</w:t>
      </w:r>
    </w:p>
    <w:p w:rsidR="00B40966" w:rsidRDefault="00B40966">
      <w:pPr>
        <w:pStyle w:val="Apara"/>
      </w:pPr>
      <w:r>
        <w:tab/>
        <w:t>(b)</w:t>
      </w:r>
      <w:r>
        <w:tab/>
        <w:t>a fabricated wrought steel frame constructed as follows:</w:t>
      </w:r>
    </w:p>
    <w:p w:rsidR="00B40966" w:rsidRDefault="00B40966">
      <w:pPr>
        <w:pStyle w:val="Asubpara"/>
      </w:pPr>
      <w:r>
        <w:tab/>
        <w:t>(i)</w:t>
      </w:r>
      <w:r>
        <w:tab/>
        <w:t>the vertical part of the frames shall be formed from flat rectangular mild steel bar with horizontal rope guards (also of flat rectangular mild steel bar) welded by an approved process to the vertical part of the frame; and</w:t>
      </w:r>
    </w:p>
    <w:p w:rsidR="00B40966" w:rsidRDefault="00B40966">
      <w:pPr>
        <w:pStyle w:val="Asubpara"/>
      </w:pPr>
      <w:r>
        <w:tab/>
        <w:t>(ii)</w:t>
      </w:r>
      <w:r>
        <w:tab/>
        <w:t>all sharp corners and edges shall be dressed to prevent the chafing of the rope.</w:t>
      </w:r>
    </w:p>
    <w:p w:rsidR="00B40966" w:rsidRDefault="00B40966">
      <w:pPr>
        <w:pStyle w:val="Assectheading"/>
      </w:pPr>
      <w:r>
        <w:rPr>
          <w:rStyle w:val="charItals"/>
          <w:i/>
        </w:rPr>
        <w:t>Clearances</w:t>
      </w:r>
    </w:p>
    <w:p w:rsidR="00B40966" w:rsidRDefault="00B40966">
      <w:pPr>
        <w:pStyle w:val="Amain"/>
      </w:pPr>
      <w:r>
        <w:tab/>
        <w:t>(2)</w:t>
      </w:r>
      <w:r>
        <w:tab/>
        <w:t>The openings in the frame shall be adequate to prevent contact with and chafing the rope.</w:t>
      </w:r>
    </w:p>
    <w:p w:rsidR="00B40966" w:rsidRDefault="00B40966">
      <w:pPr>
        <w:pStyle w:val="Amain"/>
      </w:pPr>
      <w:r>
        <w:tab/>
        <w:t>(3)</w:t>
      </w:r>
      <w:r>
        <w:tab/>
      </w:r>
      <w:r>
        <w:tab/>
        <w:t xml:space="preserve">The total clearance between the sheave and the frame shall not exceed </w:t>
      </w:r>
      <w:r>
        <w:rPr>
          <w:position w:val="6"/>
          <w:sz w:val="18"/>
        </w:rPr>
        <w:t>1</w:t>
      </w:r>
      <w:r>
        <w:t>/</w:t>
      </w:r>
      <w:r>
        <w:rPr>
          <w:sz w:val="18"/>
        </w:rPr>
        <w:t>16</w:t>
      </w:r>
      <w:r>
        <w:t xml:space="preserve"> of an inch.</w:t>
      </w:r>
    </w:p>
    <w:p w:rsidR="00B40966" w:rsidRDefault="00B40966">
      <w:pPr>
        <w:pStyle w:val="Amain"/>
      </w:pPr>
      <w:r>
        <w:tab/>
        <w:t>(4)</w:t>
      </w:r>
      <w:r>
        <w:tab/>
      </w:r>
      <w:r>
        <w:tab/>
        <w:t xml:space="preserve">The clearance between the hole in the crosshead and shank of the hook, between the axle pin and the holes in the frame, between the axle pin and the hole in the sheave and between the side of the cotter pin and the frame shall not exceed </w:t>
      </w:r>
      <w:r>
        <w:rPr>
          <w:position w:val="6"/>
          <w:sz w:val="18"/>
        </w:rPr>
        <w:t>1</w:t>
      </w:r>
      <w:r>
        <w:t>/</w:t>
      </w:r>
      <w:r>
        <w:rPr>
          <w:sz w:val="18"/>
        </w:rPr>
        <w:t>64</w:t>
      </w:r>
      <w:r>
        <w:t xml:space="preserve"> of an inch.</w:t>
      </w:r>
    </w:p>
    <w:p w:rsidR="00B40966" w:rsidRDefault="00B40966">
      <w:pPr>
        <w:pStyle w:val="AH4SubDiv"/>
      </w:pPr>
      <w:bookmarkStart w:id="310" w:name="_Toc87258146"/>
      <w:r>
        <w:t>Lift boxes</w:t>
      </w:r>
      <w:bookmarkEnd w:id="310"/>
    </w:p>
    <w:p w:rsidR="00B40966" w:rsidRDefault="00B40966">
      <w:pPr>
        <w:pStyle w:val="AH5Sec"/>
      </w:pPr>
      <w:bookmarkStart w:id="311" w:name="_Toc87258147"/>
      <w:r>
        <w:rPr>
          <w:rStyle w:val="CharSectNo"/>
        </w:rPr>
        <w:t>157</w:t>
      </w:r>
      <w:bookmarkEnd w:id="311"/>
      <w:r>
        <w:tab/>
        <w:t xml:space="preserve">  </w:t>
      </w:r>
    </w:p>
    <w:p w:rsidR="00B40966" w:rsidRDefault="00B40966">
      <w:pPr>
        <w:pStyle w:val="Assectheading"/>
      </w:pPr>
      <w:r>
        <w:rPr>
          <w:rStyle w:val="charItals"/>
          <w:i/>
        </w:rPr>
        <w:t>Materials</w:t>
      </w:r>
    </w:p>
    <w:p w:rsidR="00B40966" w:rsidRDefault="00B40966">
      <w:pPr>
        <w:pStyle w:val="Amain"/>
      </w:pPr>
      <w:r>
        <w:tab/>
        <w:t>(1)</w:t>
      </w:r>
      <w:r>
        <w:tab/>
        <w:t>All timber used in the construction of lift boxes shall comply with the provisions of ‘Standard Grade for Scantlings’ set out in the Australian Standard Grading Rules (Emergency Series) for Sawn and Hewn Structural Timbers, No (E) 054—1942, as amended in June, 1944.</w:t>
      </w:r>
    </w:p>
    <w:p w:rsidR="00B40966" w:rsidRDefault="00B40966">
      <w:pPr>
        <w:pStyle w:val="Amain"/>
      </w:pPr>
      <w:r>
        <w:tab/>
        <w:t>(2)</w:t>
      </w:r>
      <w:r>
        <w:tab/>
        <w:t>Lift boxes for loads not exceeding 3 tons shall be made of oregon timber 2 inches thickness, or alternatively of hardwood 1</w:t>
      </w:r>
      <w:r>
        <w:rPr>
          <w:position w:val="6"/>
          <w:sz w:val="18"/>
        </w:rPr>
        <w:t>1</w:t>
      </w:r>
      <w:r>
        <w:t>/</w:t>
      </w:r>
      <w:r>
        <w:rPr>
          <w:sz w:val="18"/>
        </w:rPr>
        <w:t>2</w:t>
      </w:r>
      <w:r>
        <w:t xml:space="preserve"> inches thickness.</w:t>
      </w:r>
    </w:p>
    <w:p w:rsidR="00B40966" w:rsidRDefault="00B40966">
      <w:pPr>
        <w:pStyle w:val="Amain"/>
      </w:pPr>
      <w:r>
        <w:tab/>
        <w:t>(3)</w:t>
      </w:r>
      <w:r>
        <w:tab/>
        <w:t xml:space="preserve">Every lift box shall be fitted with 2 carrying straps 3 inches by </w:t>
      </w:r>
      <w:r>
        <w:rPr>
          <w:position w:val="6"/>
          <w:sz w:val="18"/>
        </w:rPr>
        <w:t>5</w:t>
      </w:r>
      <w:r>
        <w:t>/</w:t>
      </w:r>
      <w:r>
        <w:rPr>
          <w:sz w:val="18"/>
        </w:rPr>
        <w:t>8</w:t>
      </w:r>
      <w:r>
        <w:t xml:space="preserve"> of an inch mild steel each passing under the bottom and up both sides of the box.</w:t>
      </w:r>
    </w:p>
    <w:p w:rsidR="00B40966" w:rsidRDefault="00B40966">
      <w:pPr>
        <w:pStyle w:val="Amain"/>
      </w:pPr>
      <w:r>
        <w:tab/>
        <w:t>(4)</w:t>
      </w:r>
      <w:r>
        <w:tab/>
        <w:t xml:space="preserve">These straps shall be secured to the timber with bolts </w:t>
      </w:r>
      <w:r>
        <w:rPr>
          <w:position w:val="6"/>
          <w:sz w:val="18"/>
        </w:rPr>
        <w:t>1</w:t>
      </w:r>
      <w:r>
        <w:t>/</w:t>
      </w:r>
      <w:r>
        <w:rPr>
          <w:sz w:val="18"/>
        </w:rPr>
        <w:t>2</w:t>
      </w:r>
      <w:r>
        <w:t xml:space="preserve"> an inch diameter.</w:t>
      </w:r>
    </w:p>
    <w:p w:rsidR="00B40966" w:rsidRDefault="00B40966">
      <w:pPr>
        <w:pStyle w:val="Amain"/>
      </w:pPr>
      <w:r>
        <w:tab/>
        <w:t>(5)</w:t>
      </w:r>
      <w:r>
        <w:tab/>
        <w:t>The end of each strap at the top of the box shall have a hole formed in it to accommodate the lifting tackle.</w:t>
      </w:r>
    </w:p>
    <w:p w:rsidR="00B40966" w:rsidRDefault="00B40966">
      <w:pPr>
        <w:pStyle w:val="02Text"/>
        <w:sectPr w:rsidR="00B40966">
          <w:headerReference w:type="even" r:id="rId168"/>
          <w:headerReference w:type="default" r:id="rId169"/>
          <w:footerReference w:type="even" r:id="rId170"/>
          <w:footerReference w:type="default" r:id="rId171"/>
          <w:footerReference w:type="first" r:id="rId172"/>
          <w:pgSz w:w="11907" w:h="16839" w:code="9"/>
          <w:pgMar w:top="3000" w:right="1900" w:bottom="2500" w:left="2300" w:header="2480" w:footer="2100" w:gutter="0"/>
          <w:cols w:space="720"/>
          <w:docGrid w:linePitch="254"/>
        </w:sectPr>
      </w:pPr>
    </w:p>
    <w:p w:rsidR="00B40966" w:rsidRDefault="00B40966">
      <w:pPr>
        <w:pStyle w:val="AH2Part"/>
      </w:pPr>
      <w:bookmarkStart w:id="312" w:name="_Toc87258148"/>
      <w:r>
        <w:rPr>
          <w:rStyle w:val="CharPartNo"/>
        </w:rPr>
        <w:t>Part 13</w:t>
      </w:r>
      <w:r>
        <w:rPr>
          <w:caps/>
        </w:rPr>
        <w:tab/>
      </w:r>
      <w:r>
        <w:rPr>
          <w:rStyle w:val="CharPartText"/>
        </w:rPr>
        <w:t>Precautions and measures to be taken for securing the safety of persons in connection with roofs sheathed with asbestos cement or other brittle material</w:t>
      </w:r>
      <w:bookmarkEnd w:id="312"/>
    </w:p>
    <w:p w:rsidR="00B40966" w:rsidRDefault="00B40966">
      <w:pPr>
        <w:pStyle w:val="Placeholder"/>
      </w:pPr>
      <w:r>
        <w:rPr>
          <w:rStyle w:val="CharDivNo"/>
        </w:rPr>
        <w:t xml:space="preserve">  </w:t>
      </w:r>
      <w:r>
        <w:rPr>
          <w:rStyle w:val="CharDivText"/>
        </w:rPr>
        <w:t xml:space="preserve">  </w:t>
      </w:r>
    </w:p>
    <w:p w:rsidR="00B40966" w:rsidRDefault="00B40966">
      <w:pPr>
        <w:pStyle w:val="AH5Sec"/>
      </w:pPr>
      <w:bookmarkStart w:id="313" w:name="_Toc87258149"/>
      <w:r>
        <w:rPr>
          <w:rStyle w:val="CharSectNo"/>
        </w:rPr>
        <w:t>158</w:t>
      </w:r>
      <w:bookmarkEnd w:id="313"/>
      <w:r>
        <w:tab/>
        <w:t xml:space="preserve">  </w:t>
      </w:r>
    </w:p>
    <w:p w:rsidR="00B40966" w:rsidRDefault="00B40966">
      <w:pPr>
        <w:pStyle w:val="Amain"/>
      </w:pPr>
      <w:r>
        <w:tab/>
        <w:t>(1)</w:t>
      </w:r>
      <w:r>
        <w:rPr>
          <w:b/>
        </w:rPr>
        <w:tab/>
      </w:r>
      <w:r>
        <w:t>In this section:</w:t>
      </w:r>
    </w:p>
    <w:p w:rsidR="00B40966" w:rsidRDefault="00B40966">
      <w:pPr>
        <w:pStyle w:val="aDef"/>
      </w:pPr>
      <w:r>
        <w:rPr>
          <w:b/>
          <w:i/>
        </w:rPr>
        <w:t>large regulation sheets</w:t>
      </w:r>
      <w:r>
        <w:t xml:space="preserve"> means corrugated asbestos cement sheets of material not less than </w:t>
      </w:r>
      <w:r>
        <w:rPr>
          <w:position w:val="6"/>
          <w:sz w:val="18"/>
        </w:rPr>
        <w:t>1</w:t>
      </w:r>
      <w:r>
        <w:t>/</w:t>
      </w:r>
      <w:r>
        <w:rPr>
          <w:sz w:val="18"/>
        </w:rPr>
        <w:t>4</w:t>
      </w:r>
      <w:r>
        <w:t xml:space="preserve"> of an inch in thickness, having corrugations 1</w:t>
      </w:r>
      <w:r>
        <w:rPr>
          <w:position w:val="6"/>
          <w:sz w:val="18"/>
        </w:rPr>
        <w:t>7</w:t>
      </w:r>
      <w:r>
        <w:t>/</w:t>
      </w:r>
      <w:r>
        <w:rPr>
          <w:sz w:val="18"/>
        </w:rPr>
        <w:t>8</w:t>
      </w:r>
      <w:r>
        <w:t xml:space="preserve"> inches and over in depth, the pitch of the corrugations being more than 3 inches but not more than 5</w:t>
      </w:r>
      <w:r>
        <w:rPr>
          <w:position w:val="6"/>
          <w:sz w:val="18"/>
        </w:rPr>
        <w:t>3</w:t>
      </w:r>
      <w:r>
        <w:t>/</w:t>
      </w:r>
      <w:r>
        <w:rPr>
          <w:sz w:val="18"/>
        </w:rPr>
        <w:t>4</w:t>
      </w:r>
      <w:r>
        <w:t xml:space="preserve"> inches measured centre to centre of adjacent crests or troughs.</w:t>
      </w:r>
    </w:p>
    <w:p w:rsidR="00B40966" w:rsidRDefault="00B40966">
      <w:pPr>
        <w:pStyle w:val="aDef"/>
      </w:pPr>
      <w:r>
        <w:rPr>
          <w:rStyle w:val="charBoldItals"/>
        </w:rPr>
        <w:t>longitudinal wires</w:t>
      </w:r>
      <w:r>
        <w:t xml:space="preserve"> means the safety mesh wires parallel to the corrugations of the roof sheathing.</w:t>
      </w:r>
    </w:p>
    <w:p w:rsidR="00B40966" w:rsidRDefault="00B40966">
      <w:pPr>
        <w:pStyle w:val="aDef"/>
      </w:pPr>
      <w:r>
        <w:rPr>
          <w:rStyle w:val="charBoldItals"/>
        </w:rPr>
        <w:t>roof</w:t>
      </w:r>
      <w:r>
        <w:t xml:space="preserve"> means the roof, or part of it, of any building or structure, except of a private dwelling house and its outhouses, the upper surface of which roof makes an angle of less than 50° with the horizontal.</w:t>
      </w:r>
    </w:p>
    <w:p w:rsidR="00B40966" w:rsidRDefault="00B40966">
      <w:pPr>
        <w:pStyle w:val="aDef"/>
      </w:pPr>
      <w:r>
        <w:rPr>
          <w:rStyle w:val="charBoldItals"/>
        </w:rPr>
        <w:t>safety mesh</w:t>
      </w:r>
      <w:r>
        <w:t xml:space="preserve"> means a meshwork of steel wires of size and arrangement required by this section.</w:t>
      </w:r>
    </w:p>
    <w:p w:rsidR="00B40966" w:rsidRDefault="00B40966">
      <w:pPr>
        <w:pStyle w:val="aDef"/>
      </w:pPr>
      <w:r>
        <w:rPr>
          <w:rStyle w:val="charBoldItals"/>
        </w:rPr>
        <w:t>small section sheets</w:t>
      </w:r>
      <w:r>
        <w:t xml:space="preserve"> means corrugated asbestos cement sheets of material not less than </w:t>
      </w:r>
      <w:r>
        <w:rPr>
          <w:position w:val="6"/>
          <w:sz w:val="18"/>
        </w:rPr>
        <w:t>7</w:t>
      </w:r>
      <w:r>
        <w:t>/</w:t>
      </w:r>
      <w:r>
        <w:rPr>
          <w:sz w:val="18"/>
        </w:rPr>
        <w:t>32</w:t>
      </w:r>
      <w:r>
        <w:t xml:space="preserve"> of an inch in thickness, having corrugations less than 1</w:t>
      </w:r>
      <w:r>
        <w:rPr>
          <w:position w:val="6"/>
          <w:sz w:val="18"/>
        </w:rPr>
        <w:t>7</w:t>
      </w:r>
      <w:r>
        <w:t>/</w:t>
      </w:r>
      <w:r>
        <w:rPr>
          <w:sz w:val="18"/>
        </w:rPr>
        <w:t>8</w:t>
      </w:r>
      <w:r>
        <w:t xml:space="preserve"> inches in depth, the pitch of the corrugations being 3 inches or less measured centre to centre of adjacent crests or troughs.</w:t>
      </w:r>
    </w:p>
    <w:p w:rsidR="00B40966" w:rsidRDefault="00B40966">
      <w:pPr>
        <w:pStyle w:val="aDef"/>
      </w:pPr>
      <w:r>
        <w:rPr>
          <w:rStyle w:val="charBoldItals"/>
        </w:rPr>
        <w:t>transverse wires</w:t>
      </w:r>
      <w:r>
        <w:t xml:space="preserve"> means the safety mesh wires at right angles to the corrugations of the roof sheathing.</w:t>
      </w:r>
    </w:p>
    <w:p w:rsidR="00B40966" w:rsidRDefault="00B40966">
      <w:pPr>
        <w:pStyle w:val="Amain"/>
      </w:pPr>
      <w:r>
        <w:tab/>
        <w:t>(2)</w:t>
      </w:r>
      <w:r>
        <w:tab/>
        <w:t>No person shall place, lay or fix, or cause to be placed, laid or fixed, on any roof structure, or part of a roof structure, any roof sheathing of asbestos cement or other brittle material unless safety mesh has first been securely fixed in the way provided in this regulation over the area to be sheathed.</w:t>
      </w:r>
    </w:p>
    <w:p w:rsidR="00B40966" w:rsidRDefault="00B40966">
      <w:pPr>
        <w:pStyle w:val="Amain"/>
      </w:pPr>
      <w:r>
        <w:tab/>
        <w:t>(3)</w:t>
      </w:r>
      <w:r>
        <w:tab/>
        <w:t>However, the chief inspector may, by written notice, exempt from this requirement any roof—</w:t>
      </w:r>
    </w:p>
    <w:p w:rsidR="00B40966" w:rsidRDefault="00B40966">
      <w:pPr>
        <w:pStyle w:val="Apara"/>
      </w:pPr>
      <w:r>
        <w:tab/>
        <w:t>(a)</w:t>
      </w:r>
      <w:r>
        <w:tab/>
        <w:t>if the chief inspector is satisfied that generally the roof construction is such that it would provide the same degree of safety as would any other roof on which safety mesh has been fixed; or</w:t>
      </w:r>
    </w:p>
    <w:p w:rsidR="00B40966" w:rsidRDefault="00B40966">
      <w:pPr>
        <w:pStyle w:val="Apara"/>
      </w:pPr>
      <w:r>
        <w:tab/>
        <w:t>(b)</w:t>
      </w:r>
      <w:r>
        <w:tab/>
        <w:t>in which the members immediately supporting corrugated asbestos cement sheathing are spaced—</w:t>
      </w:r>
    </w:p>
    <w:p w:rsidR="00B40966" w:rsidRDefault="00B40966">
      <w:pPr>
        <w:pStyle w:val="Asubpara"/>
      </w:pPr>
      <w:r>
        <w:tab/>
        <w:t>(i)</w:t>
      </w:r>
      <w:r>
        <w:tab/>
        <w:t>not more than 1 foot 6 inches apart measured centre to centre for small section sheets; or</w:t>
      </w:r>
    </w:p>
    <w:p w:rsidR="00B40966" w:rsidRDefault="00B40966">
      <w:pPr>
        <w:pStyle w:val="Asubpara"/>
      </w:pPr>
      <w:r>
        <w:tab/>
        <w:t>(ii)</w:t>
      </w:r>
      <w:r>
        <w:tab/>
        <w:t>not more than 2 feet apart measured centre to centre for large section sheets; or</w:t>
      </w:r>
    </w:p>
    <w:p w:rsidR="00B40966" w:rsidRDefault="00B40966">
      <w:pPr>
        <w:pStyle w:val="Apara"/>
      </w:pPr>
      <w:r>
        <w:tab/>
        <w:t>(c)</w:t>
      </w:r>
      <w:r>
        <w:tab/>
        <w:t>vertically below which a substantial and closely boarded floor or like structure is located at a distance not greater than 8 feet, measured from the highest part of the roof.</w:t>
      </w:r>
    </w:p>
    <w:p w:rsidR="00B40966" w:rsidRDefault="00B40966">
      <w:pPr>
        <w:pStyle w:val="Amain"/>
      </w:pPr>
      <w:r>
        <w:tab/>
        <w:t>(4)</w:t>
      </w:r>
      <w:r>
        <w:tab/>
        <w:t>Corrugated asbestos cement sheathing for roofs shall be mature and free from cracks and defects liable to impair its strength.</w:t>
      </w:r>
    </w:p>
    <w:p w:rsidR="00B40966" w:rsidRDefault="00B40966">
      <w:pPr>
        <w:pStyle w:val="Amain"/>
      </w:pPr>
      <w:r>
        <w:tab/>
        <w:t>(5)</w:t>
      </w:r>
      <w:r>
        <w:tab/>
        <w:t>The distance between purlins or other immediate supports for corrugated asbestos cement roof sheathing shall not when measured centre to centre exceed—</w:t>
      </w:r>
    </w:p>
    <w:p w:rsidR="00B40966" w:rsidRDefault="00B40966">
      <w:pPr>
        <w:pStyle w:val="Apara"/>
      </w:pPr>
      <w:r>
        <w:tab/>
        <w:t>(a)</w:t>
      </w:r>
      <w:r>
        <w:tab/>
        <w:t>4 feet 1</w:t>
      </w:r>
      <w:r>
        <w:rPr>
          <w:position w:val="6"/>
          <w:sz w:val="18"/>
        </w:rPr>
        <w:t>1</w:t>
      </w:r>
      <w:r>
        <w:t>/</w:t>
      </w:r>
      <w:r>
        <w:rPr>
          <w:sz w:val="18"/>
        </w:rPr>
        <w:t>2</w:t>
      </w:r>
      <w:r>
        <w:t xml:space="preserve"> inches for a large section sheet, measured in the direction of the corrugations; or</w:t>
      </w:r>
    </w:p>
    <w:p w:rsidR="00B40966" w:rsidRDefault="00B40966">
      <w:pPr>
        <w:pStyle w:val="Apara"/>
        <w:keepNext/>
      </w:pPr>
      <w:r>
        <w:tab/>
        <w:t>(b)</w:t>
      </w:r>
      <w:r>
        <w:tab/>
        <w:t>3 feet for small section sheets, measured as mentioned in paragraph (a); or</w:t>
      </w:r>
    </w:p>
    <w:p w:rsidR="00B40966" w:rsidRDefault="00B40966">
      <w:pPr>
        <w:pStyle w:val="Apara"/>
      </w:pPr>
      <w:r>
        <w:tab/>
        <w:t>(c)</w:t>
      </w:r>
      <w:r>
        <w:tab/>
        <w:t>the distance approved in writing by the chief inspector for sheets differing in section from those mentioned in paragraphs (a) and (b).</w:t>
      </w:r>
    </w:p>
    <w:p w:rsidR="00B40966" w:rsidRDefault="00B40966">
      <w:pPr>
        <w:pStyle w:val="Amain"/>
      </w:pPr>
      <w:r>
        <w:tab/>
        <w:t>(6)</w:t>
      </w:r>
      <w:r>
        <w:tab/>
        <w:t>No person shall place, lay or fix asbestos cement sheets on any roof structure unless the person is wearing sandshoes or other approved footwear.</w:t>
      </w:r>
    </w:p>
    <w:p w:rsidR="00B40966" w:rsidRDefault="00B40966">
      <w:pPr>
        <w:pStyle w:val="Amain"/>
      </w:pPr>
      <w:r>
        <w:tab/>
        <w:t>(7)</w:t>
      </w:r>
      <w:r>
        <w:tab/>
        <w:t>Safety mesh shall be constructed entirely of steel wire the ultimate tensile strength of which is not less than 35 tons per square inch.</w:t>
      </w:r>
    </w:p>
    <w:p w:rsidR="00B40966" w:rsidRDefault="00B40966">
      <w:pPr>
        <w:pStyle w:val="Amain"/>
      </w:pPr>
      <w:r>
        <w:tab/>
        <w:t>(8)</w:t>
      </w:r>
      <w:r>
        <w:tab/>
        <w:t>The wire shall be zinc galvanised so that the weight of the zinc coat in ounces per square foot shall not be less than the value, appropriate to the tensile strength of the wire, as provided in British Standard Specification 443, 1939, table 2, for the testing of the zinc coating on galvanised wires, promulgated by the British Standards Institution, London, England, as amended in February, 1945.</w:t>
      </w:r>
    </w:p>
    <w:p w:rsidR="00B40966" w:rsidRDefault="00B40966">
      <w:pPr>
        <w:pStyle w:val="Amain"/>
      </w:pPr>
      <w:r>
        <w:tab/>
        <w:t>(9)</w:t>
      </w:r>
      <w:r>
        <w:tab/>
        <w:t>Each mesh shall be rectangular in shape and shall not exceed 12 inches in length and 6 inches in width.</w:t>
      </w:r>
    </w:p>
    <w:p w:rsidR="00B40966" w:rsidRDefault="00B40966">
      <w:pPr>
        <w:pStyle w:val="Amain"/>
      </w:pPr>
      <w:r>
        <w:tab/>
        <w:t>(10)</w:t>
      </w:r>
      <w:r>
        <w:tab/>
        <w:t>The wires forming each mesh shall be strongly secured, one to the other, at each corner of the mesh.</w:t>
      </w:r>
    </w:p>
    <w:p w:rsidR="00B40966" w:rsidRDefault="00B40966">
      <w:pPr>
        <w:pStyle w:val="Amain"/>
      </w:pPr>
      <w:r>
        <w:tab/>
        <w:t>(11)</w:t>
      </w:r>
      <w:r>
        <w:tab/>
        <w:t>The diameter of the wire with which each type of safety mesh is formed shall be as provided in the table after subsection (13).</w:t>
      </w:r>
    </w:p>
    <w:p w:rsidR="00B40966" w:rsidRDefault="00B40966">
      <w:pPr>
        <w:pStyle w:val="Amain"/>
      </w:pPr>
      <w:r>
        <w:tab/>
        <w:t>(12)</w:t>
      </w:r>
      <w:r>
        <w:tab/>
        <w:t xml:space="preserve">Safety mesh shall be fixed to purlins or other anchorages at the spacings set out in the table after subsection (13) in any 1 of the following ways: </w:t>
      </w:r>
    </w:p>
    <w:p w:rsidR="00B40966" w:rsidRDefault="00B40966">
      <w:pPr>
        <w:pStyle w:val="Apara"/>
      </w:pPr>
      <w:r>
        <w:tab/>
        <w:t>(a)</w:t>
      </w:r>
      <w:r>
        <w:tab/>
        <w:t>if the purlins or other anchorages are of timber the longitudinal wires shall—</w:t>
      </w:r>
    </w:p>
    <w:p w:rsidR="00B40966" w:rsidRDefault="00B40966">
      <w:pPr>
        <w:pStyle w:val="Asubpara"/>
        <w:keepNext/>
      </w:pPr>
      <w:r>
        <w:tab/>
        <w:t>(i)</w:t>
      </w:r>
      <w:r>
        <w:tab/>
        <w:t>be bent down and fixed to the sides of the purlins or other anchorages with galvanised steel staples of the gauges, lengths and spacing as set out in table 158; or</w:t>
      </w:r>
    </w:p>
    <w:p w:rsidR="00B40966" w:rsidRDefault="00B40966">
      <w:pPr>
        <w:pStyle w:val="Asubpara"/>
      </w:pPr>
      <w:r>
        <w:tab/>
        <w:t>(ii)</w:t>
      </w:r>
      <w:r>
        <w:tab/>
        <w:t>be fixed to the tops of them with galvanised steel staples of the gauges, lengths and spacing as set out in table 158; or</w:t>
      </w:r>
    </w:p>
    <w:p w:rsidR="00B40966" w:rsidRDefault="00B40966">
      <w:pPr>
        <w:pStyle w:val="Apara"/>
      </w:pPr>
      <w:r>
        <w:tab/>
        <w:t>(b)</w:t>
      </w:r>
      <w:r>
        <w:tab/>
        <w:t>the longitudinal wires of the safety mesh shall be passed once completely around the purlin, or other anchorage, the tail of each wire being twisted twice tightly around the main part of the same wire; or</w:t>
      </w:r>
    </w:p>
    <w:p w:rsidR="00B40966" w:rsidRDefault="00B40966">
      <w:pPr>
        <w:pStyle w:val="Apara"/>
      </w:pPr>
      <w:r>
        <w:tab/>
        <w:t>(c)</w:t>
      </w:r>
      <w:r>
        <w:tab/>
        <w:t>the longitudinal wires of the safety mesh shall be secured to the purlins or other anchorages with 10 gauge (0.128 of an inch diameter) galvanised steel wire loops by passing the centre of the tying wire around the longitudinal wire at a point of intersection of a transverse wire, so that a transverse wire shall be between that point and the end of the longitudinal wire, passing both ends of the tying wire once completely around the purlin, or other anchorage, the 2 tails of the tying wire being then drawn in opposite directions over the 2 strands of the tying wire and twisted together with at least 3 complete turns.</w:t>
      </w:r>
    </w:p>
    <w:p w:rsidR="00B40966" w:rsidRDefault="00B40966">
      <w:pPr>
        <w:pStyle w:val="Amain"/>
      </w:pPr>
      <w:r>
        <w:tab/>
        <w:t>(13)</w:t>
      </w:r>
      <w:r>
        <w:tab/>
        <w:t>All staples shall be driven in such way that a cross wire is between the end of the wire and the staple or the end of the wire is bent back and twisted twice around the same wire, so that individual wires cannot be drawn from the staple.</w:t>
      </w:r>
    </w:p>
    <w:p w:rsidR="00B40966" w:rsidRDefault="00B40966">
      <w:pPr>
        <w:pStyle w:val="TableHd"/>
        <w:ind w:hanging="1086"/>
      </w:pPr>
      <w:r>
        <w:t>Table 158</w:t>
      </w:r>
    </w:p>
    <w:tbl>
      <w:tblPr>
        <w:tblW w:w="0" w:type="auto"/>
        <w:tblInd w:w="200" w:type="dxa"/>
        <w:tblLayout w:type="fixed"/>
        <w:tblCellMar>
          <w:left w:w="80" w:type="dxa"/>
          <w:right w:w="80" w:type="dxa"/>
        </w:tblCellMar>
        <w:tblLook w:val="0000" w:firstRow="0" w:lastRow="0" w:firstColumn="0" w:lastColumn="0" w:noHBand="0" w:noVBand="0"/>
      </w:tblPr>
      <w:tblGrid>
        <w:gridCol w:w="1203"/>
        <w:gridCol w:w="1203"/>
        <w:gridCol w:w="1203"/>
        <w:gridCol w:w="1203"/>
        <w:gridCol w:w="1203"/>
        <w:gridCol w:w="1203"/>
      </w:tblGrid>
      <w:tr w:rsidR="00B40966">
        <w:trPr>
          <w:cantSplit/>
          <w:tblHeader/>
        </w:trPr>
        <w:tc>
          <w:tcPr>
            <w:tcW w:w="1203" w:type="dxa"/>
            <w:vAlign w:val="bottom"/>
          </w:tcPr>
          <w:p w:rsidR="00B40966" w:rsidRDefault="00B40966">
            <w:pPr>
              <w:pStyle w:val="TableColHd"/>
            </w:pPr>
            <w:r>
              <w:t>diameter of wire in mesh</w:t>
            </w:r>
          </w:p>
        </w:tc>
        <w:tc>
          <w:tcPr>
            <w:tcW w:w="1203" w:type="dxa"/>
            <w:vAlign w:val="bottom"/>
          </w:tcPr>
          <w:p w:rsidR="00B40966" w:rsidRDefault="00B40966">
            <w:pPr>
              <w:pStyle w:val="TableColHd"/>
            </w:pPr>
            <w:r>
              <w:t>mesh dimensions</w:t>
            </w:r>
          </w:p>
        </w:tc>
        <w:tc>
          <w:tcPr>
            <w:tcW w:w="1203" w:type="dxa"/>
            <w:vAlign w:val="bottom"/>
          </w:tcPr>
          <w:p w:rsidR="00B40966" w:rsidRDefault="00B40966">
            <w:pPr>
              <w:pStyle w:val="TableColHd"/>
            </w:pPr>
            <w:r>
              <w:t xml:space="preserve">gauge of </w:t>
            </w:r>
            <w:r>
              <w:br/>
              <w:t>staple</w:t>
            </w:r>
          </w:p>
        </w:tc>
        <w:tc>
          <w:tcPr>
            <w:tcW w:w="1203" w:type="dxa"/>
            <w:vAlign w:val="bottom"/>
          </w:tcPr>
          <w:p w:rsidR="00B40966" w:rsidRDefault="00B40966">
            <w:pPr>
              <w:pStyle w:val="TableColHd"/>
            </w:pPr>
            <w:r>
              <w:t xml:space="preserve">fastening </w:t>
            </w:r>
            <w:r>
              <w:br/>
              <w:t>to side of purlin:  length of staple</w:t>
            </w:r>
          </w:p>
        </w:tc>
        <w:tc>
          <w:tcPr>
            <w:tcW w:w="1203" w:type="dxa"/>
            <w:vAlign w:val="bottom"/>
          </w:tcPr>
          <w:p w:rsidR="00B40966" w:rsidRDefault="00B40966">
            <w:pPr>
              <w:pStyle w:val="TableColHd"/>
            </w:pPr>
            <w:r>
              <w:t xml:space="preserve">fastening </w:t>
            </w:r>
            <w:r>
              <w:br/>
              <w:t>to top of purlin:  length of staple</w:t>
            </w:r>
          </w:p>
        </w:tc>
        <w:tc>
          <w:tcPr>
            <w:tcW w:w="1203" w:type="dxa"/>
            <w:vAlign w:val="bottom"/>
          </w:tcPr>
          <w:p w:rsidR="00B40966" w:rsidRDefault="00B40966">
            <w:pPr>
              <w:pStyle w:val="TableColHd"/>
            </w:pPr>
            <w:r>
              <w:t>spacing of staples or other fastenings</w:t>
            </w:r>
          </w:p>
        </w:tc>
      </w:tr>
      <w:tr w:rsidR="00B40966">
        <w:trPr>
          <w:cantSplit/>
          <w:tblHeader/>
        </w:trPr>
        <w:tc>
          <w:tcPr>
            <w:tcW w:w="1203" w:type="dxa"/>
            <w:tcBorders>
              <w:bottom w:val="single" w:sz="4" w:space="0" w:color="auto"/>
            </w:tcBorders>
            <w:vAlign w:val="bottom"/>
          </w:tcPr>
          <w:p w:rsidR="00B40966" w:rsidRDefault="00B40966">
            <w:pPr>
              <w:pStyle w:val="TableColHd"/>
            </w:pPr>
            <w:r>
              <w:t>inch</w:t>
            </w:r>
          </w:p>
        </w:tc>
        <w:tc>
          <w:tcPr>
            <w:tcW w:w="1203" w:type="dxa"/>
            <w:tcBorders>
              <w:bottom w:val="single" w:sz="4" w:space="0" w:color="auto"/>
            </w:tcBorders>
            <w:vAlign w:val="bottom"/>
          </w:tcPr>
          <w:p w:rsidR="00B40966" w:rsidRDefault="00B40966">
            <w:pPr>
              <w:pStyle w:val="TableColHd"/>
            </w:pPr>
            <w:r>
              <w:t>inches</w:t>
            </w:r>
          </w:p>
        </w:tc>
        <w:tc>
          <w:tcPr>
            <w:tcW w:w="1203" w:type="dxa"/>
            <w:tcBorders>
              <w:bottom w:val="single" w:sz="4" w:space="0" w:color="auto"/>
            </w:tcBorders>
            <w:vAlign w:val="bottom"/>
          </w:tcPr>
          <w:p w:rsidR="00B40966" w:rsidRDefault="00B40966">
            <w:pPr>
              <w:pStyle w:val="TableColHd"/>
            </w:pPr>
            <w:r>
              <w:t>s.w.g.</w:t>
            </w:r>
          </w:p>
        </w:tc>
        <w:tc>
          <w:tcPr>
            <w:tcW w:w="1203" w:type="dxa"/>
            <w:tcBorders>
              <w:bottom w:val="single" w:sz="4" w:space="0" w:color="auto"/>
            </w:tcBorders>
            <w:vAlign w:val="bottom"/>
          </w:tcPr>
          <w:p w:rsidR="00B40966" w:rsidRDefault="00B40966">
            <w:pPr>
              <w:pStyle w:val="TableColHd"/>
            </w:pPr>
            <w:r>
              <w:t>inches</w:t>
            </w:r>
          </w:p>
        </w:tc>
        <w:tc>
          <w:tcPr>
            <w:tcW w:w="1203" w:type="dxa"/>
            <w:tcBorders>
              <w:bottom w:val="single" w:sz="4" w:space="0" w:color="auto"/>
            </w:tcBorders>
            <w:vAlign w:val="bottom"/>
          </w:tcPr>
          <w:p w:rsidR="00B40966" w:rsidRDefault="00B40966">
            <w:pPr>
              <w:pStyle w:val="TableColHd"/>
            </w:pPr>
            <w:r>
              <w:t>inches</w:t>
            </w:r>
          </w:p>
        </w:tc>
        <w:tc>
          <w:tcPr>
            <w:tcW w:w="1203" w:type="dxa"/>
            <w:tcBorders>
              <w:bottom w:val="single" w:sz="4" w:space="0" w:color="auto"/>
            </w:tcBorders>
            <w:vAlign w:val="bottom"/>
          </w:tcPr>
          <w:p w:rsidR="00B40966" w:rsidRDefault="00B40966">
            <w:pPr>
              <w:pStyle w:val="TableColHd"/>
            </w:pPr>
            <w:r>
              <w:t>inches</w:t>
            </w:r>
          </w:p>
        </w:tc>
      </w:tr>
      <w:tr w:rsidR="00B40966">
        <w:trPr>
          <w:cantSplit/>
        </w:trPr>
        <w:tc>
          <w:tcPr>
            <w:tcW w:w="1203" w:type="dxa"/>
            <w:tcBorders>
              <w:top w:val="single" w:sz="4" w:space="0" w:color="auto"/>
            </w:tcBorders>
          </w:tcPr>
          <w:p w:rsidR="00B40966" w:rsidRDefault="00B40966">
            <w:pPr>
              <w:pStyle w:val="TableText"/>
              <w:keepNext/>
            </w:pPr>
            <w:r>
              <w:t>0.128</w:t>
            </w:r>
          </w:p>
        </w:tc>
        <w:tc>
          <w:tcPr>
            <w:tcW w:w="1203" w:type="dxa"/>
            <w:tcBorders>
              <w:top w:val="single" w:sz="4" w:space="0" w:color="auto"/>
            </w:tcBorders>
          </w:tcPr>
          <w:p w:rsidR="00B40966" w:rsidRDefault="00B40966">
            <w:pPr>
              <w:pStyle w:val="TableText"/>
              <w:keepNext/>
            </w:pPr>
            <w:r>
              <w:t>12 × 6</w:t>
            </w:r>
          </w:p>
        </w:tc>
        <w:tc>
          <w:tcPr>
            <w:tcW w:w="1203" w:type="dxa"/>
            <w:tcBorders>
              <w:top w:val="single" w:sz="4" w:space="0" w:color="auto"/>
            </w:tcBorders>
          </w:tcPr>
          <w:p w:rsidR="00B40966" w:rsidRDefault="00B40966">
            <w:pPr>
              <w:pStyle w:val="TableText"/>
              <w:keepNext/>
            </w:pPr>
            <w:r>
              <w:t>10</w:t>
            </w:r>
          </w:p>
        </w:tc>
        <w:tc>
          <w:tcPr>
            <w:tcW w:w="1203" w:type="dxa"/>
            <w:tcBorders>
              <w:top w:val="single" w:sz="4" w:space="0" w:color="auto"/>
            </w:tcBorders>
          </w:tcPr>
          <w:p w:rsidR="00B40966" w:rsidRDefault="00B40966">
            <w:pPr>
              <w:pStyle w:val="TableText"/>
              <w:keepNext/>
            </w:pPr>
            <w:r>
              <w:t>1</w:t>
            </w:r>
            <w:r>
              <w:rPr>
                <w:position w:val="6"/>
                <w:sz w:val="18"/>
              </w:rPr>
              <w:t>1</w:t>
            </w:r>
            <w:r>
              <w:t>/</w:t>
            </w:r>
            <w:r>
              <w:rPr>
                <w:sz w:val="18"/>
              </w:rPr>
              <w:t>4</w:t>
            </w:r>
          </w:p>
        </w:tc>
        <w:tc>
          <w:tcPr>
            <w:tcW w:w="1203" w:type="dxa"/>
            <w:tcBorders>
              <w:top w:val="single" w:sz="4" w:space="0" w:color="auto"/>
            </w:tcBorders>
          </w:tcPr>
          <w:p w:rsidR="00B40966" w:rsidRDefault="00B40966">
            <w:pPr>
              <w:pStyle w:val="TableText"/>
              <w:keepNext/>
            </w:pPr>
            <w:r>
              <w:t>1</w:t>
            </w:r>
            <w:r>
              <w:rPr>
                <w:position w:val="6"/>
                <w:sz w:val="18"/>
              </w:rPr>
              <w:t>1</w:t>
            </w:r>
            <w:r>
              <w:t>/</w:t>
            </w:r>
            <w:r>
              <w:rPr>
                <w:sz w:val="18"/>
              </w:rPr>
              <w:t>2</w:t>
            </w:r>
          </w:p>
        </w:tc>
        <w:tc>
          <w:tcPr>
            <w:tcW w:w="1203" w:type="dxa"/>
            <w:tcBorders>
              <w:top w:val="single" w:sz="4" w:space="0" w:color="auto"/>
            </w:tcBorders>
          </w:tcPr>
          <w:p w:rsidR="00B40966" w:rsidRDefault="00B40966">
            <w:pPr>
              <w:pStyle w:val="TableText"/>
              <w:keepNext/>
            </w:pPr>
            <w:r>
              <w:t>12</w:t>
            </w:r>
          </w:p>
        </w:tc>
      </w:tr>
      <w:tr w:rsidR="00B40966">
        <w:trPr>
          <w:cantSplit/>
        </w:trPr>
        <w:tc>
          <w:tcPr>
            <w:tcW w:w="1203" w:type="dxa"/>
          </w:tcPr>
          <w:p w:rsidR="00B40966" w:rsidRDefault="00B40966">
            <w:pPr>
              <w:pStyle w:val="TableText"/>
            </w:pPr>
            <w:r>
              <w:t>0.104</w:t>
            </w:r>
          </w:p>
        </w:tc>
        <w:tc>
          <w:tcPr>
            <w:tcW w:w="1203" w:type="dxa"/>
          </w:tcPr>
          <w:p w:rsidR="00B40966" w:rsidRDefault="00B40966">
            <w:pPr>
              <w:pStyle w:val="TableText"/>
            </w:pPr>
            <w:r>
              <w:t>6 × 6</w:t>
            </w:r>
          </w:p>
        </w:tc>
        <w:tc>
          <w:tcPr>
            <w:tcW w:w="1203" w:type="dxa"/>
          </w:tcPr>
          <w:p w:rsidR="00B40966" w:rsidRDefault="00B40966">
            <w:pPr>
              <w:pStyle w:val="TableText"/>
            </w:pPr>
            <w:r>
              <w:t>11</w:t>
            </w:r>
          </w:p>
        </w:tc>
        <w:tc>
          <w:tcPr>
            <w:tcW w:w="1203" w:type="dxa"/>
          </w:tcPr>
          <w:p w:rsidR="00B40966" w:rsidRDefault="00B40966">
            <w:pPr>
              <w:pStyle w:val="TableText"/>
            </w:pPr>
            <w:r>
              <w:t>1</w:t>
            </w:r>
          </w:p>
        </w:tc>
        <w:tc>
          <w:tcPr>
            <w:tcW w:w="1203" w:type="dxa"/>
          </w:tcPr>
          <w:p w:rsidR="00B40966" w:rsidRDefault="00B40966">
            <w:pPr>
              <w:pStyle w:val="TableText"/>
            </w:pPr>
            <w:r>
              <w:t>1</w:t>
            </w:r>
            <w:bookmarkStart w:id="314" w:name="OLE_LINK1"/>
            <w:r>
              <w:rPr>
                <w:position w:val="6"/>
                <w:sz w:val="18"/>
              </w:rPr>
              <w:t>1</w:t>
            </w:r>
            <w:r>
              <w:t>/</w:t>
            </w:r>
            <w:r>
              <w:rPr>
                <w:sz w:val="18"/>
              </w:rPr>
              <w:t>4</w:t>
            </w:r>
            <w:bookmarkEnd w:id="314"/>
          </w:p>
        </w:tc>
        <w:tc>
          <w:tcPr>
            <w:tcW w:w="1203" w:type="dxa"/>
          </w:tcPr>
          <w:p w:rsidR="00B40966" w:rsidRDefault="00B40966">
            <w:pPr>
              <w:pStyle w:val="TableText"/>
            </w:pPr>
            <w:r>
              <w:t>6</w:t>
            </w:r>
          </w:p>
        </w:tc>
      </w:tr>
      <w:tr w:rsidR="00B40966">
        <w:trPr>
          <w:cantSplit/>
        </w:trPr>
        <w:tc>
          <w:tcPr>
            <w:tcW w:w="1203" w:type="dxa"/>
          </w:tcPr>
          <w:p w:rsidR="00B40966" w:rsidRDefault="00B40966">
            <w:pPr>
              <w:pStyle w:val="TableText"/>
            </w:pPr>
            <w:r>
              <w:t>0.092</w:t>
            </w:r>
          </w:p>
        </w:tc>
        <w:tc>
          <w:tcPr>
            <w:tcW w:w="1203" w:type="dxa"/>
          </w:tcPr>
          <w:p w:rsidR="00B40966" w:rsidRDefault="00B40966">
            <w:pPr>
              <w:pStyle w:val="TableText"/>
            </w:pPr>
            <w:r>
              <w:t>4 × 4</w:t>
            </w:r>
          </w:p>
        </w:tc>
        <w:tc>
          <w:tcPr>
            <w:tcW w:w="1203" w:type="dxa"/>
          </w:tcPr>
          <w:p w:rsidR="00B40966" w:rsidRDefault="00B40966">
            <w:pPr>
              <w:pStyle w:val="TableText"/>
            </w:pPr>
            <w:r>
              <w:t>11</w:t>
            </w:r>
          </w:p>
        </w:tc>
        <w:tc>
          <w:tcPr>
            <w:tcW w:w="1203" w:type="dxa"/>
          </w:tcPr>
          <w:p w:rsidR="00B40966" w:rsidRDefault="00B40966">
            <w:pPr>
              <w:pStyle w:val="TableText"/>
            </w:pPr>
            <w:r>
              <w:t>1</w:t>
            </w:r>
          </w:p>
        </w:tc>
        <w:tc>
          <w:tcPr>
            <w:tcW w:w="1203" w:type="dxa"/>
          </w:tcPr>
          <w:p w:rsidR="00B40966" w:rsidRDefault="00B40966">
            <w:pPr>
              <w:pStyle w:val="TableText"/>
            </w:pPr>
            <w:r>
              <w:t>1</w:t>
            </w:r>
            <w:r>
              <w:rPr>
                <w:position w:val="6"/>
                <w:sz w:val="18"/>
              </w:rPr>
              <w:t>1</w:t>
            </w:r>
            <w:r>
              <w:t>/</w:t>
            </w:r>
            <w:r>
              <w:rPr>
                <w:sz w:val="18"/>
              </w:rPr>
              <w:t>4</w:t>
            </w:r>
          </w:p>
        </w:tc>
        <w:tc>
          <w:tcPr>
            <w:tcW w:w="1203" w:type="dxa"/>
          </w:tcPr>
          <w:p w:rsidR="00B40966" w:rsidRDefault="00B40966">
            <w:pPr>
              <w:pStyle w:val="TableText"/>
            </w:pPr>
            <w:r>
              <w:t>8, 4*</w:t>
            </w:r>
          </w:p>
        </w:tc>
      </w:tr>
      <w:tr w:rsidR="00B40966">
        <w:trPr>
          <w:cantSplit/>
        </w:trPr>
        <w:tc>
          <w:tcPr>
            <w:tcW w:w="1203" w:type="dxa"/>
          </w:tcPr>
          <w:p w:rsidR="00B40966" w:rsidRDefault="00B40966">
            <w:pPr>
              <w:pStyle w:val="TableText"/>
            </w:pPr>
            <w:r>
              <w:t>0.080</w:t>
            </w:r>
          </w:p>
        </w:tc>
        <w:tc>
          <w:tcPr>
            <w:tcW w:w="1203" w:type="dxa"/>
          </w:tcPr>
          <w:p w:rsidR="00B40966" w:rsidRDefault="00B40966">
            <w:pPr>
              <w:pStyle w:val="TableText"/>
            </w:pPr>
            <w:r>
              <w:t>3 × 3</w:t>
            </w:r>
          </w:p>
        </w:tc>
        <w:tc>
          <w:tcPr>
            <w:tcW w:w="1203" w:type="dxa"/>
          </w:tcPr>
          <w:p w:rsidR="00B40966" w:rsidRDefault="00B40966">
            <w:pPr>
              <w:pStyle w:val="TableText"/>
            </w:pPr>
            <w:r>
              <w:t>11</w:t>
            </w:r>
          </w:p>
        </w:tc>
        <w:tc>
          <w:tcPr>
            <w:tcW w:w="1203" w:type="dxa"/>
          </w:tcPr>
          <w:p w:rsidR="00B40966" w:rsidRDefault="00B40966">
            <w:pPr>
              <w:pStyle w:val="TableText"/>
            </w:pPr>
            <w:r>
              <w:t>1</w:t>
            </w:r>
          </w:p>
        </w:tc>
        <w:tc>
          <w:tcPr>
            <w:tcW w:w="1203" w:type="dxa"/>
          </w:tcPr>
          <w:p w:rsidR="00B40966" w:rsidRDefault="00B40966">
            <w:pPr>
              <w:pStyle w:val="TableText"/>
            </w:pPr>
            <w:r>
              <w:t>1</w:t>
            </w:r>
            <w:r>
              <w:rPr>
                <w:position w:val="6"/>
                <w:sz w:val="18"/>
              </w:rPr>
              <w:t>1</w:t>
            </w:r>
            <w:r>
              <w:t>/</w:t>
            </w:r>
            <w:r>
              <w:rPr>
                <w:sz w:val="18"/>
              </w:rPr>
              <w:t>4</w:t>
            </w:r>
          </w:p>
        </w:tc>
        <w:tc>
          <w:tcPr>
            <w:tcW w:w="1203" w:type="dxa"/>
          </w:tcPr>
          <w:p w:rsidR="00B40966" w:rsidRDefault="00B40966">
            <w:pPr>
              <w:pStyle w:val="TableText"/>
            </w:pPr>
            <w:r>
              <w:t>6</w:t>
            </w:r>
          </w:p>
        </w:tc>
      </w:tr>
    </w:tbl>
    <w:p w:rsidR="00B40966" w:rsidRDefault="00B40966">
      <w:pPr>
        <w:spacing w:before="120"/>
        <w:ind w:left="399" w:hanging="285"/>
        <w:rPr>
          <w:sz w:val="20"/>
        </w:rPr>
      </w:pPr>
      <w:r>
        <w:rPr>
          <w:sz w:val="20"/>
        </w:rPr>
        <w:t>*</w:t>
      </w:r>
      <w:r>
        <w:rPr>
          <w:sz w:val="20"/>
        </w:rPr>
        <w:tab/>
        <w:t xml:space="preserve">Pairs of wires at 12-inch centres, </w:t>
      </w:r>
      <w:r>
        <w:rPr>
          <w:rStyle w:val="charItals"/>
          <w:i w:val="0"/>
          <w:sz w:val="20"/>
        </w:rPr>
        <w:t>ie</w:t>
      </w:r>
      <w:r>
        <w:rPr>
          <w:sz w:val="20"/>
        </w:rPr>
        <w:t xml:space="preserve"> wires alternately at 8-inch and 4-inch centres.</w:t>
      </w:r>
    </w:p>
    <w:p w:rsidR="00B40966" w:rsidRDefault="00B40966"/>
    <w:p w:rsidR="00B40966" w:rsidRDefault="00B40966">
      <w:pPr>
        <w:pStyle w:val="Amain"/>
      </w:pPr>
      <w:r>
        <w:tab/>
        <w:t>(14)</w:t>
      </w:r>
      <w:r>
        <w:tab/>
        <w:t>Safety mesh shall be deemed not to conform to the requirements of this section unless a complete specification and the samples of mesh, as may be required, have been submitted to the chief inspector and approved by him or her.</w:t>
      </w:r>
    </w:p>
    <w:p w:rsidR="00B40966" w:rsidRDefault="00B40966">
      <w:pPr>
        <w:pStyle w:val="Amain"/>
      </w:pPr>
      <w:r>
        <w:tab/>
        <w:t>(15)</w:t>
      </w:r>
      <w:r>
        <w:tab/>
        <w:t>Safety mesh shall be fixed immediately and closely under the roof sheathing, without other intervention, and so that it rests on each of the roof members; it shall be free from perceptible sag.</w:t>
      </w:r>
    </w:p>
    <w:p w:rsidR="00B40966" w:rsidRDefault="00B40966">
      <w:pPr>
        <w:pStyle w:val="Amain"/>
      </w:pPr>
      <w:r>
        <w:tab/>
        <w:t>(16)</w:t>
      </w:r>
      <w:r>
        <w:tab/>
        <w:t>The longitudinal wires shall pass above and across all roof members that immediately support the roof sheathing.</w:t>
      </w:r>
    </w:p>
    <w:p w:rsidR="00B40966" w:rsidRDefault="00B40966">
      <w:pPr>
        <w:pStyle w:val="Amain"/>
      </w:pPr>
      <w:r>
        <w:tab/>
        <w:t>(17)</w:t>
      </w:r>
      <w:r>
        <w:tab/>
        <w:t>All the transverse wires shall be located above the longitudinal wires.</w:t>
      </w:r>
    </w:p>
    <w:p w:rsidR="00B40966" w:rsidRDefault="00B40966">
      <w:pPr>
        <w:pStyle w:val="Amain"/>
      </w:pPr>
      <w:r>
        <w:tab/>
        <w:t>(18)</w:t>
      </w:r>
      <w:r>
        <w:tab/>
        <w:t>If the longer sides of a mesh exceed 6 inches, the safety mesh shall be so disposed that the lesser sides are parallel to the corrugations.</w:t>
      </w:r>
    </w:p>
    <w:p w:rsidR="00B40966" w:rsidRDefault="00B40966">
      <w:pPr>
        <w:pStyle w:val="Amain"/>
      </w:pPr>
      <w:r>
        <w:tab/>
        <w:t>(19)</w:t>
      </w:r>
      <w:r>
        <w:tab/>
        <w:t>If a break of continuity in the longitudinal wires occurs, the wires shall be effectively joined to preserve continuity.</w:t>
      </w:r>
    </w:p>
    <w:p w:rsidR="00B40966" w:rsidRDefault="00B40966">
      <w:pPr>
        <w:pStyle w:val="Amain"/>
      </w:pPr>
      <w:r>
        <w:tab/>
        <w:t>(20)</w:t>
      </w:r>
      <w:r>
        <w:tab/>
        <w:t>In addition, the longitudinal wires at the adjoining or overlapping edges of adjacent lengths of safety mesh shall be strongly fastened together at intervals not greater than 3 feet.</w:t>
      </w:r>
    </w:p>
    <w:p w:rsidR="00B40966" w:rsidRDefault="00B40966">
      <w:pPr>
        <w:pStyle w:val="Amain"/>
      </w:pPr>
      <w:r>
        <w:tab/>
        <w:t>(21)</w:t>
      </w:r>
      <w:r>
        <w:tab/>
        <w:t>Adjacent lengths of safety meshing shall not, when fixed, be more than 1 inch apart.</w:t>
      </w:r>
    </w:p>
    <w:p w:rsidR="00B40966" w:rsidRDefault="00B40966">
      <w:pPr>
        <w:pStyle w:val="Amain"/>
        <w:keepLines/>
      </w:pPr>
      <w:r>
        <w:tab/>
        <w:t>(22)</w:t>
      </w:r>
      <w:r>
        <w:tab/>
        <w:t>Without limiting subsections (1) to (21), the apertures resulting from junctions or connections of safety mesh shall not exceed those prescribed for the construction of the mesh, or be otherwise oriented.</w:t>
      </w:r>
    </w:p>
    <w:p w:rsidR="00B40966" w:rsidRDefault="00B40966">
      <w:pPr>
        <w:pStyle w:val="Amain"/>
      </w:pPr>
      <w:r>
        <w:tab/>
        <w:t>(23)</w:t>
      </w:r>
      <w:r>
        <w:tab/>
        <w:t>No person shall carry out or cause to be carried out any roof sheathing work unless safety mesh has first been fully fixed as a margin around all positions where the work is to be carried out.</w:t>
      </w:r>
    </w:p>
    <w:p w:rsidR="00B40966" w:rsidRDefault="00B40966">
      <w:pPr>
        <w:pStyle w:val="Amain"/>
      </w:pPr>
      <w:r>
        <w:tab/>
        <w:t>(24)</w:t>
      </w:r>
      <w:r>
        <w:tab/>
        <w:t>If not otherwise limited by the boundaries of the roof structure, or boundaries incidental to the application of this section, this margin shall be at least 20 feet in width.</w:t>
      </w:r>
    </w:p>
    <w:p w:rsidR="00B40966" w:rsidRDefault="00B40966">
      <w:pPr>
        <w:pStyle w:val="Amain"/>
      </w:pPr>
      <w:r>
        <w:tab/>
        <w:t>(25)</w:t>
      </w:r>
      <w:r>
        <w:tab/>
        <w:t>Safety mesh shall not be used if it is likely to be affected by corrosive agencies but purlins or battens spaced as provided in subsection (3) (b) shall be used in its place.</w:t>
      </w:r>
    </w:p>
    <w:p w:rsidR="00B40966" w:rsidRDefault="00B40966">
      <w:pPr>
        <w:pStyle w:val="Amain"/>
      </w:pPr>
      <w:r>
        <w:tab/>
        <w:t>(26)</w:t>
      </w:r>
      <w:r>
        <w:tab/>
        <w:t>Safety mesh or its fastenings or supports that has been reduced in strength by corrosion or other agency to less than 90% of the strength indicated by this section shall on reduction be renewed by the owner of the building, to comply with this section.</w:t>
      </w:r>
    </w:p>
    <w:p w:rsidR="00B40966" w:rsidRDefault="00B40966">
      <w:pPr>
        <w:pStyle w:val="Amain"/>
      </w:pPr>
      <w:r>
        <w:tab/>
        <w:t>(27)</w:t>
      </w:r>
      <w:r>
        <w:tab/>
        <w:t>Safety mesh shall not be considered as affording support to the roof sheathing.</w:t>
      </w:r>
    </w:p>
    <w:p w:rsidR="00B40966" w:rsidRDefault="00B40966">
      <w:pPr>
        <w:pStyle w:val="Amain"/>
      </w:pPr>
      <w:r>
        <w:tab/>
        <w:t>(28)</w:t>
      </w:r>
      <w:r>
        <w:tab/>
        <w:t>The owner of any building (other than a private dwelling house), or any structure, having any roof sheathing of asbestos cement or other brittle material, shall provide and fix on each individual slope, curve, or flat of roofing of it, the warning or danger notices in the positions, and way prescribed in this section.</w:t>
      </w:r>
    </w:p>
    <w:p w:rsidR="00B40966" w:rsidRDefault="00B40966">
      <w:pPr>
        <w:pStyle w:val="Amain"/>
      </w:pPr>
      <w:r>
        <w:tab/>
        <w:t>(29)</w:t>
      </w:r>
      <w:r>
        <w:tab/>
        <w:t>The owner shall preserve and maintain the notices in good condition, and in a clean and legible state.</w:t>
      </w:r>
    </w:p>
    <w:p w:rsidR="00B40966" w:rsidRDefault="00B40966">
      <w:pPr>
        <w:pStyle w:val="Amain"/>
        <w:keepNext/>
      </w:pPr>
      <w:r>
        <w:tab/>
        <w:t>(30)</w:t>
      </w:r>
      <w:r>
        <w:tab/>
        <w:t>The warning notices shall bear the words—</w:t>
      </w:r>
    </w:p>
    <w:p w:rsidR="00B40966" w:rsidRDefault="00B40966">
      <w:pPr>
        <w:pStyle w:val="Amainreturn"/>
        <w:keepNext/>
        <w:rPr>
          <w:rStyle w:val="charUnderline"/>
        </w:rPr>
      </w:pPr>
      <w:r>
        <w:rPr>
          <w:rStyle w:val="charUnderline"/>
        </w:rPr>
        <w:t>Warning</w:t>
      </w:r>
    </w:p>
    <w:p w:rsidR="00B40966" w:rsidRDefault="00B40966">
      <w:pPr>
        <w:pStyle w:val="Amainreturn"/>
        <w:keepNext/>
      </w:pPr>
      <w:r>
        <w:t xml:space="preserve">Stand or walk only on lines of nails or screws in </w:t>
      </w:r>
    </w:p>
    <w:p w:rsidR="00B40966" w:rsidRDefault="00B40966">
      <w:pPr>
        <w:pStyle w:val="allsections"/>
        <w:tabs>
          <w:tab w:val="left" w:pos="2240"/>
          <w:tab w:val="left" w:leader="underscore" w:pos="3260"/>
          <w:tab w:val="left" w:leader="underscore" w:pos="4800"/>
        </w:tabs>
        <w:spacing w:before="0"/>
        <w:ind w:firstLine="0"/>
        <w:jc w:val="left"/>
        <w:rPr>
          <w:rFonts w:ascii="Times New Roman" w:hAnsi="Times New Roman"/>
        </w:rPr>
      </w:pPr>
      <w:r>
        <w:rPr>
          <w:rFonts w:ascii="Times New Roman" w:hAnsi="Times New Roman"/>
        </w:rPr>
        <w:tab/>
        <w:t>&lt;</w:t>
      </w:r>
      <w:r>
        <w:rPr>
          <w:rFonts w:ascii="Times New Roman" w:hAnsi="Times New Roman"/>
          <w:position w:val="10"/>
        </w:rPr>
        <w:tab/>
      </w:r>
      <w:r>
        <w:rPr>
          <w:rFonts w:ascii="Times New Roman" w:hAnsi="Times New Roman"/>
        </w:rPr>
        <w:t xml:space="preserve"> </w:t>
      </w:r>
      <w:r>
        <w:rPr>
          <w:rFonts w:ascii="Times New Roman" w:hAnsi="Times New Roman"/>
          <w:caps/>
        </w:rPr>
        <w:t>this</w:t>
      </w:r>
      <w:r>
        <w:rPr>
          <w:rFonts w:ascii="Times New Roman" w:hAnsi="Times New Roman"/>
        </w:rPr>
        <w:t xml:space="preserve"> </w:t>
      </w:r>
      <w:r>
        <w:rPr>
          <w:rFonts w:ascii="Times New Roman" w:hAnsi="Times New Roman"/>
          <w:position w:val="10"/>
        </w:rPr>
        <w:tab/>
      </w:r>
      <w:r>
        <w:rPr>
          <w:rFonts w:ascii="Times New Roman" w:hAnsi="Times New Roman"/>
        </w:rPr>
        <w:t>&gt;</w:t>
      </w:r>
      <w:r>
        <w:rPr>
          <w:rFonts w:ascii="Times New Roman" w:hAnsi="Times New Roman"/>
          <w:color w:val="000000"/>
        </w:rPr>
        <w:t xml:space="preserve"> d</w:t>
      </w:r>
      <w:r>
        <w:rPr>
          <w:rFonts w:ascii="Times New Roman" w:hAnsi="Times New Roman"/>
        </w:rPr>
        <w:t>irection</w:t>
      </w:r>
    </w:p>
    <w:p w:rsidR="00B40966" w:rsidRDefault="00B40966">
      <w:pPr>
        <w:pStyle w:val="Amainreturn"/>
      </w:pPr>
      <w:r>
        <w:t>in heavy block lettering in black on a sharply contrasting yellow background.</w:t>
      </w:r>
    </w:p>
    <w:p w:rsidR="00B40966" w:rsidRDefault="00B40966">
      <w:pPr>
        <w:pStyle w:val="Amain"/>
      </w:pPr>
      <w:r>
        <w:tab/>
        <w:t>(31)</w:t>
      </w:r>
      <w:r>
        <w:tab/>
        <w:t>The words ‘Warning’ and ‘This’ shall be at least 1</w:t>
      </w:r>
      <w:r>
        <w:rPr>
          <w:position w:val="6"/>
          <w:sz w:val="18"/>
        </w:rPr>
        <w:t>3</w:t>
      </w:r>
      <w:r>
        <w:t>/</w:t>
      </w:r>
      <w:r>
        <w:rPr>
          <w:sz w:val="18"/>
        </w:rPr>
        <w:t>4</w:t>
      </w:r>
      <w:r>
        <w:t xml:space="preserve"> inches in height, and the remainder of the lettering shall be at least 1</w:t>
      </w:r>
      <w:r>
        <w:rPr>
          <w:position w:val="6"/>
          <w:sz w:val="18"/>
        </w:rPr>
        <w:t>1</w:t>
      </w:r>
      <w:r>
        <w:t>/</w:t>
      </w:r>
      <w:r>
        <w:rPr>
          <w:sz w:val="18"/>
        </w:rPr>
        <w:t>8</w:t>
      </w:r>
      <w:r>
        <w:t xml:space="preserve"> inches in height.</w:t>
      </w:r>
    </w:p>
    <w:p w:rsidR="00B40966" w:rsidRDefault="00B40966">
      <w:pPr>
        <w:pStyle w:val="Amain"/>
      </w:pPr>
      <w:r>
        <w:tab/>
        <w:t>(32)</w:t>
      </w:r>
      <w:r>
        <w:tab/>
        <w:t>The word ‘This’ shall be placed centrally between 2 heavy straight black arrows as indicated in subsection (30).</w:t>
      </w:r>
    </w:p>
    <w:p w:rsidR="00B40966" w:rsidRDefault="00B40966">
      <w:pPr>
        <w:pStyle w:val="Amain"/>
      </w:pPr>
      <w:r>
        <w:tab/>
        <w:t>(33)</w:t>
      </w:r>
      <w:r>
        <w:tab/>
        <w:t>The word ‘Warning’ shall be heavily underlined in black.</w:t>
      </w:r>
    </w:p>
    <w:p w:rsidR="00B40966" w:rsidRDefault="00B40966">
      <w:pPr>
        <w:pStyle w:val="Amain"/>
      </w:pPr>
      <w:r>
        <w:tab/>
        <w:t>(34)</w:t>
      </w:r>
      <w:r>
        <w:tab/>
        <w:t>The warning notices shall not be less than 12</w:t>
      </w:r>
      <w:r>
        <w:rPr>
          <w:position w:val="6"/>
          <w:sz w:val="18"/>
        </w:rPr>
        <w:t>1</w:t>
      </w:r>
      <w:r>
        <w:t>/</w:t>
      </w:r>
      <w:r>
        <w:rPr>
          <w:sz w:val="18"/>
        </w:rPr>
        <w:t>2</w:t>
      </w:r>
      <w:r>
        <w:t xml:space="preserve"> inches in width and 14 inches in depth and shall be of steel not less in thickness than 18 English Imperial Legal Standard Gauge (0.048 of an inch).</w:t>
      </w:r>
    </w:p>
    <w:p w:rsidR="00B40966" w:rsidRDefault="00B40966">
      <w:pPr>
        <w:pStyle w:val="Amain"/>
      </w:pPr>
      <w:r>
        <w:tab/>
        <w:t>(35)</w:t>
      </w:r>
      <w:r>
        <w:tab/>
        <w:t>All of the wording and its background shall be executed in vitreous (‘porcelain’) enamel and the back and other part of the notice shall, if not otherwise enamelled, have at least a grip coat of vitreous enamel.</w:t>
      </w:r>
    </w:p>
    <w:p w:rsidR="00B40966" w:rsidRDefault="00B40966">
      <w:pPr>
        <w:pStyle w:val="Amain"/>
      </w:pPr>
      <w:r>
        <w:tab/>
        <w:t>(36)</w:t>
      </w:r>
      <w:r>
        <w:tab/>
        <w:t>Warning notices shall be strongly fixed in upright positions directly on and not more than 3 inches above the sheathings of the roofs, closely adjacent to all points of access to the roofs.</w:t>
      </w:r>
    </w:p>
    <w:p w:rsidR="00B40966" w:rsidRDefault="00B40966">
      <w:pPr>
        <w:pStyle w:val="Amain"/>
      </w:pPr>
      <w:r>
        <w:tab/>
        <w:t>(37)</w:t>
      </w:r>
      <w:r>
        <w:tab/>
        <w:t>In the same way they shall also be fixed closely adjacent to all valleys and other points where persons might reasonably be expected to enter on the roofs.</w:t>
      </w:r>
    </w:p>
    <w:p w:rsidR="00B40966" w:rsidRDefault="00B40966">
      <w:pPr>
        <w:pStyle w:val="Amain"/>
      </w:pPr>
      <w:r>
        <w:tab/>
        <w:t>(38)</w:t>
      </w:r>
      <w:r>
        <w:tab/>
        <w:t>They shall be so placed that they constitute plain and clearly visible warning to persons about to enter on the roofs.</w:t>
      </w:r>
    </w:p>
    <w:p w:rsidR="00B40966" w:rsidRDefault="00B40966">
      <w:pPr>
        <w:pStyle w:val="Amain"/>
      </w:pPr>
      <w:r>
        <w:tab/>
        <w:t>(39)</w:t>
      </w:r>
      <w:r>
        <w:tab/>
        <w:t>Each notice shall be so placed and so oriented, that the arrows on them are directly above and point along the line of nails, screws, bolts, or other fastenings that secure the roof sheathing to its immediate supports.</w:t>
      </w:r>
    </w:p>
    <w:p w:rsidR="00B40966" w:rsidRDefault="00B40966">
      <w:pPr>
        <w:pStyle w:val="Amain"/>
      </w:pPr>
      <w:r>
        <w:tab/>
        <w:t>(40)</w:t>
      </w:r>
      <w:r>
        <w:tab/>
        <w:t>Each notice shall be so placed and so oriented that it clearly indicates those lines that mark the positions and directions of uninterruptedly continuous supporting members of the roof sheathing.</w:t>
      </w:r>
    </w:p>
    <w:p w:rsidR="00B40966" w:rsidRDefault="00B40966">
      <w:pPr>
        <w:pStyle w:val="Amain"/>
      </w:pPr>
      <w:r>
        <w:tab/>
        <w:t>(41)</w:t>
      </w:r>
      <w:r>
        <w:tab/>
        <w:t>No person shall fix a warning notice on a roof until the person has first ensured that there is an uninterruptedly continuous supporting member along each line of nails, screws, or other fastenings after which to be indicated by the notice, and if any such member is not uninterruptedly continuous the person shall cause it to be made so before fixing the notice.</w:t>
      </w:r>
    </w:p>
    <w:p w:rsidR="00B40966" w:rsidRDefault="00B40966">
      <w:pPr>
        <w:pStyle w:val="Amain"/>
      </w:pPr>
      <w:r>
        <w:tab/>
        <w:t>(42)</w:t>
      </w:r>
      <w:r>
        <w:tab/>
        <w:t>If any supporting member of the sheathing of any roof is incapable of safely supporting a concentrated load of 300 pounds acting vertically downwards and so placed as to be of most adverse effect, no person shall fix a warning notice as previously prescribed.</w:t>
      </w:r>
    </w:p>
    <w:p w:rsidR="00B40966" w:rsidRDefault="00B40966">
      <w:pPr>
        <w:pStyle w:val="Amain"/>
      </w:pPr>
      <w:r>
        <w:tab/>
        <w:t>(43)</w:t>
      </w:r>
      <w:r>
        <w:tab/>
        <w:t>Instead, danger notices shall be strongly fixed, as prescribed in this section for warning notices.</w:t>
      </w:r>
    </w:p>
    <w:p w:rsidR="00B40966" w:rsidRDefault="00B40966">
      <w:pPr>
        <w:pStyle w:val="Amain"/>
      </w:pPr>
      <w:r>
        <w:tab/>
        <w:t>(44)</w:t>
      </w:r>
      <w:r>
        <w:tab/>
        <w:t>Danger notices shall bear the words—</w:t>
      </w:r>
    </w:p>
    <w:p w:rsidR="00B40966" w:rsidRDefault="00B40966">
      <w:pPr>
        <w:pStyle w:val="Amainreturn"/>
        <w:rPr>
          <w:rStyle w:val="charUnderline"/>
        </w:rPr>
      </w:pPr>
      <w:r>
        <w:rPr>
          <w:rStyle w:val="charUnderline"/>
        </w:rPr>
        <w:t>Danger</w:t>
      </w:r>
    </w:p>
    <w:p w:rsidR="00B40966" w:rsidRDefault="00B40966">
      <w:pPr>
        <w:pStyle w:val="Amainreturn"/>
      </w:pPr>
      <w:r>
        <w:t>Keep off this roof</w:t>
      </w:r>
    </w:p>
    <w:p w:rsidR="00B40966" w:rsidRDefault="00B40966">
      <w:pPr>
        <w:pStyle w:val="Amainreturn"/>
      </w:pPr>
      <w:r>
        <w:t>in heavy block lettering in red on a white background.</w:t>
      </w:r>
    </w:p>
    <w:p w:rsidR="00B40966" w:rsidRDefault="00B40966">
      <w:pPr>
        <w:pStyle w:val="Amain"/>
      </w:pPr>
      <w:r>
        <w:tab/>
        <w:t>(45)</w:t>
      </w:r>
      <w:r>
        <w:tab/>
        <w:t>The word ‘Danger’ shall be at least 1</w:t>
      </w:r>
      <w:r>
        <w:rPr>
          <w:position w:val="6"/>
          <w:sz w:val="18"/>
        </w:rPr>
        <w:t>3</w:t>
      </w:r>
      <w:r>
        <w:t>/</w:t>
      </w:r>
      <w:r>
        <w:rPr>
          <w:sz w:val="18"/>
        </w:rPr>
        <w:t>4</w:t>
      </w:r>
      <w:r>
        <w:t xml:space="preserve"> inches in height and shall be heavily underlined in red.</w:t>
      </w:r>
    </w:p>
    <w:p w:rsidR="00B40966" w:rsidRDefault="00B40966">
      <w:pPr>
        <w:pStyle w:val="Amain"/>
      </w:pPr>
      <w:r>
        <w:tab/>
        <w:t>(46)</w:t>
      </w:r>
      <w:r>
        <w:tab/>
        <w:t>The remainder of the lettering shall be at least 1</w:t>
      </w:r>
      <w:r>
        <w:rPr>
          <w:position w:val="6"/>
          <w:sz w:val="18"/>
        </w:rPr>
        <w:t>3</w:t>
      </w:r>
      <w:r>
        <w:t>/</w:t>
      </w:r>
      <w:r>
        <w:rPr>
          <w:sz w:val="18"/>
        </w:rPr>
        <w:t>8</w:t>
      </w:r>
      <w:r>
        <w:t xml:space="preserve"> inches in height.</w:t>
      </w:r>
    </w:p>
    <w:p w:rsidR="00B40966" w:rsidRDefault="00B40966">
      <w:pPr>
        <w:pStyle w:val="Amain"/>
      </w:pPr>
      <w:r>
        <w:tab/>
        <w:t>(47)</w:t>
      </w:r>
      <w:r>
        <w:tab/>
        <w:t>The danger notices shall not be less than 12 inches square and shall in all other respects conform with the requirements of this regulation for warning notices.</w:t>
      </w:r>
    </w:p>
    <w:p w:rsidR="00B40966" w:rsidRDefault="00B40966">
      <w:pPr>
        <w:pStyle w:val="PageBreak"/>
      </w:pPr>
      <w:r>
        <w:br w:type="page"/>
      </w:r>
    </w:p>
    <w:p w:rsidR="00B40966" w:rsidRDefault="00B40966">
      <w:pPr>
        <w:pStyle w:val="AH2Part"/>
      </w:pPr>
      <w:bookmarkStart w:id="315" w:name="_Toc87258150"/>
      <w:r>
        <w:rPr>
          <w:rStyle w:val="CharPartNo"/>
        </w:rPr>
        <w:t>Part 16</w:t>
      </w:r>
      <w:r>
        <w:tab/>
      </w:r>
      <w:r>
        <w:rPr>
          <w:rStyle w:val="CharPartText"/>
        </w:rPr>
        <w:t>Miscellaneous and penalties</w:t>
      </w:r>
      <w:bookmarkEnd w:id="315"/>
    </w:p>
    <w:p w:rsidR="00B40966" w:rsidRDefault="00B40966">
      <w:pPr>
        <w:pStyle w:val="AH4SubDiv"/>
      </w:pPr>
      <w:bookmarkStart w:id="316" w:name="_Toc87258151"/>
      <w:r>
        <w:t>General penalty</w:t>
      </w:r>
      <w:bookmarkEnd w:id="316"/>
    </w:p>
    <w:p w:rsidR="00B40966" w:rsidRDefault="00B40966">
      <w:pPr>
        <w:pStyle w:val="AH5Sec"/>
      </w:pPr>
      <w:bookmarkStart w:id="317" w:name="_Toc87258152"/>
      <w:r>
        <w:rPr>
          <w:rStyle w:val="CharSectNo"/>
        </w:rPr>
        <w:t>164</w:t>
      </w:r>
      <w:bookmarkEnd w:id="317"/>
      <w:r>
        <w:tab/>
        <w:t xml:space="preserve">  </w:t>
      </w:r>
    </w:p>
    <w:p w:rsidR="00B40966" w:rsidRDefault="00B40966">
      <w:pPr>
        <w:pStyle w:val="Amain"/>
      </w:pPr>
      <w:r>
        <w:tab/>
        <w:t>(1)</w:t>
      </w:r>
      <w:r>
        <w:tab/>
        <w:t>When any matter or thing is by this regulation required, directed or forbidden to be done, or if any authority is given by this regulation to any person to require, direct or forbid any matter or thing to be done, and the matter or thing so required or directed to be done remains undone, or the matter or thing so forbidden to be done is done, in every such case every person offending against the requirement, direction or prohibition, commits an offence against this regulation.</w:t>
      </w:r>
    </w:p>
    <w:p w:rsidR="00B40966" w:rsidRDefault="00B40966">
      <w:pPr>
        <w:pStyle w:val="Amain"/>
      </w:pPr>
      <w:r>
        <w:tab/>
        <w:t>(2)</w:t>
      </w:r>
      <w:r>
        <w:tab/>
        <w:t>Any person guilty of a breach of this regulation shall, if no other penalty is expressly provided in this regulation for the breach, be liable to a penalty not exceeding $100.</w:t>
      </w:r>
    </w:p>
    <w:p w:rsidR="00B40966" w:rsidRDefault="00B40966">
      <w:pPr>
        <w:pStyle w:val="02Text"/>
        <w:sectPr w:rsidR="00B40966">
          <w:headerReference w:type="even" r:id="rId173"/>
          <w:headerReference w:type="default" r:id="rId174"/>
          <w:footerReference w:type="even" r:id="rId175"/>
          <w:footerReference w:type="default" r:id="rId176"/>
          <w:footerReference w:type="first" r:id="rId177"/>
          <w:pgSz w:w="11907" w:h="16839" w:code="9"/>
          <w:pgMar w:top="3000" w:right="1900" w:bottom="2500" w:left="2300" w:header="2480" w:footer="2100" w:gutter="0"/>
          <w:cols w:space="720"/>
          <w:docGrid w:linePitch="254"/>
        </w:sectPr>
      </w:pPr>
    </w:p>
    <w:p w:rsidR="00B40966" w:rsidRDefault="00B40966">
      <w:pPr>
        <w:pStyle w:val="PageBreak"/>
      </w:pPr>
      <w:r>
        <w:br w:type="page"/>
      </w:r>
    </w:p>
    <w:p w:rsidR="00B40966" w:rsidRDefault="00B40966">
      <w:pPr>
        <w:pStyle w:val="Sched-heading"/>
      </w:pPr>
      <w:bookmarkStart w:id="318" w:name="_Toc87258153"/>
      <w:r>
        <w:rPr>
          <w:rStyle w:val="CharChapNo"/>
        </w:rPr>
        <w:t>Schedule 3</w:t>
      </w:r>
      <w:r>
        <w:rPr>
          <w:rStyle w:val="CharChapNo"/>
        </w:rPr>
        <w:tab/>
      </w:r>
      <w:r>
        <w:rPr>
          <w:rStyle w:val="CharChapText"/>
        </w:rPr>
        <w:t>Method of treatment of silica paint for the purpose of ascertaining the percentage of free silica present</w:t>
      </w:r>
      <w:bookmarkEnd w:id="318"/>
    </w:p>
    <w:p w:rsidR="00B40966" w:rsidRDefault="00B40966">
      <w:pPr>
        <w:pStyle w:val="Placeholder"/>
      </w:pPr>
      <w:r>
        <w:rPr>
          <w:rStyle w:val="CharPartNo"/>
        </w:rPr>
        <w:t xml:space="preserve">  </w:t>
      </w:r>
      <w:r>
        <w:rPr>
          <w:rStyle w:val="CharPartText"/>
        </w:rPr>
        <w:t xml:space="preserve">  </w:t>
      </w:r>
    </w:p>
    <w:p w:rsidR="00B40966" w:rsidRDefault="00B40966">
      <w:pPr>
        <w:pStyle w:val="Amain"/>
      </w:pPr>
      <w:r>
        <w:tab/>
        <w:t>1</w:t>
      </w:r>
      <w:r>
        <w:tab/>
        <w:t>take 10g of paint and extract with successive portions of a suitable solvent until the residue is free from vehicle</w:t>
      </w:r>
    </w:p>
    <w:p w:rsidR="00B40966" w:rsidRDefault="00B40966">
      <w:pPr>
        <w:pStyle w:val="Amain"/>
      </w:pPr>
      <w:r>
        <w:tab/>
        <w:t>2</w:t>
      </w:r>
      <w:r>
        <w:tab/>
        <w:t>take 0.5g of dry residue and boil for 5 minutes with 50mL of 20%, acetic acid containing 5.0g of ammonium acetate, then cool, centrifuge, decant off the supernatant liquid, and wash the residue with 50mL of 20% acetic acid</w:t>
      </w:r>
    </w:p>
    <w:p w:rsidR="00B40966" w:rsidRDefault="00B40966">
      <w:pPr>
        <w:pStyle w:val="Amain"/>
      </w:pPr>
      <w:r>
        <w:tab/>
        <w:t>3</w:t>
      </w:r>
      <w:r>
        <w:tab/>
        <w:t>treat the residue with 50mL of 1:2 hydrochloric acid, boil, cool, centrifuge, decant, and wash with 50mL of 1:2 hydrochloric acid</w:t>
      </w:r>
    </w:p>
    <w:p w:rsidR="00B40966" w:rsidRDefault="00B40966">
      <w:pPr>
        <w:pStyle w:val="Amain"/>
      </w:pPr>
      <w:r>
        <w:tab/>
        <w:t>4</w:t>
      </w:r>
      <w:r>
        <w:tab/>
        <w:t>treat the residue with 25mL of concentrated sulphuric acid containing 5g of sodium sulphate, then heat to fuming, cool, centrifuge, decant, and wash with 25mL of concentrated sulphuric acid, decant and wash with 25mL of water</w:t>
      </w:r>
    </w:p>
    <w:p w:rsidR="00B40966" w:rsidRDefault="00B40966">
      <w:pPr>
        <w:pStyle w:val="Amain"/>
      </w:pPr>
      <w:r>
        <w:tab/>
        <w:t>5</w:t>
      </w:r>
      <w:r>
        <w:tab/>
        <w:t>boil the residue for 5 minutes with 50mL of 10% sodium carbonate, cool, centrifuge, decant, and wash with 50mL of 1:10 hydrochloric acid</w:t>
      </w:r>
    </w:p>
    <w:p w:rsidR="00B40966" w:rsidRDefault="00B40966">
      <w:pPr>
        <w:pStyle w:val="Amain"/>
      </w:pPr>
      <w:r>
        <w:tab/>
        <w:t>6</w:t>
      </w:r>
      <w:r>
        <w:tab/>
        <w:t>transfer residue to a platinum dish, evaporate to dryness, ignite, and weigh (residue A)</w:t>
      </w:r>
    </w:p>
    <w:p w:rsidR="00B40966" w:rsidRDefault="00B40966">
      <w:pPr>
        <w:pStyle w:val="Amain"/>
      </w:pPr>
      <w:r>
        <w:tab/>
        <w:t>7</w:t>
      </w:r>
      <w:r>
        <w:tab/>
        <w:t>treat the residue with 5mL of hydrofluoric acid, containing 0.5mL of concentrated sulphuric acid, then heat on water bath for 1 hour, evaporate to dryness over flame, ignite and weigh (residue B)</w:t>
      </w:r>
    </w:p>
    <w:p w:rsidR="00B40966" w:rsidRDefault="00B40966">
      <w:pPr>
        <w:pStyle w:val="Amain"/>
      </w:pPr>
      <w:r>
        <w:tab/>
        <w:t>8</w:t>
      </w:r>
      <w:r>
        <w:tab/>
        <w:t>free silica equals residue A minus residue B</w:t>
      </w:r>
    </w:p>
    <w:p w:rsidR="00B40966" w:rsidRDefault="00B40966">
      <w:pPr>
        <w:pStyle w:val="PageBreak"/>
      </w:pPr>
      <w:r>
        <w:br w:type="page"/>
      </w:r>
    </w:p>
    <w:p w:rsidR="00B40966" w:rsidRDefault="00B40966">
      <w:pPr>
        <w:pStyle w:val="Sched-heading"/>
      </w:pPr>
      <w:bookmarkStart w:id="319" w:name="_Toc87258154"/>
      <w:r>
        <w:rPr>
          <w:rStyle w:val="CharChapNo"/>
        </w:rPr>
        <w:t>Schedule 4</w:t>
      </w:r>
      <w:r>
        <w:rPr>
          <w:rStyle w:val="CharChapNo"/>
        </w:rPr>
        <w:tab/>
      </w:r>
      <w:r>
        <w:rPr>
          <w:rStyle w:val="CharChapText"/>
        </w:rPr>
        <w:t>Processes to which s 73 (1) (o) applies</w:t>
      </w:r>
      <w:bookmarkEnd w:id="319"/>
    </w:p>
    <w:p w:rsidR="00B40966" w:rsidRDefault="00B40966">
      <w:pPr>
        <w:pStyle w:val="Amain"/>
      </w:pPr>
      <w:r>
        <w:tab/>
        <w:t>1</w:t>
      </w:r>
      <w:r>
        <w:tab/>
        <w:t>dry grinding of surfaces of metal, stone, concrete, or similar materials by means of a wheel or discs driven by mechanical power</w:t>
      </w:r>
    </w:p>
    <w:p w:rsidR="00B40966" w:rsidRDefault="00B40966">
      <w:pPr>
        <w:pStyle w:val="Amain"/>
      </w:pPr>
      <w:r>
        <w:tab/>
        <w:t>2</w:t>
      </w:r>
      <w:r>
        <w:tab/>
        <w:t>cutting, dressing, or carving of stone, concrete or similar material by means of a portable tool driven by mechanical power</w:t>
      </w:r>
    </w:p>
    <w:p w:rsidR="00B40966" w:rsidRDefault="00B40966">
      <w:pPr>
        <w:pStyle w:val="Amain"/>
      </w:pPr>
      <w:r>
        <w:tab/>
        <w:t>3</w:t>
      </w:r>
      <w:r>
        <w:tab/>
        <w:t>chipping, or scaling of painted or corroded metal surfaces or wire brushing of the surfaces by mechanical power</w:t>
      </w:r>
    </w:p>
    <w:p w:rsidR="00B40966" w:rsidRDefault="00B40966">
      <w:pPr>
        <w:pStyle w:val="Amain"/>
      </w:pPr>
      <w:r>
        <w:tab/>
        <w:t>4</w:t>
      </w:r>
      <w:r>
        <w:tab/>
        <w:t>cutting out or cutting off of cold rivets or bolts from any structure or part of a structure</w:t>
      </w:r>
    </w:p>
    <w:p w:rsidR="00B40966" w:rsidRDefault="00B40966">
      <w:pPr>
        <w:pStyle w:val="Amain"/>
      </w:pPr>
      <w:r>
        <w:tab/>
        <w:t>5</w:t>
      </w:r>
      <w:r>
        <w:tab/>
        <w:t>welding or cutting of metals by means of an electrical, oxyacetylene or similar process</w:t>
      </w:r>
    </w:p>
    <w:p w:rsidR="00B40966" w:rsidRDefault="00B40966">
      <w:pPr>
        <w:pStyle w:val="PageBreak"/>
      </w:pPr>
      <w:r>
        <w:br w:type="page"/>
      </w:r>
    </w:p>
    <w:p w:rsidR="00B40966" w:rsidRDefault="00B40966">
      <w:pPr>
        <w:pStyle w:val="Sched-heading"/>
        <w:rPr>
          <w:rStyle w:val="CharChapNo"/>
        </w:rPr>
      </w:pPr>
      <w:bookmarkStart w:id="320" w:name="_Toc87258155"/>
      <w:r>
        <w:rPr>
          <w:rStyle w:val="CharChapNo"/>
        </w:rPr>
        <w:t>Schedule 5</w:t>
      </w:r>
      <w:r>
        <w:tab/>
      </w:r>
      <w:r>
        <w:rPr>
          <w:rStyle w:val="CharChapText"/>
        </w:rPr>
        <w:t>Method of treatment of a lead compound for the purpose of determining the percentage of dry compound of lead</w:t>
      </w:r>
      <w:bookmarkEnd w:id="320"/>
    </w:p>
    <w:p w:rsidR="00B40966" w:rsidRDefault="00B40966">
      <w:pPr>
        <w:pStyle w:val="Amain"/>
        <w:rPr>
          <w:rStyle w:val="CharChapNo"/>
        </w:rPr>
      </w:pPr>
      <w:r>
        <w:rPr>
          <w:rStyle w:val="CharChapNo"/>
        </w:rPr>
        <w:tab/>
        <w:t>1</w:t>
      </w:r>
      <w:r>
        <w:rPr>
          <w:rStyle w:val="CharChapNo"/>
        </w:rPr>
        <w:tab/>
        <w:t>the material is to be treated with suitable solvents to remove the oil, varnish, and other media, and the residue to be dried at 100° C and thoroughly mixed</w:t>
      </w:r>
    </w:p>
    <w:p w:rsidR="00B40966" w:rsidRDefault="00B40966">
      <w:pPr>
        <w:pStyle w:val="Amain"/>
        <w:rPr>
          <w:rStyle w:val="CharChapNo"/>
        </w:rPr>
      </w:pPr>
      <w:r>
        <w:rPr>
          <w:rStyle w:val="CharChapNo"/>
        </w:rPr>
        <w:tab/>
        <w:t>2</w:t>
      </w:r>
      <w:r>
        <w:rPr>
          <w:rStyle w:val="CharChapNo"/>
        </w:rPr>
        <w:tab/>
        <w:t>a weighed quantity of this extracted, dried and mixed material is to be continuously shaken for 1 hour, at the common temperature, with 1 000 times its weight of an aqueous solution of hydrochloric acid containing 0.25% by weight of hydrogen chloride</w:t>
      </w:r>
    </w:p>
    <w:p w:rsidR="00B40966" w:rsidRDefault="00B40966">
      <w:pPr>
        <w:pStyle w:val="Amain"/>
        <w:rPr>
          <w:rStyle w:val="CharChapNo"/>
        </w:rPr>
      </w:pPr>
      <w:r>
        <w:rPr>
          <w:rStyle w:val="CharChapNo"/>
        </w:rPr>
        <w:tab/>
        <w:t>3</w:t>
      </w:r>
      <w:r>
        <w:rPr>
          <w:rStyle w:val="CharChapNo"/>
        </w:rPr>
        <w:tab/>
        <w:t>this solution is then to be allowed to stand for 1 hour and then filtered</w:t>
      </w:r>
    </w:p>
    <w:p w:rsidR="00B40966" w:rsidRDefault="00B40966">
      <w:pPr>
        <w:pStyle w:val="Amain"/>
        <w:rPr>
          <w:rStyle w:val="CharChapNo"/>
        </w:rPr>
      </w:pPr>
      <w:r>
        <w:rPr>
          <w:rStyle w:val="CharChapNo"/>
        </w:rPr>
        <w:tab/>
        <w:t>4</w:t>
      </w:r>
      <w:r>
        <w:rPr>
          <w:rStyle w:val="CharChapNo"/>
        </w:rPr>
        <w:tab/>
        <w:t>the lead salt contained in the clear filtrate is then to be precipitated as lead sulphide and weighed as lead sulphate</w:t>
      </w:r>
    </w:p>
    <w:p w:rsidR="00B40966" w:rsidRDefault="00B40966">
      <w:pPr>
        <w:pStyle w:val="03Schedule"/>
        <w:sectPr w:rsidR="00B40966">
          <w:headerReference w:type="even" r:id="rId178"/>
          <w:headerReference w:type="default" r:id="rId179"/>
          <w:footerReference w:type="even" r:id="rId180"/>
          <w:footerReference w:type="default" r:id="rId181"/>
          <w:type w:val="continuous"/>
          <w:pgSz w:w="11907" w:h="16839" w:code="9"/>
          <w:pgMar w:top="3000" w:right="1900" w:bottom="2500" w:left="2300" w:header="2480" w:footer="2100" w:gutter="0"/>
          <w:cols w:space="720"/>
        </w:sectPr>
      </w:pPr>
    </w:p>
    <w:p w:rsidR="00B40966" w:rsidRDefault="00B40966">
      <w:pPr>
        <w:pStyle w:val="Sched-heading"/>
      </w:pPr>
      <w:bookmarkStart w:id="321" w:name="_Toc87258156"/>
      <w:r>
        <w:rPr>
          <w:rStyle w:val="CharChapNo"/>
        </w:rPr>
        <w:t>Schedule 7</w:t>
      </w:r>
      <w:bookmarkEnd w:id="321"/>
      <w:r>
        <w:tab/>
      </w:r>
      <w:r>
        <w:rPr>
          <w:rStyle w:val="CharChapText"/>
        </w:rPr>
        <w:t xml:space="preserve">  </w:t>
      </w:r>
    </w:p>
    <w:p w:rsidR="00B40966" w:rsidRDefault="00B40966">
      <w:pPr>
        <w:pStyle w:val="TableHd"/>
      </w:pPr>
      <w:r>
        <w:t>Table 7.1</w:t>
      </w:r>
      <w:r>
        <w:tab/>
        <w:t>Decompression—stoppages after exceeding ordinary time limits</w:t>
      </w:r>
    </w:p>
    <w:p w:rsidR="00B40966" w:rsidRDefault="00B40966">
      <w:pPr>
        <w:pStyle w:val="ref"/>
      </w:pPr>
      <w:r>
        <w:t>(see s 99 (21) to (23))</w:t>
      </w:r>
    </w:p>
    <w:tbl>
      <w:tblPr>
        <w:tblW w:w="0" w:type="auto"/>
        <w:tblInd w:w="-160" w:type="dxa"/>
        <w:tblLayout w:type="fixed"/>
        <w:tblCellMar>
          <w:left w:w="80" w:type="dxa"/>
          <w:right w:w="80" w:type="dxa"/>
        </w:tblCellMar>
        <w:tblLook w:val="0000" w:firstRow="0" w:lastRow="0" w:firstColumn="0" w:lastColumn="0" w:noHBand="0" w:noVBand="0"/>
      </w:tblPr>
      <w:tblGrid>
        <w:gridCol w:w="660"/>
        <w:gridCol w:w="880"/>
        <w:gridCol w:w="980"/>
        <w:gridCol w:w="3072"/>
        <w:gridCol w:w="628"/>
        <w:gridCol w:w="20"/>
        <w:gridCol w:w="588"/>
        <w:gridCol w:w="12"/>
        <w:gridCol w:w="600"/>
        <w:gridCol w:w="600"/>
        <w:gridCol w:w="588"/>
        <w:gridCol w:w="12"/>
        <w:gridCol w:w="588"/>
        <w:gridCol w:w="12"/>
        <w:gridCol w:w="708"/>
        <w:gridCol w:w="12"/>
        <w:gridCol w:w="600"/>
        <w:gridCol w:w="12"/>
        <w:gridCol w:w="1008"/>
        <w:gridCol w:w="12"/>
        <w:gridCol w:w="25"/>
        <w:gridCol w:w="19"/>
      </w:tblGrid>
      <w:tr w:rsidR="00B40966">
        <w:trPr>
          <w:cantSplit/>
          <w:tblHeader/>
        </w:trPr>
        <w:tc>
          <w:tcPr>
            <w:tcW w:w="1540" w:type="dxa"/>
            <w:gridSpan w:val="2"/>
            <w:tcBorders>
              <w:top w:val="single" w:sz="6" w:space="0" w:color="auto"/>
              <w:bottom w:val="single" w:sz="6" w:space="0" w:color="auto"/>
            </w:tcBorders>
            <w:vAlign w:val="bottom"/>
          </w:tcPr>
          <w:p w:rsidR="00B40966" w:rsidRDefault="00B40966">
            <w:pPr>
              <w:pStyle w:val="TableColHd"/>
              <w:jc w:val="center"/>
            </w:pPr>
            <w:r>
              <w:t>depth</w:t>
            </w:r>
          </w:p>
        </w:tc>
        <w:tc>
          <w:tcPr>
            <w:tcW w:w="980" w:type="dxa"/>
            <w:tcBorders>
              <w:top w:val="single" w:sz="6" w:space="0" w:color="auto"/>
              <w:left w:val="single" w:sz="6" w:space="0" w:color="auto"/>
              <w:bottom w:val="single" w:sz="4" w:space="0" w:color="auto"/>
              <w:right w:val="single" w:sz="6" w:space="0" w:color="auto"/>
            </w:tcBorders>
            <w:vAlign w:val="bottom"/>
          </w:tcPr>
          <w:p w:rsidR="00B40966" w:rsidRDefault="00B40966">
            <w:pPr>
              <w:pStyle w:val="TableColHd"/>
              <w:jc w:val="center"/>
            </w:pPr>
            <w:r>
              <w:t>pressure</w:t>
            </w:r>
          </w:p>
        </w:tc>
        <w:tc>
          <w:tcPr>
            <w:tcW w:w="3072" w:type="dxa"/>
            <w:vMerge w:val="restart"/>
            <w:tcBorders>
              <w:top w:val="single" w:sz="6" w:space="0" w:color="auto"/>
              <w:right w:val="single" w:sz="6" w:space="0" w:color="auto"/>
            </w:tcBorders>
            <w:vAlign w:val="bottom"/>
          </w:tcPr>
          <w:p w:rsidR="00B40966" w:rsidRDefault="00B40966">
            <w:pPr>
              <w:pStyle w:val="TableColHd"/>
              <w:jc w:val="center"/>
            </w:pPr>
            <w:r>
              <w:t>time from leaving surface to beginning of ascent</w:t>
            </w:r>
          </w:p>
        </w:tc>
        <w:tc>
          <w:tcPr>
            <w:tcW w:w="4968" w:type="dxa"/>
            <w:gridSpan w:val="13"/>
            <w:tcBorders>
              <w:top w:val="single" w:sz="6" w:space="0" w:color="auto"/>
            </w:tcBorders>
            <w:vAlign w:val="bottom"/>
          </w:tcPr>
          <w:p w:rsidR="00B40966" w:rsidRDefault="00B40966">
            <w:pPr>
              <w:pStyle w:val="TableColHd"/>
              <w:jc w:val="center"/>
            </w:pPr>
            <w:r>
              <w:t>stoppages at different depths in minutes</w:t>
            </w:r>
          </w:p>
        </w:tc>
        <w:tc>
          <w:tcPr>
            <w:tcW w:w="1076" w:type="dxa"/>
            <w:gridSpan w:val="5"/>
            <w:tcBorders>
              <w:top w:val="single" w:sz="6" w:space="0" w:color="auto"/>
              <w:left w:val="single" w:sz="6" w:space="0" w:color="auto"/>
            </w:tcBorders>
            <w:vAlign w:val="bottom"/>
          </w:tcPr>
          <w:p w:rsidR="00B40966" w:rsidRDefault="00B40966">
            <w:pPr>
              <w:pStyle w:val="TableColHd"/>
              <w:jc w:val="center"/>
            </w:pPr>
            <w:r>
              <w:t>total time for ascent</w:t>
            </w:r>
          </w:p>
        </w:tc>
      </w:tr>
      <w:tr w:rsidR="00B40966">
        <w:trPr>
          <w:gridAfter w:val="1"/>
          <w:wAfter w:w="19" w:type="dxa"/>
          <w:cantSplit/>
          <w:trHeight w:hRule="exact" w:val="460"/>
          <w:tblHeader/>
        </w:trPr>
        <w:tc>
          <w:tcPr>
            <w:tcW w:w="660" w:type="dxa"/>
            <w:tcBorders>
              <w:bottom w:val="single" w:sz="6" w:space="0" w:color="auto"/>
              <w:right w:val="single" w:sz="6" w:space="0" w:color="auto"/>
            </w:tcBorders>
            <w:vAlign w:val="bottom"/>
          </w:tcPr>
          <w:p w:rsidR="00B40966" w:rsidRDefault="00B40966">
            <w:pPr>
              <w:pStyle w:val="TableColHd"/>
              <w:jc w:val="center"/>
            </w:pPr>
            <w:r>
              <w:t>ft</w:t>
            </w:r>
          </w:p>
        </w:tc>
        <w:tc>
          <w:tcPr>
            <w:tcW w:w="880" w:type="dxa"/>
            <w:tcBorders>
              <w:bottom w:val="single" w:sz="6" w:space="0" w:color="auto"/>
            </w:tcBorders>
            <w:vAlign w:val="bottom"/>
          </w:tcPr>
          <w:p w:rsidR="00B40966" w:rsidRDefault="00B40966">
            <w:pPr>
              <w:pStyle w:val="TableColHd"/>
              <w:jc w:val="center"/>
            </w:pPr>
            <w:r>
              <w:t>fathoms</w:t>
            </w:r>
          </w:p>
        </w:tc>
        <w:tc>
          <w:tcPr>
            <w:tcW w:w="980" w:type="dxa"/>
            <w:tcBorders>
              <w:left w:val="single" w:sz="6" w:space="0" w:color="auto"/>
              <w:bottom w:val="single" w:sz="6" w:space="0" w:color="auto"/>
              <w:right w:val="single" w:sz="6" w:space="0" w:color="auto"/>
            </w:tcBorders>
            <w:vAlign w:val="bottom"/>
          </w:tcPr>
          <w:p w:rsidR="00B40966" w:rsidRDefault="00B40966">
            <w:pPr>
              <w:pStyle w:val="TableColHd"/>
              <w:jc w:val="center"/>
            </w:pPr>
            <w:r>
              <w:t>lb/in</w:t>
            </w:r>
            <w:r>
              <w:rPr>
                <w:vertAlign w:val="superscript"/>
              </w:rPr>
              <w:t>2</w:t>
            </w:r>
          </w:p>
        </w:tc>
        <w:tc>
          <w:tcPr>
            <w:tcW w:w="3072" w:type="dxa"/>
            <w:vMerge/>
            <w:tcBorders>
              <w:bottom w:val="single" w:sz="6" w:space="0" w:color="auto"/>
              <w:right w:val="single" w:sz="6" w:space="0" w:color="auto"/>
            </w:tcBorders>
            <w:vAlign w:val="bottom"/>
          </w:tcPr>
          <w:p w:rsidR="00B40966" w:rsidRDefault="00B40966">
            <w:pPr>
              <w:pStyle w:val="TableColHd"/>
              <w:jc w:val="center"/>
            </w:pPr>
          </w:p>
        </w:tc>
        <w:tc>
          <w:tcPr>
            <w:tcW w:w="648" w:type="dxa"/>
            <w:gridSpan w:val="2"/>
            <w:tcBorders>
              <w:top w:val="single" w:sz="6" w:space="0" w:color="auto"/>
              <w:bottom w:val="single" w:sz="6" w:space="0" w:color="auto"/>
            </w:tcBorders>
            <w:vAlign w:val="bottom"/>
          </w:tcPr>
          <w:p w:rsidR="00B40966" w:rsidRDefault="00B40966">
            <w:pPr>
              <w:pStyle w:val="TableColHd"/>
              <w:jc w:val="center"/>
            </w:pPr>
            <w:r>
              <w:t>80ft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70ft</w:t>
            </w:r>
          </w:p>
        </w:tc>
        <w:tc>
          <w:tcPr>
            <w:tcW w:w="600" w:type="dxa"/>
            <w:tcBorders>
              <w:top w:val="single" w:sz="6" w:space="0" w:color="auto"/>
              <w:bottom w:val="single" w:sz="6" w:space="0" w:color="auto"/>
            </w:tcBorders>
            <w:vAlign w:val="bottom"/>
          </w:tcPr>
          <w:p w:rsidR="00B40966" w:rsidRDefault="00B40966">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50ft</w:t>
            </w:r>
          </w:p>
        </w:tc>
        <w:tc>
          <w:tcPr>
            <w:tcW w:w="600" w:type="dxa"/>
            <w:gridSpan w:val="2"/>
            <w:tcBorders>
              <w:top w:val="single" w:sz="6" w:space="0" w:color="auto"/>
              <w:bottom w:val="single" w:sz="6" w:space="0" w:color="auto"/>
            </w:tcBorders>
            <w:vAlign w:val="bottom"/>
          </w:tcPr>
          <w:p w:rsidR="00B40966" w:rsidRDefault="00B40966">
            <w:pPr>
              <w:pStyle w:val="TableColHd"/>
              <w:jc w:val="center"/>
            </w:pPr>
            <w:r>
              <w:t>40ft</w:t>
            </w:r>
          </w:p>
        </w:tc>
        <w:tc>
          <w:tcPr>
            <w:tcW w:w="600" w:type="dxa"/>
            <w:gridSpan w:val="2"/>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30ft</w:t>
            </w:r>
          </w:p>
        </w:tc>
        <w:tc>
          <w:tcPr>
            <w:tcW w:w="720" w:type="dxa"/>
            <w:gridSpan w:val="2"/>
            <w:tcBorders>
              <w:top w:val="single" w:sz="6" w:space="0" w:color="auto"/>
              <w:bottom w:val="single" w:sz="6" w:space="0" w:color="auto"/>
            </w:tcBorders>
            <w:vAlign w:val="bottom"/>
          </w:tcPr>
          <w:p w:rsidR="00B40966" w:rsidRDefault="00B40966">
            <w:pPr>
              <w:pStyle w:val="TableColHd"/>
              <w:jc w:val="center"/>
            </w:pPr>
            <w:r>
              <w:t>20ft</w:t>
            </w:r>
          </w:p>
        </w:tc>
        <w:tc>
          <w:tcPr>
            <w:tcW w:w="60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10ft</w:t>
            </w:r>
          </w:p>
        </w:tc>
        <w:tc>
          <w:tcPr>
            <w:tcW w:w="1057" w:type="dxa"/>
            <w:gridSpan w:val="4"/>
            <w:tcBorders>
              <w:top w:val="single" w:sz="6" w:space="0" w:color="auto"/>
              <w:bottom w:val="single" w:sz="6" w:space="0" w:color="auto"/>
            </w:tcBorders>
            <w:vAlign w:val="bottom"/>
          </w:tcPr>
          <w:p w:rsidR="00B40966" w:rsidRDefault="00B40966">
            <w:pPr>
              <w:pStyle w:val="TableColHd"/>
              <w:jc w:val="center"/>
            </w:pPr>
            <w:r>
              <w:t>minutes</w:t>
            </w:r>
          </w:p>
        </w:tc>
      </w:tr>
      <w:tr w:rsidR="00B40966">
        <w:trPr>
          <w:gridAfter w:val="1"/>
          <w:wAfter w:w="19" w:type="dxa"/>
          <w:trHeight w:hRule="exact" w:val="400"/>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66</w:t>
            </w:r>
          </w:p>
        </w:tc>
        <w:tc>
          <w:tcPr>
            <w:tcW w:w="880" w:type="dxa"/>
            <w:tcBorders>
              <w:top w:val="single" w:sz="6" w:space="0" w:color="auto"/>
            </w:tcBorders>
          </w:tcPr>
          <w:p w:rsidR="00B40966" w:rsidRDefault="00B40966">
            <w:pPr>
              <w:pStyle w:val="TableText"/>
              <w:rPr>
                <w:sz w:val="20"/>
              </w:rPr>
            </w:pPr>
            <w:r>
              <w:rPr>
                <w:sz w:val="20"/>
              </w:rPr>
              <w:t>11</w:t>
            </w:r>
          </w:p>
        </w:tc>
        <w:tc>
          <w:tcPr>
            <w:tcW w:w="9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29</w:t>
            </w:r>
          </w:p>
        </w:tc>
        <w:tc>
          <w:tcPr>
            <w:tcW w:w="3072" w:type="dxa"/>
            <w:tcBorders>
              <w:top w:val="single" w:sz="6" w:space="0" w:color="auto"/>
              <w:right w:val="single" w:sz="6" w:space="0" w:color="auto"/>
            </w:tcBorders>
          </w:tcPr>
          <w:p w:rsidR="00B40966" w:rsidRDefault="00B40966">
            <w:pPr>
              <w:pStyle w:val="TableText"/>
              <w:rPr>
                <w:sz w:val="20"/>
              </w:rPr>
            </w:pPr>
            <w:r>
              <w:rPr>
                <w:sz w:val="20"/>
              </w:rPr>
              <w:t>over 3h</w:t>
            </w:r>
          </w:p>
        </w:tc>
        <w:tc>
          <w:tcPr>
            <w:tcW w:w="648" w:type="dxa"/>
            <w:gridSpan w:val="2"/>
            <w:tcBorders>
              <w:top w:val="single" w:sz="6" w:space="0" w:color="auto"/>
            </w:tcBorders>
          </w:tcPr>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600" w:type="dxa"/>
            <w:tcBorders>
              <w:top w:val="single" w:sz="6" w:space="0" w:color="auto"/>
            </w:tcBorders>
          </w:tcPr>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600" w:type="dxa"/>
            <w:gridSpan w:val="2"/>
            <w:tcBorders>
              <w:top w:val="single" w:sz="6" w:space="0" w:color="auto"/>
            </w:tcBorders>
          </w:tcPr>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720" w:type="dxa"/>
            <w:gridSpan w:val="2"/>
            <w:tcBorders>
              <w:top w:val="single" w:sz="6" w:space="0" w:color="auto"/>
            </w:tcBorders>
          </w:tcPr>
          <w:p w:rsidR="00B40966" w:rsidRDefault="00B40966">
            <w:pPr>
              <w:pStyle w:val="TableText"/>
              <w:rPr>
                <w:sz w:val="20"/>
              </w:rPr>
            </w:pPr>
            <w:r>
              <w:rPr>
                <w:sz w:val="20"/>
              </w:rPr>
              <w:t>10</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57" w:type="dxa"/>
            <w:gridSpan w:val="4"/>
            <w:tcBorders>
              <w:top w:val="single" w:sz="6" w:space="0" w:color="auto"/>
            </w:tcBorders>
          </w:tcPr>
          <w:p w:rsidR="00B40966" w:rsidRDefault="00B40966">
            <w:pPr>
              <w:pStyle w:val="TableText"/>
              <w:rPr>
                <w:sz w:val="20"/>
              </w:rPr>
            </w:pPr>
            <w:r>
              <w:rPr>
                <w:sz w:val="20"/>
              </w:rPr>
              <w:t>42</w:t>
            </w:r>
          </w:p>
        </w:tc>
      </w:tr>
      <w:tr w:rsidR="00B40966">
        <w:trPr>
          <w:gridAfter w:val="1"/>
          <w:wAfter w:w="19" w:type="dxa"/>
          <w:trHeight w:hRule="exact" w:val="660"/>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72</w:t>
            </w:r>
          </w:p>
        </w:tc>
        <w:tc>
          <w:tcPr>
            <w:tcW w:w="880" w:type="dxa"/>
            <w:tcBorders>
              <w:top w:val="single" w:sz="6" w:space="0" w:color="auto"/>
            </w:tcBorders>
          </w:tcPr>
          <w:p w:rsidR="00B40966" w:rsidRDefault="00B40966">
            <w:pPr>
              <w:pStyle w:val="TableText"/>
              <w:rPr>
                <w:sz w:val="20"/>
              </w:rPr>
            </w:pPr>
            <w:r>
              <w:rPr>
                <w:sz w:val="20"/>
              </w:rPr>
              <w:t>12</w:t>
            </w:r>
          </w:p>
        </w:tc>
        <w:tc>
          <w:tcPr>
            <w:tcW w:w="9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32</w:t>
            </w:r>
          </w:p>
        </w:tc>
        <w:tc>
          <w:tcPr>
            <w:tcW w:w="3072" w:type="dxa"/>
            <w:tcBorders>
              <w:top w:val="single" w:sz="6" w:space="0" w:color="auto"/>
              <w:right w:val="single" w:sz="6" w:space="0" w:color="auto"/>
            </w:tcBorders>
          </w:tcPr>
          <w:p w:rsidR="00B40966" w:rsidRDefault="00B40966">
            <w:pPr>
              <w:pStyle w:val="TableText"/>
              <w:rPr>
                <w:sz w:val="20"/>
              </w:rPr>
            </w:pPr>
            <w:r>
              <w:rPr>
                <w:sz w:val="20"/>
              </w:rPr>
              <w:t>2 to 3h</w:t>
            </w:r>
          </w:p>
          <w:p w:rsidR="00B40966" w:rsidRDefault="00B40966">
            <w:pPr>
              <w:pStyle w:val="TableText"/>
              <w:rPr>
                <w:sz w:val="20"/>
              </w:rPr>
            </w:pPr>
            <w:r>
              <w:rPr>
                <w:sz w:val="20"/>
              </w:rPr>
              <w:t>over 3h</w:t>
            </w:r>
          </w:p>
        </w:tc>
        <w:tc>
          <w:tcPr>
            <w:tcW w:w="648" w:type="dxa"/>
            <w:gridSpan w:val="2"/>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720" w:type="dxa"/>
            <w:gridSpan w:val="2"/>
            <w:tcBorders>
              <w:top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1057" w:type="dxa"/>
            <w:gridSpan w:val="4"/>
            <w:tcBorders>
              <w:top w:val="single" w:sz="6" w:space="0" w:color="auto"/>
            </w:tcBorders>
          </w:tcPr>
          <w:p w:rsidR="00B40966" w:rsidRDefault="00B40966">
            <w:pPr>
              <w:pStyle w:val="TableText"/>
              <w:rPr>
                <w:sz w:val="20"/>
              </w:rPr>
            </w:pPr>
            <w:r>
              <w:rPr>
                <w:sz w:val="20"/>
              </w:rPr>
              <w:t>42</w:t>
            </w:r>
          </w:p>
          <w:p w:rsidR="00B40966" w:rsidRDefault="00B40966">
            <w:pPr>
              <w:pStyle w:val="TableText"/>
              <w:rPr>
                <w:sz w:val="20"/>
              </w:rPr>
            </w:pPr>
            <w:r>
              <w:rPr>
                <w:sz w:val="20"/>
              </w:rPr>
              <w:t>52</w:t>
            </w:r>
          </w:p>
        </w:tc>
      </w:tr>
      <w:tr w:rsidR="00B40966">
        <w:trPr>
          <w:gridAfter w:val="1"/>
          <w:wAfter w:w="19" w:type="dxa"/>
          <w:trHeight w:hRule="exact" w:val="760"/>
        </w:trPr>
        <w:tc>
          <w:tcPr>
            <w:tcW w:w="660" w:type="dxa"/>
            <w:tcBorders>
              <w:top w:val="single" w:sz="6" w:space="0" w:color="auto"/>
              <w:right w:val="single" w:sz="6" w:space="0" w:color="auto"/>
            </w:tcBorders>
          </w:tcPr>
          <w:p w:rsidR="00B40966" w:rsidRDefault="00B40966">
            <w:pPr>
              <w:pStyle w:val="TableText"/>
              <w:rPr>
                <w:sz w:val="20"/>
              </w:rPr>
            </w:pPr>
            <w:r>
              <w:rPr>
                <w:sz w:val="20"/>
              </w:rPr>
              <w:t>78</w:t>
            </w:r>
          </w:p>
        </w:tc>
        <w:tc>
          <w:tcPr>
            <w:tcW w:w="880" w:type="dxa"/>
            <w:tcBorders>
              <w:top w:val="single" w:sz="6" w:space="0" w:color="auto"/>
            </w:tcBorders>
          </w:tcPr>
          <w:p w:rsidR="00B40966" w:rsidRDefault="00B40966">
            <w:pPr>
              <w:pStyle w:val="TableText"/>
              <w:rPr>
                <w:sz w:val="20"/>
              </w:rPr>
            </w:pPr>
            <w:r>
              <w:rPr>
                <w:sz w:val="20"/>
              </w:rPr>
              <w:t>13</w:t>
            </w:r>
          </w:p>
        </w:tc>
        <w:tc>
          <w:tcPr>
            <w:tcW w:w="9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34</w:t>
            </w:r>
            <w:r>
              <w:rPr>
                <w:position w:val="6"/>
                <w:sz w:val="20"/>
              </w:rPr>
              <w:t>1</w:t>
            </w:r>
            <w:r>
              <w:rPr>
                <w:sz w:val="20"/>
              </w:rPr>
              <w:t>/2</w:t>
            </w:r>
          </w:p>
        </w:tc>
        <w:tc>
          <w:tcPr>
            <w:tcW w:w="3072" w:type="dxa"/>
            <w:tcBorders>
              <w:top w:val="single" w:sz="6" w:space="0" w:color="auto"/>
              <w:right w:val="single" w:sz="6" w:space="0" w:color="auto"/>
            </w:tcBorders>
          </w:tcPr>
          <w:p w:rsidR="00B40966" w:rsidRDefault="00B40966">
            <w:pPr>
              <w:pStyle w:val="TableText"/>
              <w:rPr>
                <w:sz w:val="20"/>
              </w:rPr>
            </w:pPr>
            <w:r>
              <w:rPr>
                <w:sz w:val="20"/>
              </w:rPr>
              <w:t>1</w:t>
            </w:r>
            <w:r>
              <w:rPr>
                <w:position w:val="6"/>
                <w:sz w:val="20"/>
              </w:rPr>
              <w:t>1</w:t>
            </w:r>
            <w:r>
              <w:rPr>
                <w:sz w:val="20"/>
              </w:rPr>
              <w:t>/2to 2</w:t>
            </w:r>
            <w:r>
              <w:rPr>
                <w:position w:val="6"/>
                <w:sz w:val="20"/>
              </w:rPr>
              <w:t>1</w:t>
            </w:r>
            <w:r>
              <w:rPr>
                <w:sz w:val="20"/>
              </w:rPr>
              <w:t>/2h</w:t>
            </w:r>
          </w:p>
          <w:p w:rsidR="00B40966" w:rsidRDefault="00B40966">
            <w:pPr>
              <w:pStyle w:val="TableText"/>
              <w:rPr>
                <w:sz w:val="20"/>
              </w:rPr>
            </w:pPr>
            <w:r>
              <w:rPr>
                <w:sz w:val="20"/>
              </w:rPr>
              <w:t>over 2</w:t>
            </w:r>
            <w:r>
              <w:rPr>
                <w:position w:val="6"/>
                <w:sz w:val="20"/>
              </w:rPr>
              <w:t>1</w:t>
            </w:r>
            <w:r>
              <w:rPr>
                <w:sz w:val="20"/>
              </w:rPr>
              <w:t>/2h</w:t>
            </w:r>
          </w:p>
        </w:tc>
        <w:tc>
          <w:tcPr>
            <w:tcW w:w="648" w:type="dxa"/>
            <w:gridSpan w:val="2"/>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720" w:type="dxa"/>
            <w:gridSpan w:val="2"/>
            <w:tcBorders>
              <w:top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30</w:t>
            </w:r>
          </w:p>
        </w:tc>
        <w:tc>
          <w:tcPr>
            <w:tcW w:w="60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1057" w:type="dxa"/>
            <w:gridSpan w:val="4"/>
            <w:tcBorders>
              <w:top w:val="single" w:sz="6" w:space="0" w:color="auto"/>
            </w:tcBorders>
          </w:tcPr>
          <w:p w:rsidR="00B40966" w:rsidRDefault="00B40966">
            <w:pPr>
              <w:pStyle w:val="TableText"/>
              <w:rPr>
                <w:sz w:val="20"/>
              </w:rPr>
            </w:pPr>
            <w:r>
              <w:rPr>
                <w:sz w:val="20"/>
              </w:rPr>
              <w:t>52</w:t>
            </w:r>
          </w:p>
          <w:p w:rsidR="00B40966" w:rsidRDefault="00B40966">
            <w:pPr>
              <w:pStyle w:val="TableText"/>
              <w:rPr>
                <w:sz w:val="20"/>
              </w:rPr>
            </w:pPr>
            <w:r>
              <w:rPr>
                <w:sz w:val="20"/>
              </w:rPr>
              <w:t>62</w:t>
            </w:r>
          </w:p>
        </w:tc>
      </w:tr>
      <w:tr w:rsidR="00B40966">
        <w:trPr>
          <w:gridAfter w:val="1"/>
          <w:wAfter w:w="19" w:type="dxa"/>
          <w:trHeight w:val="800"/>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84</w:t>
            </w:r>
          </w:p>
        </w:tc>
        <w:tc>
          <w:tcPr>
            <w:tcW w:w="880" w:type="dxa"/>
            <w:tcBorders>
              <w:top w:val="single" w:sz="6" w:space="0" w:color="auto"/>
              <w:bottom w:val="single" w:sz="6" w:space="0" w:color="auto"/>
            </w:tcBorders>
          </w:tcPr>
          <w:p w:rsidR="00B40966" w:rsidRDefault="00B40966">
            <w:pPr>
              <w:pStyle w:val="TableText"/>
              <w:rPr>
                <w:sz w:val="20"/>
              </w:rPr>
            </w:pPr>
            <w:r>
              <w:rPr>
                <w:sz w:val="20"/>
              </w:rPr>
              <w:t>14</w:t>
            </w:r>
          </w:p>
        </w:tc>
        <w:tc>
          <w:tcPr>
            <w:tcW w:w="98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37</w:t>
            </w:r>
          </w:p>
        </w:tc>
        <w:tc>
          <w:tcPr>
            <w:tcW w:w="3072"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w:t>
            </w:r>
            <w:r>
              <w:rPr>
                <w:position w:val="6"/>
                <w:sz w:val="20"/>
              </w:rPr>
              <w:t>1</w:t>
            </w:r>
            <w:r>
              <w:rPr>
                <w:sz w:val="20"/>
              </w:rPr>
              <w:t>/4 to 1</w:t>
            </w:r>
            <w:r>
              <w:rPr>
                <w:position w:val="6"/>
                <w:sz w:val="20"/>
              </w:rPr>
              <w:t>1</w:t>
            </w:r>
            <w:r>
              <w:rPr>
                <w:sz w:val="20"/>
              </w:rPr>
              <w:t>/2h</w:t>
            </w:r>
          </w:p>
          <w:p w:rsidR="00B40966" w:rsidRDefault="00B40966">
            <w:pPr>
              <w:pStyle w:val="TableText"/>
              <w:rPr>
                <w:sz w:val="20"/>
              </w:rPr>
            </w:pPr>
            <w:r>
              <w:rPr>
                <w:sz w:val="20"/>
              </w:rPr>
              <w:t>1</w:t>
            </w:r>
            <w:r>
              <w:rPr>
                <w:position w:val="6"/>
                <w:sz w:val="20"/>
              </w:rPr>
              <w:t>1</w:t>
            </w:r>
            <w:r>
              <w:rPr>
                <w:sz w:val="20"/>
              </w:rPr>
              <w:t>/2 to 1</w:t>
            </w:r>
            <w:r>
              <w:rPr>
                <w:position w:val="6"/>
                <w:sz w:val="20"/>
              </w:rPr>
              <w:t>3</w:t>
            </w:r>
            <w:r>
              <w:rPr>
                <w:sz w:val="20"/>
              </w:rPr>
              <w:t>/4h</w:t>
            </w:r>
          </w:p>
          <w:p w:rsidR="00B40966" w:rsidRDefault="00B40966">
            <w:pPr>
              <w:pStyle w:val="TableText"/>
              <w:rPr>
                <w:sz w:val="20"/>
              </w:rPr>
            </w:pPr>
            <w:r>
              <w:rPr>
                <w:sz w:val="20"/>
              </w:rPr>
              <w:t>1</w:t>
            </w:r>
            <w:r>
              <w:rPr>
                <w:position w:val="6"/>
                <w:sz w:val="20"/>
              </w:rPr>
              <w:t>3</w:t>
            </w:r>
            <w:r>
              <w:rPr>
                <w:sz w:val="20"/>
              </w:rPr>
              <w:t>/4 to 2h</w:t>
            </w:r>
          </w:p>
          <w:p w:rsidR="00B40966" w:rsidRDefault="00B40966">
            <w:pPr>
              <w:pStyle w:val="TableText"/>
              <w:rPr>
                <w:sz w:val="20"/>
              </w:rPr>
            </w:pPr>
            <w:r>
              <w:rPr>
                <w:sz w:val="20"/>
              </w:rPr>
              <w:t>2 to 2</w:t>
            </w:r>
            <w:r>
              <w:rPr>
                <w:position w:val="6"/>
                <w:sz w:val="20"/>
              </w:rPr>
              <w:t>1</w:t>
            </w:r>
            <w:r>
              <w:rPr>
                <w:sz w:val="20"/>
              </w:rPr>
              <w:t>/2h</w:t>
            </w:r>
          </w:p>
          <w:p w:rsidR="00B40966" w:rsidRDefault="00B40966">
            <w:pPr>
              <w:pStyle w:val="TableText"/>
              <w:rPr>
                <w:sz w:val="20"/>
              </w:rPr>
            </w:pPr>
            <w:r>
              <w:rPr>
                <w:sz w:val="20"/>
              </w:rPr>
              <w:t>2</w:t>
            </w:r>
            <w:r>
              <w:rPr>
                <w:position w:val="6"/>
                <w:sz w:val="20"/>
              </w:rPr>
              <w:t>1</w:t>
            </w:r>
            <w:r>
              <w:rPr>
                <w:sz w:val="20"/>
              </w:rPr>
              <w:t>/4 to 2</w:t>
            </w:r>
            <w:r>
              <w:rPr>
                <w:position w:val="6"/>
                <w:sz w:val="20"/>
              </w:rPr>
              <w:t>1</w:t>
            </w:r>
            <w:r>
              <w:rPr>
                <w:sz w:val="20"/>
              </w:rPr>
              <w:t>/2h</w:t>
            </w:r>
          </w:p>
          <w:p w:rsidR="00B40966" w:rsidRDefault="00B40966">
            <w:pPr>
              <w:pStyle w:val="TableText"/>
              <w:rPr>
                <w:sz w:val="20"/>
              </w:rPr>
            </w:pPr>
            <w:r>
              <w:rPr>
                <w:sz w:val="20"/>
              </w:rPr>
              <w:t>2</w:t>
            </w:r>
            <w:r>
              <w:rPr>
                <w:position w:val="6"/>
                <w:sz w:val="20"/>
              </w:rPr>
              <w:t>1</w:t>
            </w:r>
            <w:r>
              <w:rPr>
                <w:sz w:val="20"/>
              </w:rPr>
              <w:t>/2 to 2</w:t>
            </w:r>
            <w:r>
              <w:rPr>
                <w:position w:val="6"/>
                <w:sz w:val="20"/>
              </w:rPr>
              <w:t>3</w:t>
            </w:r>
            <w:r>
              <w:rPr>
                <w:sz w:val="20"/>
              </w:rPr>
              <w:t>/4h</w:t>
            </w:r>
          </w:p>
          <w:p w:rsidR="00B40966" w:rsidRDefault="00B40966">
            <w:pPr>
              <w:pStyle w:val="TableText"/>
              <w:rPr>
                <w:sz w:val="20"/>
              </w:rPr>
            </w:pPr>
            <w:r>
              <w:rPr>
                <w:sz w:val="20"/>
              </w:rPr>
              <w:t>2</w:t>
            </w:r>
            <w:r>
              <w:rPr>
                <w:position w:val="6"/>
                <w:sz w:val="20"/>
              </w:rPr>
              <w:t>3</w:t>
            </w:r>
            <w:r>
              <w:rPr>
                <w:sz w:val="20"/>
              </w:rPr>
              <w:t>/4 to 3h</w:t>
            </w:r>
          </w:p>
          <w:p w:rsidR="00B40966" w:rsidRDefault="00B40966">
            <w:pPr>
              <w:pStyle w:val="TableText"/>
              <w:rPr>
                <w:sz w:val="20"/>
              </w:rPr>
            </w:pPr>
            <w:r>
              <w:rPr>
                <w:sz w:val="20"/>
              </w:rPr>
              <w:t>over 3h</w:t>
            </w:r>
          </w:p>
        </w:tc>
        <w:tc>
          <w:tcPr>
            <w:tcW w:w="648"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10</w:t>
            </w:r>
          </w:p>
        </w:tc>
        <w:tc>
          <w:tcPr>
            <w:tcW w:w="720" w:type="dxa"/>
            <w:gridSpan w:val="2"/>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23</w:t>
            </w:r>
          </w:p>
          <w:p w:rsidR="00B40966" w:rsidRDefault="00B40966">
            <w:pPr>
              <w:pStyle w:val="TableText"/>
              <w:rPr>
                <w:sz w:val="20"/>
              </w:rPr>
            </w:pPr>
            <w:r>
              <w:rPr>
                <w:sz w:val="20"/>
              </w:rPr>
              <w:t>27</w:t>
            </w:r>
          </w:p>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1057" w:type="dxa"/>
            <w:gridSpan w:val="4"/>
            <w:tcBorders>
              <w:top w:val="single" w:sz="6" w:space="0" w:color="auto"/>
              <w:bottom w:val="single" w:sz="6" w:space="0" w:color="auto"/>
            </w:tcBorders>
          </w:tcPr>
          <w:p w:rsidR="00B40966" w:rsidRDefault="00B40966">
            <w:pPr>
              <w:pStyle w:val="TableText"/>
              <w:rPr>
                <w:sz w:val="20"/>
              </w:rPr>
            </w:pPr>
            <w:r>
              <w:rPr>
                <w:sz w:val="20"/>
              </w:rPr>
              <w:t>37</w:t>
            </w:r>
          </w:p>
          <w:p w:rsidR="00B40966" w:rsidRDefault="00B40966">
            <w:pPr>
              <w:pStyle w:val="TableText"/>
              <w:rPr>
                <w:sz w:val="20"/>
              </w:rPr>
            </w:pPr>
            <w:r>
              <w:rPr>
                <w:sz w:val="20"/>
              </w:rPr>
              <w:t>42</w:t>
            </w:r>
          </w:p>
          <w:p w:rsidR="00B40966" w:rsidRDefault="00B40966">
            <w:pPr>
              <w:pStyle w:val="TableText"/>
              <w:rPr>
                <w:sz w:val="20"/>
              </w:rPr>
            </w:pPr>
            <w:r>
              <w:rPr>
                <w:sz w:val="20"/>
              </w:rPr>
              <w:t>47</w:t>
            </w:r>
          </w:p>
          <w:p w:rsidR="00B40966" w:rsidRDefault="00B40966">
            <w:pPr>
              <w:pStyle w:val="TableText"/>
              <w:rPr>
                <w:sz w:val="20"/>
              </w:rPr>
            </w:pPr>
            <w:r>
              <w:rPr>
                <w:sz w:val="20"/>
              </w:rPr>
              <w:t>52</w:t>
            </w:r>
          </w:p>
          <w:p w:rsidR="00B40966" w:rsidRDefault="00B40966">
            <w:pPr>
              <w:pStyle w:val="TableText"/>
              <w:rPr>
                <w:sz w:val="20"/>
              </w:rPr>
            </w:pPr>
            <w:r>
              <w:rPr>
                <w:sz w:val="20"/>
              </w:rPr>
              <w:t>57</w:t>
            </w:r>
          </w:p>
          <w:p w:rsidR="00B40966" w:rsidRDefault="00B40966">
            <w:pPr>
              <w:pStyle w:val="TableText"/>
              <w:rPr>
                <w:sz w:val="20"/>
              </w:rPr>
            </w:pPr>
            <w:r>
              <w:rPr>
                <w:sz w:val="20"/>
              </w:rPr>
              <w:t>62</w:t>
            </w:r>
          </w:p>
          <w:p w:rsidR="00B40966" w:rsidRDefault="00B40966">
            <w:pPr>
              <w:pStyle w:val="TableText"/>
              <w:rPr>
                <w:sz w:val="20"/>
              </w:rPr>
            </w:pPr>
            <w:r>
              <w:rPr>
                <w:sz w:val="20"/>
              </w:rPr>
              <w:t>67</w:t>
            </w:r>
          </w:p>
          <w:p w:rsidR="00B40966" w:rsidRDefault="00B40966">
            <w:pPr>
              <w:pStyle w:val="TableText"/>
              <w:rPr>
                <w:sz w:val="20"/>
              </w:rPr>
            </w:pPr>
            <w:r>
              <w:rPr>
                <w:sz w:val="20"/>
              </w:rPr>
              <w:t>77</w:t>
            </w:r>
          </w:p>
        </w:tc>
      </w:tr>
      <w:tr w:rsidR="00B40966">
        <w:trPr>
          <w:gridAfter w:val="1"/>
          <w:wAfter w:w="19" w:type="dxa"/>
        </w:trPr>
        <w:tc>
          <w:tcPr>
            <w:tcW w:w="660" w:type="dxa"/>
            <w:tcBorders>
              <w:bottom w:val="single" w:sz="6" w:space="0" w:color="auto"/>
              <w:right w:val="single" w:sz="6" w:space="0" w:color="auto"/>
            </w:tcBorders>
          </w:tcPr>
          <w:p w:rsidR="00B40966" w:rsidRDefault="00B40966">
            <w:pPr>
              <w:pStyle w:val="TableText"/>
              <w:keepNext/>
              <w:rPr>
                <w:sz w:val="20"/>
              </w:rPr>
            </w:pPr>
            <w:r>
              <w:rPr>
                <w:sz w:val="20"/>
              </w:rPr>
              <w:t>90</w:t>
            </w:r>
          </w:p>
        </w:tc>
        <w:tc>
          <w:tcPr>
            <w:tcW w:w="880" w:type="dxa"/>
            <w:tcBorders>
              <w:bottom w:val="single" w:sz="6" w:space="0" w:color="auto"/>
            </w:tcBorders>
          </w:tcPr>
          <w:p w:rsidR="00B40966" w:rsidRDefault="00B40966">
            <w:pPr>
              <w:pStyle w:val="TableText"/>
              <w:keepNext/>
              <w:rPr>
                <w:sz w:val="20"/>
              </w:rPr>
            </w:pPr>
            <w:r>
              <w:rPr>
                <w:sz w:val="20"/>
              </w:rPr>
              <w:t>15</w:t>
            </w:r>
          </w:p>
        </w:tc>
        <w:tc>
          <w:tcPr>
            <w:tcW w:w="980" w:type="dxa"/>
            <w:tcBorders>
              <w:left w:val="single" w:sz="6" w:space="0" w:color="auto"/>
              <w:bottom w:val="single" w:sz="6" w:space="0" w:color="auto"/>
              <w:right w:val="single" w:sz="6" w:space="0" w:color="auto"/>
            </w:tcBorders>
          </w:tcPr>
          <w:p w:rsidR="00B40966" w:rsidRDefault="00B40966">
            <w:pPr>
              <w:pStyle w:val="TableText"/>
              <w:keepNext/>
              <w:rPr>
                <w:sz w:val="20"/>
              </w:rPr>
            </w:pPr>
            <w:r>
              <w:rPr>
                <w:sz w:val="20"/>
              </w:rPr>
              <w:t>40</w:t>
            </w:r>
          </w:p>
        </w:tc>
        <w:tc>
          <w:tcPr>
            <w:tcW w:w="3072" w:type="dxa"/>
            <w:tcBorders>
              <w:bottom w:val="single" w:sz="6" w:space="0" w:color="auto"/>
              <w:right w:val="single" w:sz="6" w:space="0" w:color="auto"/>
            </w:tcBorders>
          </w:tcPr>
          <w:p w:rsidR="00B40966" w:rsidRDefault="00B40966">
            <w:pPr>
              <w:pStyle w:val="TableText"/>
              <w:keepNext/>
              <w:rPr>
                <w:sz w:val="20"/>
              </w:rPr>
            </w:pPr>
            <w:r>
              <w:rPr>
                <w:sz w:val="20"/>
              </w:rPr>
              <w:t>1h to 1h 12min</w:t>
            </w:r>
          </w:p>
          <w:p w:rsidR="00B40966" w:rsidRDefault="00B40966">
            <w:pPr>
              <w:pStyle w:val="TableText"/>
              <w:keepNext/>
              <w:rPr>
                <w:sz w:val="20"/>
              </w:rPr>
            </w:pPr>
            <w:r>
              <w:rPr>
                <w:sz w:val="20"/>
              </w:rPr>
              <w:t>1h 12min to 1hr 20min</w:t>
            </w:r>
          </w:p>
          <w:p w:rsidR="00B40966" w:rsidRDefault="00B40966">
            <w:pPr>
              <w:pStyle w:val="TableText"/>
              <w:keepNext/>
              <w:rPr>
                <w:sz w:val="20"/>
              </w:rPr>
            </w:pPr>
            <w:r>
              <w:rPr>
                <w:sz w:val="20"/>
              </w:rPr>
              <w:t>1h 20min to 1</w:t>
            </w:r>
            <w:r>
              <w:rPr>
                <w:position w:val="6"/>
                <w:sz w:val="20"/>
              </w:rPr>
              <w:t>1</w:t>
            </w:r>
            <w:r>
              <w:rPr>
                <w:sz w:val="20"/>
              </w:rPr>
              <w:t>/2h</w:t>
            </w:r>
          </w:p>
          <w:p w:rsidR="00B40966" w:rsidRDefault="00B40966">
            <w:pPr>
              <w:pStyle w:val="TableText"/>
              <w:keepNext/>
              <w:rPr>
                <w:sz w:val="20"/>
              </w:rPr>
            </w:pPr>
            <w:r>
              <w:rPr>
                <w:sz w:val="20"/>
              </w:rPr>
              <w:t>1</w:t>
            </w:r>
            <w:r>
              <w:rPr>
                <w:position w:val="6"/>
                <w:sz w:val="20"/>
              </w:rPr>
              <w:t>1</w:t>
            </w:r>
            <w:r>
              <w:rPr>
                <w:sz w:val="20"/>
              </w:rPr>
              <w:t>/2h to 1h 44min</w:t>
            </w:r>
          </w:p>
          <w:p w:rsidR="00B40966" w:rsidRDefault="00B40966">
            <w:pPr>
              <w:pStyle w:val="TableText"/>
              <w:keepNext/>
              <w:rPr>
                <w:sz w:val="20"/>
              </w:rPr>
            </w:pPr>
            <w:r>
              <w:rPr>
                <w:sz w:val="20"/>
              </w:rPr>
              <w:t>1h 44min to 2h</w:t>
            </w:r>
          </w:p>
          <w:p w:rsidR="00B40966" w:rsidRDefault="00B40966">
            <w:pPr>
              <w:pStyle w:val="TableText"/>
              <w:keepNext/>
              <w:rPr>
                <w:sz w:val="20"/>
              </w:rPr>
            </w:pPr>
            <w:r>
              <w:rPr>
                <w:sz w:val="20"/>
              </w:rPr>
              <w:t>2h to 2h 14min</w:t>
            </w:r>
          </w:p>
          <w:p w:rsidR="00B40966" w:rsidRDefault="00B40966">
            <w:pPr>
              <w:pStyle w:val="TableText"/>
              <w:keepNext/>
              <w:rPr>
                <w:sz w:val="20"/>
              </w:rPr>
            </w:pPr>
            <w:r>
              <w:rPr>
                <w:sz w:val="20"/>
              </w:rPr>
              <w:t>2h 14min to 2</w:t>
            </w:r>
            <w:r>
              <w:rPr>
                <w:position w:val="6"/>
                <w:sz w:val="20"/>
              </w:rPr>
              <w:t>1</w:t>
            </w:r>
            <w:r>
              <w:rPr>
                <w:sz w:val="20"/>
              </w:rPr>
              <w:t>/2h</w:t>
            </w:r>
          </w:p>
          <w:p w:rsidR="00B40966" w:rsidRDefault="00B40966">
            <w:pPr>
              <w:pStyle w:val="TableText"/>
              <w:keepNext/>
              <w:rPr>
                <w:sz w:val="20"/>
              </w:rPr>
            </w:pPr>
            <w:r>
              <w:rPr>
                <w:sz w:val="20"/>
              </w:rPr>
              <w:t>2</w:t>
            </w:r>
            <w:r>
              <w:rPr>
                <w:position w:val="6"/>
                <w:sz w:val="20"/>
              </w:rPr>
              <w:t>1</w:t>
            </w:r>
            <w:r>
              <w:rPr>
                <w:sz w:val="20"/>
              </w:rPr>
              <w:t>/2h to 2h 44min</w:t>
            </w:r>
          </w:p>
          <w:p w:rsidR="00B40966" w:rsidRDefault="00B40966">
            <w:pPr>
              <w:pStyle w:val="TableText"/>
              <w:keepNext/>
              <w:rPr>
                <w:sz w:val="20"/>
              </w:rPr>
            </w:pPr>
            <w:r>
              <w:rPr>
                <w:sz w:val="20"/>
              </w:rPr>
              <w:t>2h 44min to 3h 14min</w:t>
            </w:r>
          </w:p>
          <w:p w:rsidR="00B40966" w:rsidRDefault="00B40966">
            <w:pPr>
              <w:pStyle w:val="TableText"/>
              <w:keepNext/>
              <w:rPr>
                <w:sz w:val="20"/>
              </w:rPr>
            </w:pPr>
            <w:r>
              <w:rPr>
                <w:sz w:val="20"/>
              </w:rPr>
              <w:t>over 3h 14min</w:t>
            </w:r>
          </w:p>
        </w:tc>
        <w:tc>
          <w:tcPr>
            <w:tcW w:w="648" w:type="dxa"/>
            <w:gridSpan w:val="2"/>
            <w:tcBorders>
              <w:bottom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600" w:type="dxa"/>
            <w:tcBorders>
              <w:bottom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600" w:type="dxa"/>
            <w:tcBorders>
              <w:left w:val="single" w:sz="6" w:space="0" w:color="auto"/>
              <w:bottom w:val="single" w:sz="6" w:space="0" w:color="auto"/>
              <w:right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600" w:type="dxa"/>
            <w:gridSpan w:val="2"/>
            <w:tcBorders>
              <w:bottom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5</w:t>
            </w:r>
          </w:p>
          <w:p w:rsidR="00B40966" w:rsidRDefault="00B40966">
            <w:pPr>
              <w:pStyle w:val="TableText"/>
              <w:keepNext/>
              <w:rPr>
                <w:sz w:val="20"/>
              </w:rPr>
            </w:pPr>
            <w:r>
              <w:rPr>
                <w:sz w:val="20"/>
              </w:rPr>
              <w:t>10</w:t>
            </w:r>
          </w:p>
          <w:p w:rsidR="00B40966" w:rsidRDefault="00B40966">
            <w:pPr>
              <w:pStyle w:val="TableText"/>
              <w:keepNext/>
              <w:rPr>
                <w:sz w:val="20"/>
              </w:rPr>
            </w:pPr>
            <w:r>
              <w:rPr>
                <w:sz w:val="20"/>
              </w:rPr>
              <w:t>20</w:t>
            </w:r>
          </w:p>
          <w:p w:rsidR="00B40966" w:rsidRDefault="00B40966">
            <w:pPr>
              <w:pStyle w:val="TableText"/>
              <w:keepNext/>
              <w:rPr>
                <w:sz w:val="20"/>
              </w:rPr>
            </w:pPr>
            <w:r>
              <w:rPr>
                <w:sz w:val="20"/>
              </w:rPr>
              <w:t>20</w:t>
            </w:r>
          </w:p>
        </w:tc>
        <w:tc>
          <w:tcPr>
            <w:tcW w:w="720" w:type="dxa"/>
            <w:gridSpan w:val="2"/>
            <w:tcBorders>
              <w:bottom w:val="single" w:sz="6" w:space="0" w:color="auto"/>
            </w:tcBorders>
          </w:tcPr>
          <w:p w:rsidR="00B40966" w:rsidRDefault="00B40966">
            <w:pPr>
              <w:pStyle w:val="TableText"/>
              <w:keepNext/>
              <w:rPr>
                <w:sz w:val="20"/>
              </w:rPr>
            </w:pPr>
            <w:r>
              <w:rPr>
                <w:sz w:val="20"/>
              </w:rPr>
              <w:t>10</w:t>
            </w:r>
          </w:p>
          <w:p w:rsidR="00B40966" w:rsidRDefault="00B40966">
            <w:pPr>
              <w:pStyle w:val="TableText"/>
              <w:keepNext/>
              <w:rPr>
                <w:sz w:val="20"/>
              </w:rPr>
            </w:pPr>
            <w:r>
              <w:rPr>
                <w:sz w:val="20"/>
              </w:rPr>
              <w:t>15</w:t>
            </w:r>
          </w:p>
          <w:p w:rsidR="00B40966" w:rsidRDefault="00B40966">
            <w:pPr>
              <w:pStyle w:val="TableText"/>
              <w:keepNext/>
              <w:rPr>
                <w:sz w:val="20"/>
              </w:rPr>
            </w:pPr>
            <w:r>
              <w:rPr>
                <w:sz w:val="20"/>
              </w:rPr>
              <w:t>15</w:t>
            </w:r>
          </w:p>
          <w:p w:rsidR="00B40966" w:rsidRDefault="00B40966">
            <w:pPr>
              <w:pStyle w:val="TableText"/>
              <w:keepNext/>
              <w:rPr>
                <w:sz w:val="20"/>
              </w:rPr>
            </w:pPr>
            <w:r>
              <w:rPr>
                <w:sz w:val="20"/>
              </w:rPr>
              <w:t>20</w:t>
            </w:r>
          </w:p>
          <w:p w:rsidR="00B40966" w:rsidRDefault="00B40966">
            <w:pPr>
              <w:pStyle w:val="TableText"/>
              <w:keepNext/>
              <w:rPr>
                <w:sz w:val="20"/>
              </w:rPr>
            </w:pPr>
            <w:r>
              <w:rPr>
                <w:sz w:val="20"/>
              </w:rPr>
              <w:t>25</w:t>
            </w:r>
          </w:p>
          <w:p w:rsidR="00B40966" w:rsidRDefault="00B40966">
            <w:pPr>
              <w:pStyle w:val="TableText"/>
              <w:keepNext/>
              <w:rPr>
                <w:sz w:val="20"/>
              </w:rPr>
            </w:pPr>
            <w:r>
              <w:rPr>
                <w:sz w:val="20"/>
              </w:rPr>
              <w:t>25</w:t>
            </w:r>
          </w:p>
          <w:p w:rsidR="00B40966" w:rsidRDefault="00B40966">
            <w:pPr>
              <w:pStyle w:val="TableText"/>
              <w:keepNext/>
              <w:rPr>
                <w:sz w:val="20"/>
              </w:rPr>
            </w:pPr>
            <w:r>
              <w:rPr>
                <w:sz w:val="20"/>
              </w:rPr>
              <w:t>30</w:t>
            </w:r>
          </w:p>
          <w:p w:rsidR="00B40966" w:rsidRDefault="00B40966">
            <w:pPr>
              <w:pStyle w:val="TableText"/>
              <w:keepNext/>
              <w:rPr>
                <w:sz w:val="20"/>
              </w:rPr>
            </w:pPr>
            <w:r>
              <w:rPr>
                <w:sz w:val="20"/>
              </w:rPr>
              <w:t>30</w:t>
            </w:r>
          </w:p>
          <w:p w:rsidR="00B40966" w:rsidRDefault="00B40966">
            <w:pPr>
              <w:pStyle w:val="TableText"/>
              <w:keepNext/>
              <w:rPr>
                <w:sz w:val="20"/>
              </w:rPr>
            </w:pPr>
            <w:r>
              <w:rPr>
                <w:sz w:val="20"/>
              </w:rPr>
              <w:t>30</w:t>
            </w:r>
          </w:p>
          <w:p w:rsidR="00B40966" w:rsidRDefault="00B40966">
            <w:pPr>
              <w:pStyle w:val="TableText"/>
              <w:keepNext/>
              <w:rPr>
                <w:sz w:val="20"/>
              </w:rPr>
            </w:pPr>
            <w:r>
              <w:rPr>
                <w:sz w:val="20"/>
              </w:rPr>
              <w:t>35</w:t>
            </w:r>
          </w:p>
        </w:tc>
        <w:tc>
          <w:tcPr>
            <w:tcW w:w="600" w:type="dxa"/>
            <w:tcBorders>
              <w:left w:val="single" w:sz="6" w:space="0" w:color="auto"/>
              <w:bottom w:val="single" w:sz="6" w:space="0" w:color="auto"/>
              <w:right w:val="single" w:sz="6" w:space="0" w:color="auto"/>
            </w:tcBorders>
          </w:tcPr>
          <w:p w:rsidR="00B40966" w:rsidRDefault="00B40966">
            <w:pPr>
              <w:pStyle w:val="TableText"/>
              <w:keepNext/>
              <w:rPr>
                <w:sz w:val="20"/>
              </w:rPr>
            </w:pPr>
            <w:r>
              <w:rPr>
                <w:sz w:val="20"/>
              </w:rPr>
              <w:t>20</w:t>
            </w:r>
          </w:p>
          <w:p w:rsidR="00B40966" w:rsidRDefault="00B40966">
            <w:pPr>
              <w:pStyle w:val="TableText"/>
              <w:keepNext/>
              <w:rPr>
                <w:sz w:val="20"/>
              </w:rPr>
            </w:pPr>
            <w:r>
              <w:rPr>
                <w:sz w:val="20"/>
              </w:rPr>
              <w:t>20</w:t>
            </w:r>
          </w:p>
          <w:p w:rsidR="00B40966" w:rsidRDefault="00B40966">
            <w:pPr>
              <w:pStyle w:val="TableText"/>
              <w:keepNext/>
              <w:rPr>
                <w:sz w:val="20"/>
              </w:rPr>
            </w:pPr>
            <w:r>
              <w:rPr>
                <w:sz w:val="20"/>
              </w:rPr>
              <w:t>25</w:t>
            </w:r>
          </w:p>
          <w:p w:rsidR="00B40966" w:rsidRDefault="00B40966">
            <w:pPr>
              <w:pStyle w:val="TableText"/>
              <w:keepNext/>
              <w:rPr>
                <w:sz w:val="20"/>
              </w:rPr>
            </w:pPr>
            <w:r>
              <w:rPr>
                <w:sz w:val="20"/>
              </w:rPr>
              <w:t>25</w:t>
            </w:r>
          </w:p>
          <w:p w:rsidR="00B40966" w:rsidRDefault="00B40966">
            <w:pPr>
              <w:pStyle w:val="TableText"/>
              <w:keepNext/>
              <w:rPr>
                <w:sz w:val="20"/>
              </w:rPr>
            </w:pPr>
            <w:r>
              <w:rPr>
                <w:sz w:val="20"/>
              </w:rPr>
              <w:t>25</w:t>
            </w:r>
          </w:p>
          <w:p w:rsidR="00B40966" w:rsidRDefault="00B40966">
            <w:pPr>
              <w:pStyle w:val="TableText"/>
              <w:keepNext/>
              <w:rPr>
                <w:sz w:val="20"/>
              </w:rPr>
            </w:pPr>
            <w:r>
              <w:rPr>
                <w:sz w:val="20"/>
              </w:rPr>
              <w:t>30</w:t>
            </w:r>
          </w:p>
          <w:p w:rsidR="00B40966" w:rsidRDefault="00B40966">
            <w:pPr>
              <w:pStyle w:val="TableText"/>
              <w:keepNext/>
              <w:rPr>
                <w:sz w:val="20"/>
              </w:rPr>
            </w:pPr>
            <w:r>
              <w:rPr>
                <w:sz w:val="20"/>
              </w:rPr>
              <w:t>30</w:t>
            </w:r>
          </w:p>
          <w:p w:rsidR="00B40966" w:rsidRDefault="00B40966">
            <w:pPr>
              <w:pStyle w:val="TableText"/>
              <w:keepNext/>
              <w:rPr>
                <w:sz w:val="20"/>
              </w:rPr>
            </w:pPr>
            <w:r>
              <w:rPr>
                <w:sz w:val="20"/>
              </w:rPr>
              <w:t>30</w:t>
            </w:r>
          </w:p>
          <w:p w:rsidR="00B40966" w:rsidRDefault="00B40966">
            <w:pPr>
              <w:pStyle w:val="TableText"/>
              <w:keepNext/>
              <w:rPr>
                <w:sz w:val="20"/>
              </w:rPr>
            </w:pPr>
            <w:r>
              <w:rPr>
                <w:sz w:val="20"/>
              </w:rPr>
              <w:t>30</w:t>
            </w:r>
          </w:p>
          <w:p w:rsidR="00B40966" w:rsidRDefault="00B40966">
            <w:pPr>
              <w:pStyle w:val="TableText"/>
              <w:keepNext/>
              <w:rPr>
                <w:sz w:val="20"/>
              </w:rPr>
            </w:pPr>
            <w:r>
              <w:rPr>
                <w:sz w:val="20"/>
              </w:rPr>
              <w:t>35</w:t>
            </w:r>
          </w:p>
        </w:tc>
        <w:tc>
          <w:tcPr>
            <w:tcW w:w="1057" w:type="dxa"/>
            <w:gridSpan w:val="4"/>
            <w:tcBorders>
              <w:bottom w:val="single" w:sz="6" w:space="0" w:color="auto"/>
            </w:tcBorders>
          </w:tcPr>
          <w:p w:rsidR="00B40966" w:rsidRDefault="00B40966">
            <w:pPr>
              <w:pStyle w:val="TableText"/>
              <w:keepNext/>
              <w:rPr>
                <w:sz w:val="20"/>
              </w:rPr>
            </w:pPr>
            <w:r>
              <w:rPr>
                <w:sz w:val="20"/>
              </w:rPr>
              <w:t>37</w:t>
            </w:r>
          </w:p>
          <w:p w:rsidR="00B40966" w:rsidRDefault="00B40966">
            <w:pPr>
              <w:pStyle w:val="TableText"/>
              <w:keepNext/>
              <w:rPr>
                <w:sz w:val="20"/>
              </w:rPr>
            </w:pPr>
            <w:r>
              <w:rPr>
                <w:sz w:val="20"/>
              </w:rPr>
              <w:t>42</w:t>
            </w:r>
          </w:p>
          <w:p w:rsidR="00B40966" w:rsidRDefault="00B40966">
            <w:pPr>
              <w:pStyle w:val="TableText"/>
              <w:keepNext/>
              <w:rPr>
                <w:sz w:val="20"/>
              </w:rPr>
            </w:pPr>
            <w:r>
              <w:rPr>
                <w:sz w:val="20"/>
              </w:rPr>
              <w:t>47</w:t>
            </w:r>
          </w:p>
          <w:p w:rsidR="00B40966" w:rsidRDefault="00B40966">
            <w:pPr>
              <w:pStyle w:val="TableText"/>
              <w:keepNext/>
              <w:rPr>
                <w:sz w:val="20"/>
              </w:rPr>
            </w:pPr>
            <w:r>
              <w:rPr>
                <w:sz w:val="20"/>
              </w:rPr>
              <w:t>52</w:t>
            </w:r>
          </w:p>
          <w:p w:rsidR="00B40966" w:rsidRDefault="00B40966">
            <w:pPr>
              <w:pStyle w:val="TableText"/>
              <w:keepNext/>
              <w:rPr>
                <w:sz w:val="20"/>
              </w:rPr>
            </w:pPr>
            <w:r>
              <w:rPr>
                <w:sz w:val="20"/>
              </w:rPr>
              <w:t>57</w:t>
            </w:r>
          </w:p>
          <w:p w:rsidR="00B40966" w:rsidRDefault="00B40966">
            <w:pPr>
              <w:pStyle w:val="TableText"/>
              <w:keepNext/>
              <w:rPr>
                <w:sz w:val="20"/>
              </w:rPr>
            </w:pPr>
            <w:r>
              <w:rPr>
                <w:sz w:val="20"/>
              </w:rPr>
              <w:t>62</w:t>
            </w:r>
          </w:p>
          <w:p w:rsidR="00B40966" w:rsidRDefault="00B40966">
            <w:pPr>
              <w:pStyle w:val="TableText"/>
              <w:keepNext/>
              <w:rPr>
                <w:sz w:val="20"/>
              </w:rPr>
            </w:pPr>
            <w:r>
              <w:rPr>
                <w:sz w:val="20"/>
              </w:rPr>
              <w:t>67</w:t>
            </w:r>
          </w:p>
          <w:p w:rsidR="00B40966" w:rsidRDefault="00B40966">
            <w:pPr>
              <w:pStyle w:val="TableText"/>
              <w:keepNext/>
              <w:rPr>
                <w:sz w:val="20"/>
              </w:rPr>
            </w:pPr>
            <w:r>
              <w:rPr>
                <w:sz w:val="20"/>
              </w:rPr>
              <w:t>72</w:t>
            </w:r>
          </w:p>
          <w:p w:rsidR="00B40966" w:rsidRDefault="00B40966">
            <w:pPr>
              <w:pStyle w:val="TableText"/>
              <w:keepNext/>
              <w:rPr>
                <w:sz w:val="20"/>
              </w:rPr>
            </w:pPr>
            <w:r>
              <w:rPr>
                <w:sz w:val="20"/>
              </w:rPr>
              <w:t>82</w:t>
            </w:r>
          </w:p>
          <w:p w:rsidR="00B40966" w:rsidRDefault="00B40966">
            <w:pPr>
              <w:pStyle w:val="TableText"/>
              <w:keepNext/>
              <w:rPr>
                <w:sz w:val="20"/>
              </w:rPr>
            </w:pPr>
            <w:r>
              <w:rPr>
                <w:sz w:val="20"/>
              </w:rPr>
              <w:t>92</w:t>
            </w:r>
          </w:p>
        </w:tc>
      </w:tr>
      <w:tr w:rsidR="00B40966">
        <w:trPr>
          <w:gridAfter w:val="2"/>
          <w:wAfter w:w="44" w:type="dxa"/>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96</w:t>
            </w:r>
          </w:p>
        </w:tc>
        <w:tc>
          <w:tcPr>
            <w:tcW w:w="880" w:type="dxa"/>
            <w:tcBorders>
              <w:top w:val="single" w:sz="6" w:space="0" w:color="auto"/>
              <w:bottom w:val="single" w:sz="6" w:space="0" w:color="auto"/>
            </w:tcBorders>
          </w:tcPr>
          <w:p w:rsidR="00B40966" w:rsidRDefault="00B40966">
            <w:pPr>
              <w:pStyle w:val="TableText"/>
              <w:rPr>
                <w:sz w:val="20"/>
              </w:rPr>
            </w:pPr>
            <w:r>
              <w:rPr>
                <w:sz w:val="20"/>
              </w:rPr>
              <w:t>16</w:t>
            </w:r>
          </w:p>
        </w:tc>
        <w:tc>
          <w:tcPr>
            <w:tcW w:w="98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42</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55min to 1h 12min</w:t>
            </w:r>
          </w:p>
          <w:p w:rsidR="00B40966" w:rsidRDefault="00B40966">
            <w:pPr>
              <w:pStyle w:val="TableText"/>
              <w:rPr>
                <w:sz w:val="20"/>
              </w:rPr>
            </w:pPr>
            <w:r>
              <w:rPr>
                <w:sz w:val="20"/>
              </w:rPr>
              <w:t>1h 12min to 1</w:t>
            </w:r>
            <w:r>
              <w:rPr>
                <w:position w:val="6"/>
                <w:sz w:val="20"/>
              </w:rPr>
              <w:t>1</w:t>
            </w:r>
            <w:r>
              <w:rPr>
                <w:sz w:val="20"/>
              </w:rPr>
              <w:t>/2h</w:t>
            </w:r>
          </w:p>
          <w:p w:rsidR="00B40966" w:rsidRDefault="00B40966">
            <w:pPr>
              <w:pStyle w:val="TableText"/>
              <w:rPr>
                <w:sz w:val="20"/>
              </w:rPr>
            </w:pPr>
            <w:r>
              <w:rPr>
                <w:sz w:val="20"/>
              </w:rPr>
              <w:t>1</w:t>
            </w:r>
            <w:r>
              <w:rPr>
                <w:position w:val="6"/>
                <w:sz w:val="20"/>
              </w:rPr>
              <w:t>1</w:t>
            </w:r>
            <w:r>
              <w:rPr>
                <w:sz w:val="20"/>
              </w:rPr>
              <w:t>/2h to 1h 54mins</w:t>
            </w:r>
          </w:p>
          <w:p w:rsidR="00B40966" w:rsidRDefault="00B40966">
            <w:pPr>
              <w:pStyle w:val="TableText"/>
              <w:rPr>
                <w:sz w:val="20"/>
              </w:rPr>
            </w:pPr>
            <w:r>
              <w:rPr>
                <w:sz w:val="20"/>
              </w:rPr>
              <w:t>1h 54min to 2h 18min</w:t>
            </w:r>
          </w:p>
          <w:p w:rsidR="00B40966" w:rsidRDefault="00B40966">
            <w:pPr>
              <w:pStyle w:val="TableText"/>
              <w:rPr>
                <w:sz w:val="20"/>
              </w:rPr>
            </w:pPr>
            <w:r>
              <w:rPr>
                <w:sz w:val="20"/>
              </w:rPr>
              <w:t>2h 18min to 2</w:t>
            </w:r>
            <w:r>
              <w:rPr>
                <w:position w:val="6"/>
                <w:sz w:val="20"/>
              </w:rPr>
              <w:t>1</w:t>
            </w:r>
            <w:r>
              <w:rPr>
                <w:sz w:val="20"/>
              </w:rPr>
              <w:t>/2h</w:t>
            </w:r>
          </w:p>
          <w:p w:rsidR="00B40966" w:rsidRDefault="00B40966">
            <w:pPr>
              <w:pStyle w:val="TableText"/>
              <w:rPr>
                <w:sz w:val="20"/>
              </w:rPr>
            </w:pPr>
            <w:r>
              <w:rPr>
                <w:sz w:val="20"/>
              </w:rPr>
              <w:t>2</w:t>
            </w:r>
            <w:r>
              <w:rPr>
                <w:position w:val="6"/>
                <w:sz w:val="20"/>
              </w:rPr>
              <w:t>1</w:t>
            </w:r>
            <w:r>
              <w:rPr>
                <w:sz w:val="20"/>
              </w:rPr>
              <w:t>/2h to 2h 54min</w:t>
            </w:r>
          </w:p>
          <w:p w:rsidR="00B40966" w:rsidRDefault="00B40966">
            <w:pPr>
              <w:pStyle w:val="TableText"/>
              <w:rPr>
                <w:sz w:val="20"/>
              </w:rPr>
            </w:pPr>
            <w:r>
              <w:rPr>
                <w:sz w:val="20"/>
              </w:rPr>
              <w:t>over 2h 54min</w:t>
            </w:r>
          </w:p>
        </w:tc>
        <w:tc>
          <w:tcPr>
            <w:tcW w:w="648"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88"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12"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20</w:t>
            </w:r>
          </w:p>
          <w:p w:rsidR="00B40966" w:rsidRDefault="00B40966">
            <w:pPr>
              <w:pStyle w:val="TableText"/>
              <w:rPr>
                <w:sz w:val="20"/>
              </w:rPr>
            </w:pPr>
            <w:r>
              <w:rPr>
                <w:sz w:val="20"/>
              </w:rPr>
              <w:t>30</w:t>
            </w:r>
          </w:p>
        </w:tc>
        <w:tc>
          <w:tcPr>
            <w:tcW w:w="708" w:type="dxa"/>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624"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tc>
        <w:tc>
          <w:tcPr>
            <w:tcW w:w="1020" w:type="dxa"/>
            <w:gridSpan w:val="2"/>
            <w:tcBorders>
              <w:top w:val="single" w:sz="6" w:space="0" w:color="auto"/>
              <w:bottom w:val="single" w:sz="6" w:space="0" w:color="auto"/>
            </w:tcBorders>
          </w:tcPr>
          <w:p w:rsidR="00B40966" w:rsidRDefault="00B40966">
            <w:pPr>
              <w:pStyle w:val="TableText"/>
              <w:rPr>
                <w:sz w:val="20"/>
              </w:rPr>
            </w:pPr>
            <w:r>
              <w:rPr>
                <w:sz w:val="20"/>
              </w:rPr>
              <w:t>42</w:t>
            </w:r>
          </w:p>
          <w:p w:rsidR="00B40966" w:rsidRDefault="00B40966">
            <w:pPr>
              <w:pStyle w:val="TableText"/>
              <w:rPr>
                <w:sz w:val="20"/>
              </w:rPr>
            </w:pPr>
            <w:r>
              <w:rPr>
                <w:sz w:val="20"/>
              </w:rPr>
              <w:t>52</w:t>
            </w:r>
          </w:p>
          <w:p w:rsidR="00B40966" w:rsidRDefault="00B40966">
            <w:pPr>
              <w:pStyle w:val="TableText"/>
              <w:rPr>
                <w:sz w:val="20"/>
              </w:rPr>
            </w:pPr>
            <w:r>
              <w:rPr>
                <w:sz w:val="20"/>
              </w:rPr>
              <w:t>62</w:t>
            </w:r>
          </w:p>
          <w:p w:rsidR="00B40966" w:rsidRDefault="00B40966">
            <w:pPr>
              <w:pStyle w:val="TableText"/>
              <w:rPr>
                <w:sz w:val="20"/>
              </w:rPr>
            </w:pPr>
            <w:r>
              <w:rPr>
                <w:sz w:val="20"/>
              </w:rPr>
              <w:t>72</w:t>
            </w:r>
          </w:p>
          <w:p w:rsidR="00B40966" w:rsidRDefault="00B40966">
            <w:pPr>
              <w:pStyle w:val="TableText"/>
              <w:rPr>
                <w:sz w:val="20"/>
              </w:rPr>
            </w:pPr>
            <w:r>
              <w:rPr>
                <w:sz w:val="20"/>
              </w:rPr>
              <w:t>77</w:t>
            </w:r>
          </w:p>
          <w:p w:rsidR="00B40966" w:rsidRDefault="00B40966">
            <w:pPr>
              <w:pStyle w:val="TableText"/>
              <w:rPr>
                <w:sz w:val="20"/>
              </w:rPr>
            </w:pPr>
            <w:r>
              <w:rPr>
                <w:sz w:val="20"/>
              </w:rPr>
              <w:t>87</w:t>
            </w:r>
          </w:p>
          <w:p w:rsidR="00B40966" w:rsidRDefault="00B40966">
            <w:pPr>
              <w:pStyle w:val="TableText"/>
              <w:rPr>
                <w:sz w:val="20"/>
              </w:rPr>
            </w:pPr>
            <w:r>
              <w:rPr>
                <w:sz w:val="20"/>
              </w:rPr>
              <w:t>102</w:t>
            </w:r>
          </w:p>
        </w:tc>
      </w:tr>
      <w:tr w:rsidR="00B40966">
        <w:trPr>
          <w:gridAfter w:val="2"/>
          <w:wAfter w:w="44" w:type="dxa"/>
        </w:trPr>
        <w:tc>
          <w:tcPr>
            <w:tcW w:w="660" w:type="dxa"/>
            <w:tcBorders>
              <w:bottom w:val="single" w:sz="6" w:space="0" w:color="auto"/>
              <w:right w:val="single" w:sz="6" w:space="0" w:color="auto"/>
            </w:tcBorders>
          </w:tcPr>
          <w:p w:rsidR="00B40966" w:rsidRDefault="00B40966">
            <w:pPr>
              <w:pStyle w:val="TableText"/>
              <w:rPr>
                <w:sz w:val="20"/>
              </w:rPr>
            </w:pPr>
            <w:r>
              <w:rPr>
                <w:sz w:val="20"/>
              </w:rPr>
              <w:t>108</w:t>
            </w:r>
          </w:p>
        </w:tc>
        <w:tc>
          <w:tcPr>
            <w:tcW w:w="880" w:type="dxa"/>
            <w:tcBorders>
              <w:bottom w:val="single" w:sz="6" w:space="0" w:color="auto"/>
            </w:tcBorders>
          </w:tcPr>
          <w:p w:rsidR="00B40966" w:rsidRDefault="00B40966">
            <w:pPr>
              <w:pStyle w:val="TableText"/>
              <w:rPr>
                <w:sz w:val="20"/>
              </w:rPr>
            </w:pPr>
            <w:r>
              <w:rPr>
                <w:sz w:val="20"/>
              </w:rPr>
              <w:t>18</w:t>
            </w:r>
          </w:p>
        </w:tc>
        <w:tc>
          <w:tcPr>
            <w:tcW w:w="98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48</w:t>
            </w:r>
          </w:p>
        </w:tc>
        <w:tc>
          <w:tcPr>
            <w:tcW w:w="3072" w:type="dxa"/>
            <w:tcBorders>
              <w:bottom w:val="single" w:sz="6" w:space="0" w:color="auto"/>
              <w:right w:val="single" w:sz="6" w:space="0" w:color="auto"/>
            </w:tcBorders>
          </w:tcPr>
          <w:p w:rsidR="00B40966" w:rsidRDefault="00B40966">
            <w:pPr>
              <w:pStyle w:val="TableText"/>
              <w:rPr>
                <w:sz w:val="20"/>
              </w:rPr>
            </w:pPr>
            <w:r>
              <w:rPr>
                <w:sz w:val="20"/>
              </w:rPr>
              <w:t>40 to 50min</w:t>
            </w:r>
          </w:p>
          <w:p w:rsidR="00B40966" w:rsidRDefault="00B40966">
            <w:pPr>
              <w:pStyle w:val="TableText"/>
              <w:rPr>
                <w:sz w:val="20"/>
              </w:rPr>
            </w:pPr>
            <w:r>
              <w:rPr>
                <w:sz w:val="20"/>
              </w:rPr>
              <w:t>50min to 1h</w:t>
            </w:r>
          </w:p>
          <w:p w:rsidR="00B40966" w:rsidRDefault="00B40966">
            <w:pPr>
              <w:pStyle w:val="TableText"/>
              <w:rPr>
                <w:sz w:val="20"/>
              </w:rPr>
            </w:pPr>
            <w:r>
              <w:rPr>
                <w:sz w:val="20"/>
              </w:rPr>
              <w:t>1h to 1h 18min</w:t>
            </w:r>
          </w:p>
          <w:p w:rsidR="00B40966" w:rsidRDefault="00B40966">
            <w:pPr>
              <w:pStyle w:val="TableText"/>
              <w:rPr>
                <w:sz w:val="20"/>
              </w:rPr>
            </w:pPr>
            <w:r>
              <w:rPr>
                <w:sz w:val="20"/>
              </w:rPr>
              <w:t>1h 18min to 1h 44min</w:t>
            </w:r>
          </w:p>
          <w:p w:rsidR="00B40966" w:rsidRDefault="00B40966">
            <w:pPr>
              <w:pStyle w:val="TableText"/>
              <w:rPr>
                <w:sz w:val="20"/>
              </w:rPr>
            </w:pPr>
            <w:r>
              <w:rPr>
                <w:sz w:val="20"/>
              </w:rPr>
              <w:t>1h 44min to 2h</w:t>
            </w:r>
          </w:p>
          <w:p w:rsidR="00B40966" w:rsidRDefault="00B40966">
            <w:pPr>
              <w:pStyle w:val="TableText"/>
              <w:rPr>
                <w:sz w:val="20"/>
              </w:rPr>
            </w:pPr>
            <w:r>
              <w:rPr>
                <w:sz w:val="20"/>
              </w:rPr>
              <w:t>2h to 2h 18min</w:t>
            </w:r>
          </w:p>
          <w:p w:rsidR="00B40966" w:rsidRDefault="00B40966">
            <w:pPr>
              <w:pStyle w:val="TableText"/>
              <w:rPr>
                <w:sz w:val="20"/>
              </w:rPr>
            </w:pPr>
            <w:r>
              <w:rPr>
                <w:sz w:val="20"/>
              </w:rPr>
              <w:t>2h 18min to 2h 34min</w:t>
            </w:r>
          </w:p>
          <w:p w:rsidR="00B40966" w:rsidRDefault="00B40966">
            <w:pPr>
              <w:pStyle w:val="TableText"/>
              <w:rPr>
                <w:sz w:val="20"/>
              </w:rPr>
            </w:pPr>
            <w:r>
              <w:rPr>
                <w:sz w:val="20"/>
              </w:rPr>
              <w:t>2h 34min to 2h 50min</w:t>
            </w:r>
          </w:p>
          <w:p w:rsidR="00B40966" w:rsidRDefault="00B40966">
            <w:pPr>
              <w:pStyle w:val="TableText"/>
              <w:rPr>
                <w:sz w:val="20"/>
              </w:rPr>
            </w:pPr>
            <w:r>
              <w:rPr>
                <w:sz w:val="20"/>
              </w:rPr>
              <w:t>over 2h 50min</w:t>
            </w:r>
          </w:p>
        </w:tc>
        <w:tc>
          <w:tcPr>
            <w:tcW w:w="648"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12"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708" w:type="dxa"/>
            <w:tcBorders>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bottom w:val="single" w:sz="6" w:space="0" w:color="auto"/>
            </w:tcBorders>
          </w:tcPr>
          <w:p w:rsidR="00B40966" w:rsidRDefault="00B40966">
            <w:pPr>
              <w:pStyle w:val="TableText"/>
              <w:rPr>
                <w:sz w:val="20"/>
              </w:rPr>
            </w:pPr>
            <w:r>
              <w:rPr>
                <w:sz w:val="20"/>
              </w:rPr>
              <w:t>41</w:t>
            </w:r>
          </w:p>
          <w:p w:rsidR="00B40966" w:rsidRDefault="00B40966">
            <w:pPr>
              <w:pStyle w:val="TableText"/>
              <w:rPr>
                <w:sz w:val="20"/>
              </w:rPr>
            </w:pPr>
            <w:r>
              <w:rPr>
                <w:sz w:val="20"/>
              </w:rPr>
              <w:t>48</w:t>
            </w:r>
          </w:p>
          <w:p w:rsidR="00B40966" w:rsidRDefault="00B40966">
            <w:pPr>
              <w:pStyle w:val="TableText"/>
              <w:rPr>
                <w:sz w:val="20"/>
              </w:rPr>
            </w:pPr>
            <w:r>
              <w:rPr>
                <w:sz w:val="20"/>
              </w:rPr>
              <w:t>58</w:t>
            </w:r>
          </w:p>
          <w:p w:rsidR="00B40966" w:rsidRDefault="00B40966">
            <w:pPr>
              <w:pStyle w:val="TableText"/>
              <w:rPr>
                <w:sz w:val="20"/>
              </w:rPr>
            </w:pPr>
            <w:r>
              <w:rPr>
                <w:sz w:val="20"/>
              </w:rPr>
              <w:t>73</w:t>
            </w:r>
          </w:p>
          <w:p w:rsidR="00B40966" w:rsidRDefault="00B40966">
            <w:pPr>
              <w:pStyle w:val="TableText"/>
              <w:rPr>
                <w:sz w:val="20"/>
              </w:rPr>
            </w:pPr>
            <w:r>
              <w:rPr>
                <w:sz w:val="20"/>
              </w:rPr>
              <w:t>83</w:t>
            </w:r>
          </w:p>
          <w:p w:rsidR="00B40966" w:rsidRDefault="00B40966">
            <w:pPr>
              <w:pStyle w:val="TableText"/>
              <w:rPr>
                <w:sz w:val="20"/>
              </w:rPr>
            </w:pPr>
            <w:r>
              <w:rPr>
                <w:sz w:val="20"/>
              </w:rPr>
              <w:t>92</w:t>
            </w:r>
          </w:p>
          <w:p w:rsidR="00B40966" w:rsidRDefault="00B40966">
            <w:pPr>
              <w:pStyle w:val="TableText"/>
              <w:rPr>
                <w:sz w:val="20"/>
              </w:rPr>
            </w:pPr>
            <w:r>
              <w:rPr>
                <w:sz w:val="20"/>
              </w:rPr>
              <w:t>102</w:t>
            </w:r>
          </w:p>
          <w:p w:rsidR="00B40966" w:rsidRDefault="00B40966">
            <w:pPr>
              <w:pStyle w:val="TableText"/>
              <w:rPr>
                <w:sz w:val="20"/>
              </w:rPr>
            </w:pPr>
            <w:r>
              <w:rPr>
                <w:sz w:val="20"/>
              </w:rPr>
              <w:t>112</w:t>
            </w:r>
          </w:p>
          <w:p w:rsidR="00B40966" w:rsidRDefault="00B40966">
            <w:pPr>
              <w:pStyle w:val="TableText"/>
              <w:rPr>
                <w:sz w:val="20"/>
              </w:rPr>
            </w:pPr>
            <w:r>
              <w:rPr>
                <w:sz w:val="20"/>
              </w:rPr>
              <w:t>122</w:t>
            </w:r>
          </w:p>
        </w:tc>
      </w:tr>
      <w:tr w:rsidR="00B40966">
        <w:trPr>
          <w:gridAfter w:val="2"/>
          <w:wAfter w:w="44" w:type="dxa"/>
        </w:trPr>
        <w:tc>
          <w:tcPr>
            <w:tcW w:w="660" w:type="dxa"/>
            <w:tcBorders>
              <w:bottom w:val="single" w:sz="6" w:space="0" w:color="auto"/>
              <w:right w:val="single" w:sz="6" w:space="0" w:color="auto"/>
            </w:tcBorders>
          </w:tcPr>
          <w:p w:rsidR="00B40966" w:rsidRDefault="00B40966">
            <w:pPr>
              <w:pStyle w:val="TableText"/>
              <w:rPr>
                <w:sz w:val="20"/>
              </w:rPr>
            </w:pPr>
            <w:r>
              <w:rPr>
                <w:sz w:val="20"/>
              </w:rPr>
              <w:t>120</w:t>
            </w:r>
          </w:p>
        </w:tc>
        <w:tc>
          <w:tcPr>
            <w:tcW w:w="880" w:type="dxa"/>
            <w:tcBorders>
              <w:bottom w:val="single" w:sz="6" w:space="0" w:color="auto"/>
            </w:tcBorders>
          </w:tcPr>
          <w:p w:rsidR="00B40966" w:rsidRDefault="00B40966">
            <w:pPr>
              <w:pStyle w:val="TableText"/>
              <w:rPr>
                <w:sz w:val="20"/>
              </w:rPr>
            </w:pPr>
            <w:r>
              <w:rPr>
                <w:sz w:val="20"/>
              </w:rPr>
              <w:t>20</w:t>
            </w:r>
          </w:p>
        </w:tc>
        <w:tc>
          <w:tcPr>
            <w:tcW w:w="98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53</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B40966" w:rsidRDefault="00B40966">
            <w:pPr>
              <w:pStyle w:val="TableText"/>
              <w:rPr>
                <w:sz w:val="20"/>
              </w:rPr>
            </w:pPr>
            <w:r>
              <w:rPr>
                <w:sz w:val="20"/>
              </w:rPr>
              <w:t>35 to 50min</w:t>
            </w:r>
          </w:p>
          <w:p w:rsidR="00B40966" w:rsidRDefault="00B40966">
            <w:pPr>
              <w:pStyle w:val="TableText"/>
              <w:rPr>
                <w:sz w:val="20"/>
              </w:rPr>
            </w:pPr>
            <w:r>
              <w:rPr>
                <w:sz w:val="20"/>
              </w:rPr>
              <w:t>50min to 1h</w:t>
            </w:r>
          </w:p>
          <w:p w:rsidR="00B40966" w:rsidRDefault="00B40966">
            <w:pPr>
              <w:pStyle w:val="TableText"/>
              <w:rPr>
                <w:sz w:val="20"/>
              </w:rPr>
            </w:pPr>
            <w:r>
              <w:rPr>
                <w:sz w:val="20"/>
              </w:rPr>
              <w:t>1h to 1h 22min</w:t>
            </w:r>
          </w:p>
          <w:p w:rsidR="00B40966" w:rsidRDefault="00B40966">
            <w:pPr>
              <w:pStyle w:val="TableText"/>
              <w:rPr>
                <w:sz w:val="20"/>
              </w:rPr>
            </w:pPr>
            <w:r>
              <w:rPr>
                <w:sz w:val="20"/>
              </w:rPr>
              <w:t>1h 22min to 1h 44min</w:t>
            </w:r>
          </w:p>
          <w:p w:rsidR="00B40966" w:rsidRDefault="00B40966">
            <w:pPr>
              <w:pStyle w:val="TableText"/>
              <w:rPr>
                <w:sz w:val="20"/>
              </w:rPr>
            </w:pPr>
            <w:r>
              <w:rPr>
                <w:sz w:val="20"/>
              </w:rPr>
              <w:t>1h 44min to 2h</w:t>
            </w:r>
          </w:p>
          <w:p w:rsidR="00B40966" w:rsidRDefault="00B40966">
            <w:pPr>
              <w:pStyle w:val="TableText"/>
              <w:rPr>
                <w:sz w:val="20"/>
              </w:rPr>
            </w:pPr>
            <w:r>
              <w:rPr>
                <w:sz w:val="20"/>
              </w:rPr>
              <w:t>2h to 2h 22min</w:t>
            </w:r>
          </w:p>
          <w:p w:rsidR="00B40966" w:rsidRDefault="00B40966">
            <w:pPr>
              <w:pStyle w:val="TableText"/>
              <w:rPr>
                <w:sz w:val="20"/>
              </w:rPr>
            </w:pPr>
            <w:r>
              <w:rPr>
                <w:sz w:val="20"/>
              </w:rPr>
              <w:t>2h 22min to 2h 44min</w:t>
            </w:r>
          </w:p>
          <w:p w:rsidR="00B40966" w:rsidRDefault="00B40966">
            <w:pPr>
              <w:pStyle w:val="TableText"/>
              <w:rPr>
                <w:sz w:val="20"/>
              </w:rPr>
            </w:pPr>
            <w:r>
              <w:rPr>
                <w:sz w:val="20"/>
              </w:rPr>
              <w:t>over 2h 44min</w:t>
            </w:r>
          </w:p>
        </w:tc>
        <w:tc>
          <w:tcPr>
            <w:tcW w:w="648"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88"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12"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708" w:type="dxa"/>
            <w:tcBorders>
              <w:bottom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tc>
        <w:tc>
          <w:tcPr>
            <w:tcW w:w="624" w:type="dxa"/>
            <w:gridSpan w:val="3"/>
            <w:tcBorders>
              <w:left w:val="single" w:sz="6" w:space="0" w:color="auto"/>
              <w:bottom w:val="single" w:sz="6" w:space="0" w:color="auto"/>
              <w:right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bottom w:val="single" w:sz="6" w:space="0" w:color="auto"/>
            </w:tcBorders>
          </w:tcPr>
          <w:p w:rsidR="00B40966" w:rsidRDefault="00B40966">
            <w:pPr>
              <w:pStyle w:val="TableText"/>
              <w:rPr>
                <w:sz w:val="20"/>
              </w:rPr>
            </w:pPr>
            <w:r>
              <w:rPr>
                <w:sz w:val="20"/>
              </w:rPr>
              <w:t>47</w:t>
            </w:r>
          </w:p>
          <w:p w:rsidR="00B40966" w:rsidRDefault="00B40966">
            <w:pPr>
              <w:pStyle w:val="TableText"/>
              <w:rPr>
                <w:sz w:val="20"/>
              </w:rPr>
            </w:pPr>
            <w:r>
              <w:rPr>
                <w:sz w:val="20"/>
              </w:rPr>
              <w:t>57</w:t>
            </w:r>
          </w:p>
          <w:p w:rsidR="00B40966" w:rsidRDefault="00B40966">
            <w:pPr>
              <w:pStyle w:val="TableText"/>
              <w:rPr>
                <w:sz w:val="20"/>
              </w:rPr>
            </w:pPr>
            <w:r>
              <w:rPr>
                <w:sz w:val="20"/>
              </w:rPr>
              <w:t>72</w:t>
            </w:r>
          </w:p>
          <w:p w:rsidR="00B40966" w:rsidRDefault="00B40966">
            <w:pPr>
              <w:pStyle w:val="TableText"/>
              <w:rPr>
                <w:sz w:val="20"/>
              </w:rPr>
            </w:pPr>
            <w:r>
              <w:rPr>
                <w:sz w:val="20"/>
              </w:rPr>
              <w:t>87</w:t>
            </w:r>
          </w:p>
          <w:p w:rsidR="00B40966" w:rsidRDefault="00B40966">
            <w:pPr>
              <w:pStyle w:val="TableText"/>
              <w:rPr>
                <w:sz w:val="20"/>
              </w:rPr>
            </w:pPr>
            <w:r>
              <w:rPr>
                <w:sz w:val="20"/>
              </w:rPr>
              <w:t>97</w:t>
            </w:r>
          </w:p>
          <w:p w:rsidR="00B40966" w:rsidRDefault="00B40966">
            <w:pPr>
              <w:pStyle w:val="TableText"/>
              <w:rPr>
                <w:sz w:val="20"/>
              </w:rPr>
            </w:pPr>
            <w:r>
              <w:rPr>
                <w:sz w:val="20"/>
              </w:rPr>
              <w:t>112</w:t>
            </w:r>
          </w:p>
          <w:p w:rsidR="00B40966" w:rsidRDefault="00B40966">
            <w:pPr>
              <w:pStyle w:val="TableText"/>
              <w:rPr>
                <w:sz w:val="20"/>
              </w:rPr>
            </w:pPr>
            <w:r>
              <w:rPr>
                <w:sz w:val="20"/>
              </w:rPr>
              <w:t>127</w:t>
            </w:r>
          </w:p>
          <w:p w:rsidR="00B40966" w:rsidRDefault="00B40966">
            <w:pPr>
              <w:pStyle w:val="TableText"/>
              <w:rPr>
                <w:sz w:val="20"/>
              </w:rPr>
            </w:pPr>
            <w:r>
              <w:rPr>
                <w:sz w:val="20"/>
              </w:rPr>
              <w:t>142</w:t>
            </w:r>
          </w:p>
        </w:tc>
      </w:tr>
      <w:tr w:rsidR="00B40966">
        <w:trPr>
          <w:gridAfter w:val="3"/>
          <w:wAfter w:w="56" w:type="dxa"/>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132</w:t>
            </w:r>
          </w:p>
        </w:tc>
        <w:tc>
          <w:tcPr>
            <w:tcW w:w="880" w:type="dxa"/>
            <w:tcBorders>
              <w:top w:val="single" w:sz="6" w:space="0" w:color="auto"/>
              <w:bottom w:val="single" w:sz="6" w:space="0" w:color="auto"/>
            </w:tcBorders>
          </w:tcPr>
          <w:p w:rsidR="00B40966" w:rsidRDefault="00B40966">
            <w:pPr>
              <w:pStyle w:val="TableText"/>
              <w:rPr>
                <w:sz w:val="20"/>
              </w:rPr>
            </w:pPr>
            <w:r>
              <w:rPr>
                <w:sz w:val="20"/>
              </w:rPr>
              <w:t>22</w:t>
            </w:r>
          </w:p>
        </w:tc>
        <w:tc>
          <w:tcPr>
            <w:tcW w:w="98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59</w:t>
            </w:r>
          </w:p>
        </w:tc>
        <w:tc>
          <w:tcPr>
            <w:tcW w:w="3072"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30min to 38min</w:t>
            </w:r>
          </w:p>
          <w:p w:rsidR="00B40966" w:rsidRDefault="00B40966">
            <w:pPr>
              <w:pStyle w:val="TableText"/>
              <w:rPr>
                <w:sz w:val="20"/>
              </w:rPr>
            </w:pPr>
            <w:r>
              <w:rPr>
                <w:sz w:val="20"/>
              </w:rPr>
              <w:t xml:space="preserve">38min to </w:t>
            </w:r>
            <w:r>
              <w:rPr>
                <w:position w:val="6"/>
                <w:sz w:val="20"/>
              </w:rPr>
              <w:t>3</w:t>
            </w:r>
            <w:r>
              <w:rPr>
                <w:sz w:val="20"/>
              </w:rPr>
              <w:t>/4h</w:t>
            </w:r>
          </w:p>
          <w:p w:rsidR="00B40966" w:rsidRDefault="00B40966">
            <w:pPr>
              <w:pStyle w:val="TableText"/>
              <w:rPr>
                <w:sz w:val="20"/>
              </w:rPr>
            </w:pPr>
            <w:r>
              <w:rPr>
                <w:position w:val="6"/>
                <w:sz w:val="20"/>
              </w:rPr>
              <w:t>3</w:t>
            </w:r>
            <w:r>
              <w:rPr>
                <w:sz w:val="20"/>
              </w:rPr>
              <w:t>/4h to 1h</w:t>
            </w:r>
          </w:p>
          <w:p w:rsidR="00B40966" w:rsidRDefault="00B40966">
            <w:pPr>
              <w:pStyle w:val="TableText"/>
              <w:rPr>
                <w:sz w:val="20"/>
              </w:rPr>
            </w:pPr>
            <w:r>
              <w:rPr>
                <w:sz w:val="20"/>
              </w:rPr>
              <w:t>1 to 1</w:t>
            </w:r>
            <w:r>
              <w:rPr>
                <w:position w:val="6"/>
                <w:sz w:val="20"/>
              </w:rPr>
              <w:t>1</w:t>
            </w:r>
            <w:r>
              <w:rPr>
                <w:sz w:val="20"/>
              </w:rPr>
              <w:t>/4h</w:t>
            </w:r>
          </w:p>
          <w:p w:rsidR="00B40966" w:rsidRDefault="00B40966">
            <w:pPr>
              <w:pStyle w:val="TableText"/>
              <w:rPr>
                <w:sz w:val="20"/>
              </w:rPr>
            </w:pPr>
            <w:r>
              <w:rPr>
                <w:sz w:val="20"/>
              </w:rPr>
              <w:t>1</w:t>
            </w:r>
            <w:r>
              <w:rPr>
                <w:position w:val="6"/>
                <w:sz w:val="20"/>
              </w:rPr>
              <w:t>1</w:t>
            </w:r>
            <w:r>
              <w:rPr>
                <w:sz w:val="20"/>
              </w:rPr>
              <w:t>/4h to 1</w:t>
            </w:r>
            <w:r>
              <w:rPr>
                <w:position w:val="6"/>
                <w:sz w:val="20"/>
              </w:rPr>
              <w:t>1</w:t>
            </w:r>
            <w:r>
              <w:rPr>
                <w:sz w:val="20"/>
              </w:rPr>
              <w:t>/2h</w:t>
            </w:r>
          </w:p>
          <w:p w:rsidR="00B40966" w:rsidRDefault="00B40966">
            <w:pPr>
              <w:pStyle w:val="TableText"/>
              <w:rPr>
                <w:sz w:val="20"/>
              </w:rPr>
            </w:pPr>
            <w:r>
              <w:rPr>
                <w:sz w:val="20"/>
              </w:rPr>
              <w:t>1</w:t>
            </w:r>
            <w:r>
              <w:rPr>
                <w:position w:val="6"/>
                <w:sz w:val="20"/>
              </w:rPr>
              <w:t>1</w:t>
            </w:r>
            <w:r>
              <w:rPr>
                <w:sz w:val="20"/>
              </w:rPr>
              <w:t>/2h to 1</w:t>
            </w:r>
            <w:r>
              <w:rPr>
                <w:position w:val="6"/>
                <w:sz w:val="20"/>
              </w:rPr>
              <w:t>3</w:t>
            </w:r>
            <w:r>
              <w:rPr>
                <w:sz w:val="20"/>
              </w:rPr>
              <w:t>/4h</w:t>
            </w:r>
          </w:p>
          <w:p w:rsidR="00B40966" w:rsidRDefault="00B40966">
            <w:pPr>
              <w:pStyle w:val="TableText"/>
              <w:rPr>
                <w:sz w:val="20"/>
              </w:rPr>
            </w:pPr>
            <w:r>
              <w:rPr>
                <w:sz w:val="20"/>
              </w:rPr>
              <w:t>1</w:t>
            </w:r>
            <w:r>
              <w:rPr>
                <w:position w:val="6"/>
                <w:sz w:val="20"/>
              </w:rPr>
              <w:t>3</w:t>
            </w:r>
            <w:r>
              <w:rPr>
                <w:sz w:val="20"/>
              </w:rPr>
              <w:t>/4h to 2h</w:t>
            </w:r>
          </w:p>
          <w:p w:rsidR="00B40966" w:rsidRDefault="00B40966">
            <w:pPr>
              <w:pStyle w:val="TableText"/>
              <w:rPr>
                <w:sz w:val="20"/>
              </w:rPr>
            </w:pPr>
            <w:r>
              <w:rPr>
                <w:sz w:val="20"/>
              </w:rPr>
              <w:t>2 to 2</w:t>
            </w:r>
            <w:r>
              <w:rPr>
                <w:position w:val="6"/>
                <w:sz w:val="20"/>
              </w:rPr>
              <w:t>1</w:t>
            </w:r>
            <w:r>
              <w:rPr>
                <w:sz w:val="20"/>
              </w:rPr>
              <w:t>/4h</w:t>
            </w:r>
          </w:p>
          <w:p w:rsidR="00B40966" w:rsidRDefault="00B40966">
            <w:pPr>
              <w:pStyle w:val="TableText"/>
              <w:rPr>
                <w:sz w:val="20"/>
              </w:rPr>
            </w:pPr>
            <w:r>
              <w:rPr>
                <w:sz w:val="20"/>
              </w:rPr>
              <w:t>over 2</w:t>
            </w:r>
            <w:r>
              <w:rPr>
                <w:position w:val="6"/>
                <w:sz w:val="20"/>
              </w:rPr>
              <w:t>1</w:t>
            </w:r>
            <w:r>
              <w:rPr>
                <w:sz w:val="20"/>
              </w:rPr>
              <w:t>/4h</w:t>
            </w:r>
          </w:p>
        </w:tc>
        <w:tc>
          <w:tcPr>
            <w:tcW w:w="628"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12"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tc>
        <w:tc>
          <w:tcPr>
            <w:tcW w:w="588"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720" w:type="dxa"/>
            <w:gridSpan w:val="2"/>
            <w:tcBorders>
              <w:top w:val="single" w:sz="6" w:space="0" w:color="auto"/>
              <w:bottom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tc>
        <w:tc>
          <w:tcPr>
            <w:tcW w:w="1020" w:type="dxa"/>
            <w:gridSpan w:val="2"/>
            <w:tcBorders>
              <w:top w:val="single" w:sz="6" w:space="0" w:color="auto"/>
              <w:bottom w:val="single" w:sz="6" w:space="0" w:color="auto"/>
            </w:tcBorders>
          </w:tcPr>
          <w:p w:rsidR="00B40966" w:rsidRDefault="00B40966">
            <w:pPr>
              <w:pStyle w:val="TableText"/>
              <w:rPr>
                <w:sz w:val="20"/>
              </w:rPr>
            </w:pPr>
            <w:r>
              <w:rPr>
                <w:sz w:val="20"/>
              </w:rPr>
              <w:t>43</w:t>
            </w:r>
          </w:p>
          <w:p w:rsidR="00B40966" w:rsidRDefault="00B40966">
            <w:pPr>
              <w:pStyle w:val="TableText"/>
              <w:rPr>
                <w:sz w:val="20"/>
              </w:rPr>
            </w:pPr>
            <w:r>
              <w:rPr>
                <w:sz w:val="20"/>
              </w:rPr>
              <w:t>53</w:t>
            </w:r>
          </w:p>
          <w:p w:rsidR="00B40966" w:rsidRDefault="00B40966">
            <w:pPr>
              <w:pStyle w:val="TableText"/>
              <w:rPr>
                <w:sz w:val="20"/>
              </w:rPr>
            </w:pPr>
            <w:r>
              <w:rPr>
                <w:sz w:val="20"/>
              </w:rPr>
              <w:t>68</w:t>
            </w:r>
          </w:p>
          <w:p w:rsidR="00B40966" w:rsidRDefault="00B40966">
            <w:pPr>
              <w:pStyle w:val="TableText"/>
              <w:rPr>
                <w:sz w:val="20"/>
              </w:rPr>
            </w:pPr>
            <w:r>
              <w:rPr>
                <w:sz w:val="20"/>
              </w:rPr>
              <w:t>83</w:t>
            </w:r>
          </w:p>
          <w:p w:rsidR="00B40966" w:rsidRDefault="00B40966">
            <w:pPr>
              <w:pStyle w:val="TableText"/>
              <w:rPr>
                <w:sz w:val="20"/>
              </w:rPr>
            </w:pPr>
            <w:r>
              <w:rPr>
                <w:sz w:val="20"/>
              </w:rPr>
              <w:t>98</w:t>
            </w:r>
          </w:p>
          <w:p w:rsidR="00B40966" w:rsidRDefault="00B40966">
            <w:pPr>
              <w:pStyle w:val="TableText"/>
              <w:rPr>
                <w:sz w:val="20"/>
              </w:rPr>
            </w:pPr>
            <w:r>
              <w:rPr>
                <w:sz w:val="20"/>
              </w:rPr>
              <w:t>113</w:t>
            </w:r>
          </w:p>
          <w:p w:rsidR="00B40966" w:rsidRDefault="00B40966">
            <w:pPr>
              <w:pStyle w:val="TableText"/>
              <w:rPr>
                <w:sz w:val="20"/>
              </w:rPr>
            </w:pPr>
            <w:r>
              <w:rPr>
                <w:sz w:val="20"/>
              </w:rPr>
              <w:t>128</w:t>
            </w:r>
          </w:p>
          <w:p w:rsidR="00B40966" w:rsidRDefault="00B40966">
            <w:pPr>
              <w:pStyle w:val="TableText"/>
              <w:rPr>
                <w:sz w:val="20"/>
              </w:rPr>
            </w:pPr>
            <w:r>
              <w:rPr>
                <w:sz w:val="20"/>
              </w:rPr>
              <w:t>143</w:t>
            </w:r>
          </w:p>
          <w:p w:rsidR="00B40966" w:rsidRDefault="00B40966">
            <w:pPr>
              <w:pStyle w:val="TableText"/>
              <w:rPr>
                <w:sz w:val="20"/>
              </w:rPr>
            </w:pPr>
            <w:r>
              <w:rPr>
                <w:sz w:val="20"/>
              </w:rPr>
              <w:t>163</w:t>
            </w:r>
          </w:p>
        </w:tc>
      </w:tr>
      <w:tr w:rsidR="00B40966">
        <w:trPr>
          <w:gridAfter w:val="3"/>
          <w:wAfter w:w="56" w:type="dxa"/>
        </w:trPr>
        <w:tc>
          <w:tcPr>
            <w:tcW w:w="660" w:type="dxa"/>
            <w:tcBorders>
              <w:bottom w:val="single" w:sz="6" w:space="0" w:color="auto"/>
              <w:right w:val="single" w:sz="6" w:space="0" w:color="auto"/>
            </w:tcBorders>
          </w:tcPr>
          <w:p w:rsidR="00B40966" w:rsidRDefault="00B40966">
            <w:pPr>
              <w:pStyle w:val="TableText"/>
              <w:rPr>
                <w:sz w:val="20"/>
              </w:rPr>
            </w:pPr>
            <w:r>
              <w:rPr>
                <w:sz w:val="20"/>
              </w:rPr>
              <w:t>144</w:t>
            </w:r>
          </w:p>
        </w:tc>
        <w:tc>
          <w:tcPr>
            <w:tcW w:w="880" w:type="dxa"/>
            <w:tcBorders>
              <w:bottom w:val="single" w:sz="6" w:space="0" w:color="auto"/>
            </w:tcBorders>
          </w:tcPr>
          <w:p w:rsidR="00B40966" w:rsidRDefault="00B40966">
            <w:pPr>
              <w:pStyle w:val="TableText"/>
              <w:rPr>
                <w:sz w:val="20"/>
              </w:rPr>
            </w:pPr>
            <w:r>
              <w:rPr>
                <w:sz w:val="20"/>
              </w:rPr>
              <w:t>24</w:t>
            </w:r>
          </w:p>
        </w:tc>
        <w:tc>
          <w:tcPr>
            <w:tcW w:w="98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64</w:t>
            </w:r>
            <w:r>
              <w:rPr>
                <w:position w:val="4"/>
                <w:sz w:val="16"/>
              </w:rPr>
              <w:t>1</w:t>
            </w:r>
            <w:r>
              <w:rPr>
                <w:sz w:val="20"/>
              </w:rPr>
              <w:t>/</w:t>
            </w:r>
            <w:r>
              <w:rPr>
                <w:sz w:val="16"/>
              </w:rPr>
              <w:t>2</w:t>
            </w:r>
          </w:p>
        </w:tc>
        <w:tc>
          <w:tcPr>
            <w:tcW w:w="3072" w:type="dxa"/>
            <w:tcBorders>
              <w:bottom w:val="single" w:sz="6" w:space="0" w:color="auto"/>
              <w:right w:val="single" w:sz="6" w:space="0" w:color="auto"/>
            </w:tcBorders>
          </w:tcPr>
          <w:p w:rsidR="00B40966" w:rsidRDefault="00B40966">
            <w:pPr>
              <w:pStyle w:val="TableText"/>
              <w:spacing w:before="40"/>
              <w:rPr>
                <w:sz w:val="20"/>
              </w:rPr>
            </w:pPr>
            <w:r>
              <w:rPr>
                <w:sz w:val="20"/>
              </w:rPr>
              <w:t>25 to 32min</w:t>
            </w:r>
          </w:p>
          <w:p w:rsidR="00B40966" w:rsidRDefault="00B40966">
            <w:pPr>
              <w:pStyle w:val="TableText"/>
              <w:spacing w:before="40"/>
              <w:rPr>
                <w:sz w:val="20"/>
              </w:rPr>
            </w:pPr>
            <w:r>
              <w:rPr>
                <w:sz w:val="20"/>
              </w:rPr>
              <w:t>32min to 39min</w:t>
            </w:r>
          </w:p>
          <w:p w:rsidR="00B40966" w:rsidRDefault="00B40966">
            <w:pPr>
              <w:pStyle w:val="TableText"/>
              <w:spacing w:before="40"/>
              <w:rPr>
                <w:sz w:val="20"/>
              </w:rPr>
            </w:pPr>
            <w:r>
              <w:rPr>
                <w:sz w:val="20"/>
              </w:rPr>
              <w:t xml:space="preserve">39min to </w:t>
            </w:r>
            <w:r>
              <w:rPr>
                <w:position w:val="6"/>
                <w:sz w:val="20"/>
              </w:rPr>
              <w:t>3</w:t>
            </w:r>
            <w:r>
              <w:rPr>
                <w:sz w:val="20"/>
              </w:rPr>
              <w:t>/4h</w:t>
            </w:r>
          </w:p>
          <w:p w:rsidR="00B40966" w:rsidRDefault="00B40966">
            <w:pPr>
              <w:pStyle w:val="TableText"/>
              <w:spacing w:before="40"/>
              <w:rPr>
                <w:sz w:val="20"/>
              </w:rPr>
            </w:pPr>
            <w:r>
              <w:rPr>
                <w:position w:val="6"/>
                <w:sz w:val="20"/>
              </w:rPr>
              <w:t>3</w:t>
            </w:r>
            <w:r>
              <w:rPr>
                <w:sz w:val="20"/>
              </w:rPr>
              <w:t>/4h to 1h</w:t>
            </w:r>
          </w:p>
          <w:p w:rsidR="00B40966" w:rsidRDefault="00B40966">
            <w:pPr>
              <w:pStyle w:val="TableText"/>
              <w:spacing w:before="40"/>
              <w:rPr>
                <w:sz w:val="20"/>
              </w:rPr>
            </w:pPr>
            <w:r>
              <w:rPr>
                <w:sz w:val="20"/>
              </w:rPr>
              <w:t>1h to 1</w:t>
            </w:r>
            <w:r>
              <w:rPr>
                <w:position w:val="6"/>
                <w:sz w:val="20"/>
              </w:rPr>
              <w:t>1</w:t>
            </w:r>
            <w:r>
              <w:rPr>
                <w:sz w:val="20"/>
              </w:rPr>
              <w:t>/4h</w:t>
            </w:r>
          </w:p>
          <w:p w:rsidR="00B40966" w:rsidRDefault="00B40966">
            <w:pPr>
              <w:pStyle w:val="TableText"/>
              <w:spacing w:before="40"/>
              <w:rPr>
                <w:sz w:val="20"/>
              </w:rPr>
            </w:pPr>
            <w:r>
              <w:rPr>
                <w:sz w:val="20"/>
              </w:rPr>
              <w:t>1</w:t>
            </w:r>
            <w:r>
              <w:rPr>
                <w:position w:val="6"/>
                <w:sz w:val="20"/>
              </w:rPr>
              <w:t>1</w:t>
            </w:r>
            <w:r>
              <w:rPr>
                <w:sz w:val="20"/>
              </w:rPr>
              <w:t>/4h to 1</w:t>
            </w:r>
            <w:r>
              <w:rPr>
                <w:position w:val="6"/>
                <w:sz w:val="20"/>
              </w:rPr>
              <w:t>1</w:t>
            </w:r>
            <w:r>
              <w:rPr>
                <w:sz w:val="20"/>
              </w:rPr>
              <w:t>/2h</w:t>
            </w:r>
          </w:p>
          <w:p w:rsidR="00B40966" w:rsidRDefault="00B40966">
            <w:pPr>
              <w:pStyle w:val="TableText"/>
              <w:spacing w:before="40"/>
              <w:rPr>
                <w:sz w:val="20"/>
              </w:rPr>
            </w:pPr>
            <w:r>
              <w:rPr>
                <w:sz w:val="20"/>
              </w:rPr>
              <w:t>1</w:t>
            </w:r>
            <w:r>
              <w:rPr>
                <w:position w:val="6"/>
                <w:sz w:val="20"/>
              </w:rPr>
              <w:t>1</w:t>
            </w:r>
            <w:r>
              <w:rPr>
                <w:sz w:val="20"/>
              </w:rPr>
              <w:t>/2h to 1</w:t>
            </w:r>
            <w:r>
              <w:rPr>
                <w:position w:val="6"/>
                <w:sz w:val="20"/>
              </w:rPr>
              <w:t>3</w:t>
            </w:r>
            <w:r>
              <w:rPr>
                <w:sz w:val="20"/>
              </w:rPr>
              <w:t>/4h</w:t>
            </w:r>
          </w:p>
          <w:p w:rsidR="00B40966" w:rsidRDefault="00B40966">
            <w:pPr>
              <w:pStyle w:val="TableText"/>
              <w:spacing w:before="40"/>
              <w:rPr>
                <w:sz w:val="20"/>
              </w:rPr>
            </w:pPr>
            <w:r>
              <w:rPr>
                <w:sz w:val="20"/>
              </w:rPr>
              <w:t>1</w:t>
            </w:r>
            <w:r>
              <w:rPr>
                <w:position w:val="6"/>
                <w:sz w:val="20"/>
              </w:rPr>
              <w:t>3</w:t>
            </w:r>
            <w:r>
              <w:rPr>
                <w:sz w:val="20"/>
              </w:rPr>
              <w:t>/4h to 2h</w:t>
            </w:r>
          </w:p>
          <w:p w:rsidR="00B40966" w:rsidRDefault="00B40966">
            <w:pPr>
              <w:pStyle w:val="TableText"/>
              <w:spacing w:before="40"/>
              <w:rPr>
                <w:sz w:val="20"/>
              </w:rPr>
            </w:pPr>
            <w:r>
              <w:rPr>
                <w:sz w:val="20"/>
              </w:rPr>
              <w:t>2 to 2</w:t>
            </w:r>
            <w:r>
              <w:rPr>
                <w:position w:val="6"/>
                <w:sz w:val="20"/>
              </w:rPr>
              <w:t>1</w:t>
            </w:r>
            <w:r>
              <w:rPr>
                <w:sz w:val="20"/>
              </w:rPr>
              <w:t>/4h</w:t>
            </w:r>
          </w:p>
          <w:p w:rsidR="00B40966" w:rsidRDefault="00B40966">
            <w:pPr>
              <w:pStyle w:val="TableText"/>
              <w:spacing w:before="40"/>
              <w:rPr>
                <w:sz w:val="20"/>
              </w:rPr>
            </w:pPr>
            <w:r>
              <w:rPr>
                <w:sz w:val="20"/>
              </w:rPr>
              <w:t>2</w:t>
            </w:r>
            <w:r>
              <w:rPr>
                <w:position w:val="6"/>
                <w:sz w:val="20"/>
              </w:rPr>
              <w:t>1</w:t>
            </w:r>
            <w:r>
              <w:rPr>
                <w:sz w:val="20"/>
              </w:rPr>
              <w:t>/4 to 2</w:t>
            </w:r>
            <w:r>
              <w:rPr>
                <w:position w:val="6"/>
                <w:sz w:val="20"/>
              </w:rPr>
              <w:t>1</w:t>
            </w:r>
            <w:r>
              <w:rPr>
                <w:sz w:val="20"/>
              </w:rPr>
              <w:t>/2h</w:t>
            </w:r>
          </w:p>
          <w:p w:rsidR="00B40966" w:rsidRDefault="00B40966">
            <w:pPr>
              <w:pStyle w:val="TableText"/>
              <w:spacing w:before="40"/>
              <w:rPr>
                <w:sz w:val="20"/>
              </w:rPr>
            </w:pPr>
            <w:r>
              <w:rPr>
                <w:sz w:val="20"/>
              </w:rPr>
              <w:t>over 2</w:t>
            </w:r>
            <w:r>
              <w:rPr>
                <w:position w:val="6"/>
                <w:sz w:val="20"/>
              </w:rPr>
              <w:t>1</w:t>
            </w:r>
            <w:r>
              <w:rPr>
                <w:sz w:val="20"/>
              </w:rPr>
              <w:t>/2h</w:t>
            </w:r>
          </w:p>
        </w:tc>
        <w:tc>
          <w:tcPr>
            <w:tcW w:w="628" w:type="dxa"/>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8"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12"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588" w:type="dxa"/>
            <w:tcBorders>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9</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tc>
        <w:tc>
          <w:tcPr>
            <w:tcW w:w="720" w:type="dxa"/>
            <w:gridSpan w:val="2"/>
            <w:tcBorders>
              <w:bottom w:val="single" w:sz="6" w:space="0" w:color="auto"/>
            </w:tcBorders>
          </w:tcPr>
          <w:p w:rsidR="00B40966" w:rsidRDefault="00B40966">
            <w:pPr>
              <w:pStyle w:val="TableText"/>
              <w:rPr>
                <w:sz w:val="20"/>
              </w:rPr>
            </w:pPr>
            <w:r>
              <w:rPr>
                <w:sz w:val="20"/>
              </w:rPr>
              <w:t>12</w:t>
            </w:r>
          </w:p>
          <w:p w:rsidR="00B40966" w:rsidRDefault="00B40966">
            <w:pPr>
              <w:pStyle w:val="TableText"/>
              <w:rPr>
                <w:sz w:val="20"/>
              </w:rPr>
            </w:pPr>
            <w:r>
              <w:rPr>
                <w:sz w:val="20"/>
              </w:rPr>
              <w:t>14</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18</w:t>
            </w:r>
          </w:p>
          <w:p w:rsidR="00B40966" w:rsidRDefault="00B40966">
            <w:pPr>
              <w:pStyle w:val="TableText"/>
              <w:rPr>
                <w:sz w:val="20"/>
              </w:rPr>
            </w:pPr>
            <w:r>
              <w:rPr>
                <w:sz w:val="20"/>
              </w:rPr>
              <w:t>22</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bottom w:val="single" w:sz="6" w:space="0" w:color="auto"/>
            </w:tcBorders>
          </w:tcPr>
          <w:p w:rsidR="00B40966" w:rsidRDefault="00B40966">
            <w:pPr>
              <w:pStyle w:val="TableText"/>
              <w:rPr>
                <w:sz w:val="20"/>
              </w:rPr>
            </w:pPr>
            <w:r>
              <w:rPr>
                <w:sz w:val="20"/>
              </w:rPr>
              <w:t>43</w:t>
            </w:r>
          </w:p>
          <w:p w:rsidR="00B40966" w:rsidRDefault="00B40966">
            <w:pPr>
              <w:pStyle w:val="TableText"/>
              <w:rPr>
                <w:sz w:val="20"/>
              </w:rPr>
            </w:pPr>
            <w:r>
              <w:rPr>
                <w:sz w:val="20"/>
              </w:rPr>
              <w:t>53</w:t>
            </w:r>
          </w:p>
          <w:p w:rsidR="00B40966" w:rsidRDefault="00B40966">
            <w:pPr>
              <w:pStyle w:val="TableText"/>
              <w:rPr>
                <w:sz w:val="20"/>
              </w:rPr>
            </w:pPr>
            <w:r>
              <w:rPr>
                <w:sz w:val="20"/>
              </w:rPr>
              <w:t>61</w:t>
            </w:r>
          </w:p>
          <w:p w:rsidR="00B40966" w:rsidRDefault="00B40966">
            <w:pPr>
              <w:pStyle w:val="TableText"/>
              <w:rPr>
                <w:sz w:val="20"/>
              </w:rPr>
            </w:pPr>
            <w:r>
              <w:rPr>
                <w:sz w:val="20"/>
              </w:rPr>
              <w:t>78</w:t>
            </w:r>
          </w:p>
          <w:p w:rsidR="00B40966" w:rsidRDefault="00B40966">
            <w:pPr>
              <w:pStyle w:val="TableText"/>
              <w:rPr>
                <w:sz w:val="20"/>
              </w:rPr>
            </w:pPr>
            <w:r>
              <w:rPr>
                <w:sz w:val="20"/>
              </w:rPr>
              <w:t>93</w:t>
            </w:r>
          </w:p>
          <w:p w:rsidR="00B40966" w:rsidRDefault="00B40966">
            <w:pPr>
              <w:pStyle w:val="TableText"/>
              <w:rPr>
                <w:sz w:val="20"/>
              </w:rPr>
            </w:pPr>
            <w:r>
              <w:rPr>
                <w:sz w:val="20"/>
              </w:rPr>
              <w:t>108</w:t>
            </w:r>
          </w:p>
          <w:p w:rsidR="00B40966" w:rsidRDefault="00B40966">
            <w:pPr>
              <w:pStyle w:val="TableText"/>
              <w:rPr>
                <w:sz w:val="20"/>
              </w:rPr>
            </w:pPr>
            <w:r>
              <w:rPr>
                <w:sz w:val="20"/>
              </w:rPr>
              <w:t>123</w:t>
            </w:r>
          </w:p>
          <w:p w:rsidR="00B40966" w:rsidRDefault="00B40966">
            <w:pPr>
              <w:pStyle w:val="TableText"/>
              <w:rPr>
                <w:sz w:val="20"/>
              </w:rPr>
            </w:pPr>
            <w:r>
              <w:rPr>
                <w:sz w:val="20"/>
              </w:rPr>
              <w:t>138</w:t>
            </w:r>
          </w:p>
          <w:p w:rsidR="00B40966" w:rsidRDefault="00B40966">
            <w:pPr>
              <w:pStyle w:val="TableText"/>
              <w:rPr>
                <w:sz w:val="20"/>
              </w:rPr>
            </w:pPr>
            <w:r>
              <w:rPr>
                <w:sz w:val="20"/>
              </w:rPr>
              <w:t>153</w:t>
            </w:r>
          </w:p>
          <w:p w:rsidR="00B40966" w:rsidRDefault="00B40966">
            <w:pPr>
              <w:pStyle w:val="TableText"/>
              <w:rPr>
                <w:sz w:val="20"/>
              </w:rPr>
            </w:pPr>
            <w:r>
              <w:rPr>
                <w:sz w:val="20"/>
              </w:rPr>
              <w:t>168</w:t>
            </w:r>
          </w:p>
          <w:p w:rsidR="00B40966" w:rsidRDefault="00B40966">
            <w:pPr>
              <w:pStyle w:val="TableText"/>
              <w:rPr>
                <w:sz w:val="20"/>
              </w:rPr>
            </w:pPr>
            <w:r>
              <w:rPr>
                <w:sz w:val="20"/>
              </w:rPr>
              <w:t>178</w:t>
            </w:r>
          </w:p>
        </w:tc>
      </w:tr>
      <w:tr w:rsidR="00B40966">
        <w:trPr>
          <w:gridAfter w:val="3"/>
          <w:wAfter w:w="56" w:type="dxa"/>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156</w:t>
            </w:r>
          </w:p>
        </w:tc>
        <w:tc>
          <w:tcPr>
            <w:tcW w:w="880" w:type="dxa"/>
            <w:tcBorders>
              <w:top w:val="single" w:sz="6" w:space="0" w:color="auto"/>
            </w:tcBorders>
          </w:tcPr>
          <w:p w:rsidR="00B40966" w:rsidRDefault="00B40966">
            <w:pPr>
              <w:pStyle w:val="TableText"/>
              <w:rPr>
                <w:sz w:val="20"/>
              </w:rPr>
            </w:pPr>
            <w:r>
              <w:rPr>
                <w:sz w:val="20"/>
              </w:rPr>
              <w:t>26</w:t>
            </w:r>
          </w:p>
        </w:tc>
        <w:tc>
          <w:tcPr>
            <w:tcW w:w="9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70</w:t>
            </w:r>
          </w:p>
        </w:tc>
        <w:tc>
          <w:tcPr>
            <w:tcW w:w="3072" w:type="dxa"/>
            <w:tcBorders>
              <w:top w:val="single" w:sz="6" w:space="0" w:color="auto"/>
              <w:right w:val="single" w:sz="6" w:space="0" w:color="auto"/>
            </w:tcBorders>
          </w:tcPr>
          <w:p w:rsidR="00B40966" w:rsidRDefault="00B40966">
            <w:pPr>
              <w:pStyle w:val="TableText"/>
              <w:spacing w:before="50" w:after="50"/>
              <w:rPr>
                <w:sz w:val="20"/>
              </w:rPr>
            </w:pPr>
            <w:r>
              <w:rPr>
                <w:sz w:val="20"/>
              </w:rPr>
              <w:t>20 to 24min</w:t>
            </w:r>
          </w:p>
          <w:p w:rsidR="00B40966" w:rsidRDefault="00B40966">
            <w:pPr>
              <w:pStyle w:val="TableText"/>
              <w:spacing w:before="50" w:after="50"/>
              <w:rPr>
                <w:sz w:val="20"/>
              </w:rPr>
            </w:pPr>
            <w:r>
              <w:rPr>
                <w:sz w:val="20"/>
              </w:rPr>
              <w:t>24 to 30min</w:t>
            </w:r>
          </w:p>
          <w:p w:rsidR="00B40966" w:rsidRDefault="00B40966">
            <w:pPr>
              <w:pStyle w:val="TableText"/>
              <w:spacing w:before="50" w:after="50"/>
              <w:rPr>
                <w:sz w:val="20"/>
              </w:rPr>
            </w:pPr>
            <w:r>
              <w:rPr>
                <w:sz w:val="20"/>
              </w:rPr>
              <w:t>30 to 35min</w:t>
            </w:r>
          </w:p>
          <w:p w:rsidR="00B40966" w:rsidRDefault="00B40966">
            <w:pPr>
              <w:pStyle w:val="TableText"/>
              <w:spacing w:before="50" w:after="50"/>
              <w:rPr>
                <w:sz w:val="20"/>
              </w:rPr>
            </w:pPr>
            <w:r>
              <w:rPr>
                <w:sz w:val="20"/>
              </w:rPr>
              <w:t>35 to 45min</w:t>
            </w:r>
          </w:p>
          <w:p w:rsidR="00B40966" w:rsidRDefault="00B40966">
            <w:pPr>
              <w:pStyle w:val="TableText"/>
              <w:spacing w:before="50" w:after="50"/>
              <w:rPr>
                <w:sz w:val="20"/>
              </w:rPr>
            </w:pPr>
            <w:r>
              <w:rPr>
                <w:sz w:val="20"/>
              </w:rPr>
              <w:t>45 to 55min</w:t>
            </w:r>
          </w:p>
          <w:p w:rsidR="00B40966" w:rsidRDefault="00B40966">
            <w:pPr>
              <w:pStyle w:val="TableText"/>
              <w:spacing w:before="50" w:after="50"/>
              <w:rPr>
                <w:sz w:val="20"/>
              </w:rPr>
            </w:pPr>
            <w:r>
              <w:rPr>
                <w:sz w:val="20"/>
              </w:rPr>
              <w:t>55 to 60min</w:t>
            </w:r>
          </w:p>
          <w:p w:rsidR="00B40966" w:rsidRDefault="00B40966">
            <w:pPr>
              <w:pStyle w:val="TableText"/>
              <w:spacing w:before="50" w:after="50"/>
              <w:rPr>
                <w:sz w:val="20"/>
              </w:rPr>
            </w:pPr>
            <w:r>
              <w:rPr>
                <w:sz w:val="20"/>
              </w:rPr>
              <w:t>1h to 1h 9min</w:t>
            </w:r>
          </w:p>
          <w:p w:rsidR="00B40966" w:rsidRDefault="00B40966">
            <w:pPr>
              <w:pStyle w:val="TableText"/>
              <w:spacing w:before="50" w:after="50"/>
              <w:rPr>
                <w:sz w:val="20"/>
              </w:rPr>
            </w:pPr>
            <w:r>
              <w:rPr>
                <w:sz w:val="20"/>
              </w:rPr>
              <w:t>1h 9min to 1h 18min</w:t>
            </w:r>
          </w:p>
          <w:p w:rsidR="00B40966" w:rsidRDefault="00B40966">
            <w:pPr>
              <w:pStyle w:val="TableText"/>
              <w:spacing w:before="50" w:after="50"/>
              <w:rPr>
                <w:sz w:val="20"/>
              </w:rPr>
            </w:pPr>
            <w:r>
              <w:rPr>
                <w:sz w:val="20"/>
              </w:rPr>
              <w:t>1h 18min to 1h 27min</w:t>
            </w:r>
          </w:p>
          <w:p w:rsidR="00B40966" w:rsidRDefault="00B40966">
            <w:pPr>
              <w:pStyle w:val="TableText"/>
              <w:spacing w:before="50" w:after="50"/>
              <w:rPr>
                <w:sz w:val="20"/>
              </w:rPr>
            </w:pPr>
            <w:r>
              <w:rPr>
                <w:sz w:val="20"/>
              </w:rPr>
              <w:t>1h 27min to 1h 37min</w:t>
            </w:r>
          </w:p>
          <w:p w:rsidR="00B40966" w:rsidRDefault="00B40966">
            <w:pPr>
              <w:pStyle w:val="TableText"/>
              <w:spacing w:before="50" w:after="50"/>
              <w:rPr>
                <w:sz w:val="20"/>
              </w:rPr>
            </w:pPr>
            <w:r>
              <w:rPr>
                <w:sz w:val="20"/>
              </w:rPr>
              <w:t>1h 37min to 1h 47min</w:t>
            </w:r>
          </w:p>
          <w:p w:rsidR="00B40966" w:rsidRDefault="00B40966">
            <w:pPr>
              <w:pStyle w:val="TableText"/>
              <w:spacing w:before="50" w:after="50"/>
              <w:rPr>
                <w:sz w:val="20"/>
              </w:rPr>
            </w:pPr>
            <w:r>
              <w:rPr>
                <w:sz w:val="20"/>
              </w:rPr>
              <w:t>1h 47min to 1h 56min</w:t>
            </w:r>
          </w:p>
          <w:p w:rsidR="00B40966" w:rsidRDefault="00B40966">
            <w:pPr>
              <w:pStyle w:val="TableText"/>
              <w:spacing w:before="50" w:after="50"/>
              <w:rPr>
                <w:sz w:val="20"/>
              </w:rPr>
            </w:pPr>
            <w:r>
              <w:rPr>
                <w:sz w:val="20"/>
              </w:rPr>
              <w:t>over 1h 56min</w:t>
            </w:r>
          </w:p>
        </w:tc>
        <w:tc>
          <w:tcPr>
            <w:tcW w:w="628" w:type="dxa"/>
            <w:tcBorders>
              <w:top w:val="single" w:sz="6" w:space="0" w:color="auto"/>
            </w:tcBorders>
          </w:tcPr>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tc>
        <w:tc>
          <w:tcPr>
            <w:tcW w:w="612" w:type="dxa"/>
            <w:gridSpan w:val="2"/>
            <w:tcBorders>
              <w:top w:val="single" w:sz="6" w:space="0" w:color="auto"/>
            </w:tcBorders>
          </w:tcPr>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w:t>
            </w:r>
          </w:p>
          <w:p w:rsidR="00B40966" w:rsidRDefault="00B40966">
            <w:pPr>
              <w:pStyle w:val="TableText"/>
              <w:spacing w:before="50" w:after="50"/>
              <w:rPr>
                <w:sz w:val="20"/>
              </w:rPr>
            </w:pPr>
            <w:r>
              <w:rPr>
                <w:sz w:val="20"/>
              </w:rPr>
              <w:t>5</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20</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spacing w:before="50" w:after="50"/>
              <w:rPr>
                <w:sz w:val="20"/>
              </w:rPr>
            </w:pPr>
            <w:r>
              <w:rPr>
                <w:sz w:val="20"/>
              </w:rPr>
              <w:t>2</w:t>
            </w:r>
          </w:p>
          <w:p w:rsidR="00B40966" w:rsidRDefault="00B40966">
            <w:pPr>
              <w:pStyle w:val="TableText"/>
              <w:spacing w:before="50" w:after="50"/>
              <w:rPr>
                <w:sz w:val="20"/>
              </w:rPr>
            </w:pPr>
            <w:r>
              <w:rPr>
                <w:sz w:val="20"/>
              </w:rPr>
              <w:t>2</w:t>
            </w:r>
          </w:p>
          <w:p w:rsidR="00B40966" w:rsidRDefault="00B40966">
            <w:pPr>
              <w:pStyle w:val="TableText"/>
              <w:spacing w:before="50" w:after="50"/>
              <w:rPr>
                <w:sz w:val="20"/>
              </w:rPr>
            </w:pPr>
            <w:r>
              <w:rPr>
                <w:sz w:val="20"/>
              </w:rPr>
              <w:t>3</w:t>
            </w:r>
          </w:p>
          <w:p w:rsidR="00B40966" w:rsidRDefault="00B40966">
            <w:pPr>
              <w:pStyle w:val="TableText"/>
              <w:spacing w:before="50" w:after="50"/>
              <w:rPr>
                <w:sz w:val="20"/>
              </w:rPr>
            </w:pPr>
            <w:r>
              <w:rPr>
                <w:sz w:val="20"/>
              </w:rPr>
              <w:t>5</w:t>
            </w:r>
          </w:p>
          <w:p w:rsidR="00B40966" w:rsidRDefault="00B40966">
            <w:pPr>
              <w:pStyle w:val="TableText"/>
              <w:spacing w:before="50" w:after="50"/>
              <w:rPr>
                <w:sz w:val="20"/>
              </w:rPr>
            </w:pPr>
            <w:r>
              <w:rPr>
                <w:sz w:val="20"/>
              </w:rPr>
              <w:t>5</w:t>
            </w:r>
          </w:p>
          <w:p w:rsidR="00B40966" w:rsidRDefault="00B40966">
            <w:pPr>
              <w:pStyle w:val="TableText"/>
              <w:spacing w:before="50" w:after="50"/>
              <w:rPr>
                <w:sz w:val="20"/>
              </w:rPr>
            </w:pPr>
            <w:r>
              <w:rPr>
                <w:sz w:val="20"/>
              </w:rPr>
              <w:t>7</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25</w:t>
            </w:r>
          </w:p>
        </w:tc>
        <w:tc>
          <w:tcPr>
            <w:tcW w:w="588" w:type="dxa"/>
            <w:tcBorders>
              <w:top w:val="single" w:sz="6" w:space="0" w:color="auto"/>
            </w:tcBorders>
          </w:tcPr>
          <w:p w:rsidR="00B40966" w:rsidRDefault="00B40966">
            <w:pPr>
              <w:pStyle w:val="TableText"/>
              <w:spacing w:before="50" w:after="50"/>
              <w:rPr>
                <w:sz w:val="20"/>
              </w:rPr>
            </w:pPr>
            <w:r>
              <w:rPr>
                <w:sz w:val="20"/>
              </w:rPr>
              <w:t>4</w:t>
            </w:r>
          </w:p>
          <w:p w:rsidR="00B40966" w:rsidRDefault="00B40966">
            <w:pPr>
              <w:pStyle w:val="TableText"/>
              <w:spacing w:before="50" w:after="50"/>
              <w:rPr>
                <w:sz w:val="20"/>
              </w:rPr>
            </w:pPr>
            <w:r>
              <w:rPr>
                <w:sz w:val="20"/>
              </w:rPr>
              <w:t>4</w:t>
            </w:r>
          </w:p>
          <w:p w:rsidR="00B40966" w:rsidRDefault="00B40966">
            <w:pPr>
              <w:pStyle w:val="TableText"/>
              <w:spacing w:before="50" w:after="50"/>
              <w:rPr>
                <w:sz w:val="20"/>
              </w:rPr>
            </w:pPr>
            <w:r>
              <w:rPr>
                <w:sz w:val="20"/>
              </w:rPr>
              <w:t>5</w:t>
            </w:r>
          </w:p>
          <w:p w:rsidR="00B40966" w:rsidRDefault="00B40966">
            <w:pPr>
              <w:pStyle w:val="TableText"/>
              <w:spacing w:before="50" w:after="50"/>
              <w:rPr>
                <w:sz w:val="20"/>
              </w:rPr>
            </w:pPr>
            <w:r>
              <w:rPr>
                <w:sz w:val="20"/>
              </w:rPr>
              <w:t>6</w:t>
            </w:r>
          </w:p>
          <w:p w:rsidR="00B40966" w:rsidRDefault="00B40966">
            <w:pPr>
              <w:pStyle w:val="TableText"/>
              <w:spacing w:before="50" w:after="50"/>
              <w:rPr>
                <w:sz w:val="20"/>
              </w:rPr>
            </w:pPr>
            <w:r>
              <w:rPr>
                <w:sz w:val="20"/>
              </w:rPr>
              <w:t>8</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spacing w:before="50" w:after="50"/>
              <w:rPr>
                <w:sz w:val="20"/>
              </w:rPr>
            </w:pPr>
            <w:r>
              <w:rPr>
                <w:sz w:val="20"/>
              </w:rPr>
              <w:t>8</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10</w:t>
            </w:r>
          </w:p>
          <w:p w:rsidR="00B40966" w:rsidRDefault="00B40966">
            <w:pPr>
              <w:pStyle w:val="TableText"/>
              <w:spacing w:before="50" w:after="50"/>
              <w:rPr>
                <w:sz w:val="20"/>
              </w:rPr>
            </w:pPr>
            <w:r>
              <w:rPr>
                <w:sz w:val="20"/>
              </w:rPr>
              <w:t>12</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25</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35</w:t>
            </w:r>
          </w:p>
        </w:tc>
        <w:tc>
          <w:tcPr>
            <w:tcW w:w="720" w:type="dxa"/>
            <w:gridSpan w:val="2"/>
            <w:tcBorders>
              <w:top w:val="single" w:sz="6" w:space="0" w:color="auto"/>
            </w:tcBorders>
          </w:tcPr>
          <w:p w:rsidR="00B40966" w:rsidRDefault="00B40966">
            <w:pPr>
              <w:pStyle w:val="TableText"/>
              <w:spacing w:before="50" w:after="50"/>
              <w:rPr>
                <w:sz w:val="20"/>
              </w:rPr>
            </w:pPr>
            <w:r>
              <w:rPr>
                <w:sz w:val="20"/>
              </w:rPr>
              <w:t>9</w:t>
            </w:r>
          </w:p>
          <w:p w:rsidR="00B40966" w:rsidRDefault="00B40966">
            <w:pPr>
              <w:pStyle w:val="TableText"/>
              <w:spacing w:before="50" w:after="50"/>
              <w:rPr>
                <w:sz w:val="20"/>
              </w:rPr>
            </w:pPr>
            <w:r>
              <w:rPr>
                <w:sz w:val="20"/>
              </w:rPr>
              <w:t>12</w:t>
            </w:r>
          </w:p>
          <w:p w:rsidR="00B40966" w:rsidRDefault="00B40966">
            <w:pPr>
              <w:pStyle w:val="TableText"/>
              <w:spacing w:before="50" w:after="50"/>
              <w:rPr>
                <w:sz w:val="20"/>
              </w:rPr>
            </w:pPr>
            <w:r>
              <w:rPr>
                <w:sz w:val="20"/>
              </w:rPr>
              <w:t>15</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25</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spacing w:before="50" w:after="50"/>
              <w:rPr>
                <w:sz w:val="20"/>
              </w:rPr>
            </w:pPr>
            <w:r>
              <w:rPr>
                <w:sz w:val="20"/>
              </w:rPr>
              <w:t>12</w:t>
            </w:r>
          </w:p>
          <w:p w:rsidR="00B40966" w:rsidRDefault="00B40966">
            <w:pPr>
              <w:pStyle w:val="TableText"/>
              <w:spacing w:before="50" w:after="50"/>
              <w:rPr>
                <w:sz w:val="20"/>
              </w:rPr>
            </w:pPr>
            <w:r>
              <w:rPr>
                <w:sz w:val="20"/>
              </w:rPr>
              <w:t>17</w:t>
            </w:r>
          </w:p>
          <w:p w:rsidR="00B40966" w:rsidRDefault="00B40966">
            <w:pPr>
              <w:pStyle w:val="TableText"/>
              <w:spacing w:before="50" w:after="50"/>
              <w:rPr>
                <w:sz w:val="20"/>
              </w:rPr>
            </w:pPr>
            <w:r>
              <w:rPr>
                <w:sz w:val="20"/>
              </w:rPr>
              <w:t>20</w:t>
            </w:r>
          </w:p>
          <w:p w:rsidR="00B40966" w:rsidRDefault="00B40966">
            <w:pPr>
              <w:pStyle w:val="TableText"/>
              <w:spacing w:before="50" w:after="50"/>
              <w:rPr>
                <w:sz w:val="20"/>
              </w:rPr>
            </w:pPr>
            <w:r>
              <w:rPr>
                <w:sz w:val="20"/>
              </w:rPr>
              <w:t>25</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30</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35</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p w:rsidR="00B40966" w:rsidRDefault="00B40966">
            <w:pPr>
              <w:pStyle w:val="TableText"/>
              <w:spacing w:before="50" w:after="50"/>
              <w:rPr>
                <w:sz w:val="20"/>
              </w:rPr>
            </w:pPr>
            <w:r>
              <w:rPr>
                <w:sz w:val="20"/>
              </w:rPr>
              <w:t>40</w:t>
            </w:r>
          </w:p>
        </w:tc>
        <w:tc>
          <w:tcPr>
            <w:tcW w:w="1020" w:type="dxa"/>
            <w:gridSpan w:val="2"/>
            <w:tcBorders>
              <w:top w:val="single" w:sz="6" w:space="0" w:color="auto"/>
            </w:tcBorders>
          </w:tcPr>
          <w:p w:rsidR="00B40966" w:rsidRDefault="00B40966">
            <w:pPr>
              <w:pStyle w:val="TableText"/>
              <w:spacing w:before="50" w:after="50"/>
              <w:rPr>
                <w:sz w:val="20"/>
              </w:rPr>
            </w:pPr>
            <w:r>
              <w:rPr>
                <w:sz w:val="20"/>
              </w:rPr>
              <w:t>38</w:t>
            </w:r>
          </w:p>
          <w:p w:rsidR="00B40966" w:rsidRDefault="00B40966">
            <w:pPr>
              <w:pStyle w:val="TableText"/>
              <w:spacing w:before="50" w:after="50"/>
              <w:rPr>
                <w:sz w:val="20"/>
              </w:rPr>
            </w:pPr>
            <w:r>
              <w:rPr>
                <w:sz w:val="20"/>
              </w:rPr>
              <w:t>48</w:t>
            </w:r>
          </w:p>
          <w:p w:rsidR="00B40966" w:rsidRDefault="00B40966">
            <w:pPr>
              <w:pStyle w:val="TableText"/>
              <w:spacing w:before="50" w:after="50"/>
              <w:rPr>
                <w:sz w:val="20"/>
              </w:rPr>
            </w:pPr>
            <w:r>
              <w:rPr>
                <w:sz w:val="20"/>
              </w:rPr>
              <w:t>56</w:t>
            </w:r>
          </w:p>
          <w:p w:rsidR="00B40966" w:rsidRDefault="00B40966">
            <w:pPr>
              <w:pStyle w:val="TableText"/>
              <w:spacing w:before="50" w:after="50"/>
              <w:rPr>
                <w:sz w:val="20"/>
              </w:rPr>
            </w:pPr>
            <w:r>
              <w:rPr>
                <w:sz w:val="20"/>
              </w:rPr>
              <w:t>71</w:t>
            </w:r>
          </w:p>
          <w:p w:rsidR="00B40966" w:rsidRDefault="00B40966">
            <w:pPr>
              <w:pStyle w:val="TableText"/>
              <w:spacing w:before="50" w:after="50"/>
              <w:rPr>
                <w:sz w:val="20"/>
              </w:rPr>
            </w:pPr>
            <w:r>
              <w:rPr>
                <w:sz w:val="20"/>
              </w:rPr>
              <w:t>86</w:t>
            </w:r>
          </w:p>
          <w:p w:rsidR="00B40966" w:rsidRDefault="00B40966">
            <w:pPr>
              <w:pStyle w:val="TableText"/>
              <w:spacing w:before="50" w:after="50"/>
              <w:rPr>
                <w:sz w:val="20"/>
              </w:rPr>
            </w:pPr>
            <w:r>
              <w:rPr>
                <w:sz w:val="20"/>
              </w:rPr>
              <w:t>95</w:t>
            </w:r>
          </w:p>
          <w:p w:rsidR="00B40966" w:rsidRDefault="00B40966">
            <w:pPr>
              <w:pStyle w:val="TableText"/>
              <w:spacing w:before="50" w:after="50"/>
              <w:rPr>
                <w:sz w:val="20"/>
              </w:rPr>
            </w:pPr>
            <w:r>
              <w:rPr>
                <w:sz w:val="20"/>
              </w:rPr>
              <w:t>108</w:t>
            </w:r>
          </w:p>
          <w:p w:rsidR="00B40966" w:rsidRDefault="00B40966">
            <w:pPr>
              <w:pStyle w:val="TableText"/>
              <w:spacing w:before="50" w:after="50"/>
              <w:rPr>
                <w:sz w:val="20"/>
              </w:rPr>
            </w:pPr>
            <w:r>
              <w:rPr>
                <w:sz w:val="20"/>
              </w:rPr>
              <w:t>123</w:t>
            </w:r>
          </w:p>
          <w:p w:rsidR="00B40966" w:rsidRDefault="00B40966">
            <w:pPr>
              <w:pStyle w:val="TableText"/>
              <w:spacing w:before="50" w:after="50"/>
              <w:rPr>
                <w:sz w:val="20"/>
              </w:rPr>
            </w:pPr>
            <w:r>
              <w:rPr>
                <w:sz w:val="20"/>
              </w:rPr>
              <w:t>138</w:t>
            </w:r>
          </w:p>
          <w:p w:rsidR="00B40966" w:rsidRDefault="00B40966">
            <w:pPr>
              <w:pStyle w:val="TableText"/>
              <w:spacing w:before="50" w:after="50"/>
              <w:rPr>
                <w:sz w:val="20"/>
              </w:rPr>
            </w:pPr>
            <w:r>
              <w:rPr>
                <w:sz w:val="20"/>
              </w:rPr>
              <w:t>153</w:t>
            </w:r>
          </w:p>
          <w:p w:rsidR="00B40966" w:rsidRDefault="00B40966">
            <w:pPr>
              <w:pStyle w:val="TableText"/>
              <w:spacing w:before="50" w:after="50"/>
              <w:rPr>
                <w:sz w:val="20"/>
              </w:rPr>
            </w:pPr>
            <w:r>
              <w:rPr>
                <w:sz w:val="20"/>
              </w:rPr>
              <w:t>168</w:t>
            </w:r>
          </w:p>
          <w:p w:rsidR="00B40966" w:rsidRDefault="00B40966">
            <w:pPr>
              <w:pStyle w:val="TableText"/>
              <w:spacing w:before="50" w:after="50"/>
              <w:rPr>
                <w:sz w:val="20"/>
              </w:rPr>
            </w:pPr>
            <w:r>
              <w:rPr>
                <w:sz w:val="20"/>
              </w:rPr>
              <w:t>183</w:t>
            </w:r>
          </w:p>
          <w:p w:rsidR="00B40966" w:rsidRDefault="00B40966">
            <w:pPr>
              <w:pStyle w:val="TableText"/>
              <w:spacing w:before="50" w:after="50"/>
              <w:rPr>
                <w:sz w:val="20"/>
              </w:rPr>
            </w:pPr>
            <w:r>
              <w:rPr>
                <w:sz w:val="20"/>
              </w:rPr>
              <w:t>193</w:t>
            </w:r>
          </w:p>
        </w:tc>
      </w:tr>
      <w:tr w:rsidR="00B40966">
        <w:trPr>
          <w:gridAfter w:val="3"/>
          <w:wAfter w:w="56" w:type="dxa"/>
        </w:trPr>
        <w:tc>
          <w:tcPr>
            <w:tcW w:w="660" w:type="dxa"/>
            <w:tcBorders>
              <w:top w:val="single" w:sz="6" w:space="0" w:color="auto"/>
              <w:right w:val="single" w:sz="6" w:space="0" w:color="auto"/>
            </w:tcBorders>
          </w:tcPr>
          <w:p w:rsidR="00B40966" w:rsidRDefault="00B40966">
            <w:pPr>
              <w:pStyle w:val="TableText"/>
              <w:rPr>
                <w:sz w:val="20"/>
              </w:rPr>
            </w:pPr>
            <w:r>
              <w:rPr>
                <w:sz w:val="20"/>
              </w:rPr>
              <w:t>168</w:t>
            </w:r>
          </w:p>
        </w:tc>
        <w:tc>
          <w:tcPr>
            <w:tcW w:w="880" w:type="dxa"/>
            <w:tcBorders>
              <w:top w:val="single" w:sz="6" w:space="0" w:color="auto"/>
            </w:tcBorders>
          </w:tcPr>
          <w:p w:rsidR="00B40966" w:rsidRDefault="00B40966">
            <w:pPr>
              <w:pStyle w:val="TableText"/>
              <w:rPr>
                <w:sz w:val="20"/>
              </w:rPr>
            </w:pPr>
            <w:r>
              <w:rPr>
                <w:sz w:val="20"/>
              </w:rPr>
              <w:t>28</w:t>
            </w:r>
          </w:p>
        </w:tc>
        <w:tc>
          <w:tcPr>
            <w:tcW w:w="98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75</w:t>
            </w:r>
          </w:p>
        </w:tc>
        <w:tc>
          <w:tcPr>
            <w:tcW w:w="3072" w:type="dxa"/>
            <w:tcBorders>
              <w:top w:val="single" w:sz="6" w:space="0" w:color="auto"/>
              <w:right w:val="single" w:sz="6" w:space="0" w:color="auto"/>
            </w:tcBorders>
          </w:tcPr>
          <w:p w:rsidR="00B40966" w:rsidRDefault="00B40966">
            <w:pPr>
              <w:pStyle w:val="TableText"/>
              <w:rPr>
                <w:sz w:val="20"/>
              </w:rPr>
            </w:pPr>
            <w:r>
              <w:rPr>
                <w:sz w:val="20"/>
              </w:rPr>
              <w:t>16 to 23min</w:t>
            </w:r>
          </w:p>
          <w:p w:rsidR="00B40966" w:rsidRDefault="00B40966">
            <w:pPr>
              <w:pStyle w:val="TableText"/>
              <w:rPr>
                <w:sz w:val="20"/>
              </w:rPr>
            </w:pPr>
            <w:r>
              <w:rPr>
                <w:sz w:val="20"/>
              </w:rPr>
              <w:t>23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50min</w:t>
            </w:r>
          </w:p>
          <w:p w:rsidR="00B40966" w:rsidRDefault="00B40966">
            <w:pPr>
              <w:pStyle w:val="TableText"/>
              <w:rPr>
                <w:sz w:val="20"/>
              </w:rPr>
            </w:pPr>
            <w:r>
              <w:rPr>
                <w:sz w:val="20"/>
              </w:rPr>
              <w:t>50 to 60min</w:t>
            </w:r>
          </w:p>
          <w:p w:rsidR="00B40966" w:rsidRDefault="00B40966">
            <w:pPr>
              <w:pStyle w:val="TableText"/>
              <w:rPr>
                <w:sz w:val="20"/>
              </w:rPr>
            </w:pPr>
            <w:r>
              <w:rPr>
                <w:sz w:val="20"/>
              </w:rPr>
              <w:t>1h to 1</w:t>
            </w:r>
            <w:r>
              <w:rPr>
                <w:position w:val="6"/>
                <w:sz w:val="20"/>
              </w:rPr>
              <w:t>1</w:t>
            </w:r>
            <w:r>
              <w:rPr>
                <w:sz w:val="20"/>
              </w:rPr>
              <w:t>/4h</w:t>
            </w:r>
          </w:p>
          <w:p w:rsidR="00B40966" w:rsidRDefault="00B40966">
            <w:pPr>
              <w:pStyle w:val="TableText"/>
              <w:rPr>
                <w:sz w:val="20"/>
              </w:rPr>
            </w:pPr>
            <w:r>
              <w:rPr>
                <w:sz w:val="20"/>
              </w:rPr>
              <w:t>1</w:t>
            </w:r>
            <w:r>
              <w:rPr>
                <w:position w:val="6"/>
                <w:sz w:val="20"/>
              </w:rPr>
              <w:t>1</w:t>
            </w:r>
            <w:r>
              <w:rPr>
                <w:sz w:val="20"/>
              </w:rPr>
              <w:t>/4 to 1</w:t>
            </w:r>
            <w:r>
              <w:rPr>
                <w:position w:val="6"/>
                <w:sz w:val="20"/>
              </w:rPr>
              <w:t>1</w:t>
            </w:r>
            <w:r>
              <w:rPr>
                <w:sz w:val="20"/>
              </w:rPr>
              <w:t>/2h</w:t>
            </w:r>
          </w:p>
          <w:p w:rsidR="00B40966" w:rsidRDefault="00B40966">
            <w:pPr>
              <w:pStyle w:val="TableText"/>
              <w:rPr>
                <w:sz w:val="20"/>
              </w:rPr>
            </w:pPr>
            <w:r>
              <w:rPr>
                <w:sz w:val="20"/>
              </w:rPr>
              <w:t>1</w:t>
            </w:r>
            <w:r>
              <w:rPr>
                <w:position w:val="6"/>
                <w:sz w:val="20"/>
              </w:rPr>
              <w:t>1</w:t>
            </w:r>
            <w:r>
              <w:rPr>
                <w:sz w:val="20"/>
              </w:rPr>
              <w:t>/2h to 1h 40min</w:t>
            </w:r>
          </w:p>
          <w:p w:rsidR="00B40966" w:rsidRDefault="00B40966">
            <w:pPr>
              <w:pStyle w:val="TableText"/>
              <w:rPr>
                <w:sz w:val="20"/>
              </w:rPr>
            </w:pPr>
            <w:r>
              <w:rPr>
                <w:sz w:val="20"/>
              </w:rPr>
              <w:t>1h 40min to 1h 55min</w:t>
            </w:r>
          </w:p>
          <w:p w:rsidR="00B40966" w:rsidRDefault="00B40966">
            <w:pPr>
              <w:pStyle w:val="TableText"/>
              <w:rPr>
                <w:sz w:val="20"/>
              </w:rPr>
            </w:pPr>
            <w:r>
              <w:rPr>
                <w:sz w:val="20"/>
              </w:rPr>
              <w:t>over 1h 55min</w:t>
            </w:r>
          </w:p>
        </w:tc>
        <w:tc>
          <w:tcPr>
            <w:tcW w:w="628" w:type="dxa"/>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tc>
        <w:tc>
          <w:tcPr>
            <w:tcW w:w="612" w:type="dxa"/>
            <w:gridSpan w:val="2"/>
            <w:tcBorders>
              <w:top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13</w:t>
            </w:r>
          </w:p>
          <w:p w:rsidR="00B40966" w:rsidRDefault="00B40966">
            <w:pPr>
              <w:pStyle w:val="TableText"/>
              <w:rPr>
                <w:sz w:val="20"/>
              </w:rPr>
            </w:pPr>
            <w:r>
              <w:rPr>
                <w:sz w:val="20"/>
              </w:rPr>
              <w:t>17</w:t>
            </w:r>
          </w:p>
          <w:p w:rsidR="00B40966" w:rsidRDefault="00B40966">
            <w:pPr>
              <w:pStyle w:val="TableText"/>
              <w:rPr>
                <w:sz w:val="20"/>
              </w:rPr>
            </w:pPr>
            <w:r>
              <w:rPr>
                <w:sz w:val="20"/>
              </w:rPr>
              <w:t>25</w:t>
            </w:r>
          </w:p>
        </w:tc>
        <w:tc>
          <w:tcPr>
            <w:tcW w:w="60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6</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tc>
        <w:tc>
          <w:tcPr>
            <w:tcW w:w="588" w:type="dxa"/>
            <w:tcBorders>
              <w:top w:val="single" w:sz="6" w:space="0" w:color="auto"/>
            </w:tcBorders>
          </w:tcPr>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60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12</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tc>
        <w:tc>
          <w:tcPr>
            <w:tcW w:w="720" w:type="dxa"/>
            <w:gridSpan w:val="2"/>
            <w:tcBorders>
              <w:top w:val="single" w:sz="6" w:space="0" w:color="auto"/>
            </w:tcBorders>
          </w:tcPr>
          <w:p w:rsidR="00B40966" w:rsidRDefault="00B40966">
            <w:pPr>
              <w:pStyle w:val="TableText"/>
              <w:rPr>
                <w:sz w:val="20"/>
              </w:rPr>
            </w:pPr>
            <w:r>
              <w:rPr>
                <w:sz w:val="20"/>
              </w:rPr>
              <w:t>11</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612"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top w:val="single" w:sz="6" w:space="0" w:color="auto"/>
            </w:tcBorders>
          </w:tcPr>
          <w:p w:rsidR="00B40966" w:rsidRDefault="00B40966">
            <w:pPr>
              <w:pStyle w:val="TableText"/>
              <w:rPr>
                <w:sz w:val="20"/>
              </w:rPr>
            </w:pPr>
            <w:r>
              <w:rPr>
                <w:sz w:val="20"/>
              </w:rPr>
              <w:t>43</w:t>
            </w:r>
          </w:p>
          <w:p w:rsidR="00B40966" w:rsidRDefault="00B40966">
            <w:pPr>
              <w:pStyle w:val="TableText"/>
              <w:rPr>
                <w:sz w:val="20"/>
              </w:rPr>
            </w:pPr>
            <w:r>
              <w:rPr>
                <w:sz w:val="20"/>
              </w:rPr>
              <w:t>56</w:t>
            </w:r>
          </w:p>
          <w:p w:rsidR="00B40966" w:rsidRDefault="00B40966">
            <w:pPr>
              <w:pStyle w:val="TableText"/>
              <w:rPr>
                <w:sz w:val="20"/>
              </w:rPr>
            </w:pPr>
            <w:r>
              <w:rPr>
                <w:sz w:val="20"/>
              </w:rPr>
              <w:t>71</w:t>
            </w:r>
          </w:p>
          <w:p w:rsidR="00B40966" w:rsidRDefault="00B40966">
            <w:pPr>
              <w:pStyle w:val="TableText"/>
              <w:rPr>
                <w:sz w:val="20"/>
              </w:rPr>
            </w:pPr>
            <w:r>
              <w:rPr>
                <w:sz w:val="20"/>
              </w:rPr>
              <w:t>86</w:t>
            </w:r>
          </w:p>
          <w:p w:rsidR="00B40966" w:rsidRDefault="00B40966">
            <w:pPr>
              <w:pStyle w:val="TableText"/>
              <w:rPr>
                <w:sz w:val="20"/>
              </w:rPr>
            </w:pPr>
            <w:r>
              <w:rPr>
                <w:sz w:val="20"/>
              </w:rPr>
              <w:t>101</w:t>
            </w:r>
          </w:p>
          <w:p w:rsidR="00B40966" w:rsidRDefault="00B40966">
            <w:pPr>
              <w:pStyle w:val="TableText"/>
              <w:rPr>
                <w:sz w:val="20"/>
              </w:rPr>
            </w:pPr>
            <w:r>
              <w:rPr>
                <w:sz w:val="20"/>
              </w:rPr>
              <w:t>123</w:t>
            </w:r>
          </w:p>
          <w:p w:rsidR="00B40966" w:rsidRDefault="00B40966">
            <w:pPr>
              <w:pStyle w:val="TableText"/>
              <w:rPr>
                <w:sz w:val="20"/>
              </w:rPr>
            </w:pPr>
            <w:r>
              <w:rPr>
                <w:sz w:val="20"/>
              </w:rPr>
              <w:t>143</w:t>
            </w:r>
          </w:p>
          <w:p w:rsidR="00B40966" w:rsidRDefault="00B40966">
            <w:pPr>
              <w:pStyle w:val="TableText"/>
              <w:rPr>
                <w:sz w:val="20"/>
              </w:rPr>
            </w:pPr>
            <w:r>
              <w:rPr>
                <w:sz w:val="20"/>
              </w:rPr>
              <w:t>163</w:t>
            </w:r>
          </w:p>
          <w:p w:rsidR="00B40966" w:rsidRDefault="00B40966">
            <w:pPr>
              <w:pStyle w:val="TableText"/>
              <w:rPr>
                <w:sz w:val="20"/>
              </w:rPr>
            </w:pPr>
            <w:r>
              <w:rPr>
                <w:sz w:val="20"/>
              </w:rPr>
              <w:t>183</w:t>
            </w:r>
          </w:p>
          <w:p w:rsidR="00B40966" w:rsidRDefault="00B40966">
            <w:pPr>
              <w:pStyle w:val="TableText"/>
              <w:rPr>
                <w:sz w:val="20"/>
              </w:rPr>
            </w:pPr>
            <w:r>
              <w:rPr>
                <w:sz w:val="20"/>
              </w:rPr>
              <w:t>203</w:t>
            </w:r>
          </w:p>
        </w:tc>
      </w:tr>
      <w:tr w:rsidR="00B40966">
        <w:trPr>
          <w:gridAfter w:val="3"/>
          <w:wAfter w:w="56" w:type="dxa"/>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180*</w:t>
            </w:r>
          </w:p>
        </w:tc>
        <w:tc>
          <w:tcPr>
            <w:tcW w:w="880" w:type="dxa"/>
            <w:tcBorders>
              <w:top w:val="single" w:sz="6" w:space="0" w:color="auto"/>
              <w:bottom w:val="single" w:sz="6" w:space="0" w:color="auto"/>
            </w:tcBorders>
          </w:tcPr>
          <w:p w:rsidR="00B40966" w:rsidRDefault="00B40966">
            <w:pPr>
              <w:pStyle w:val="TableText"/>
              <w:rPr>
                <w:sz w:val="20"/>
              </w:rPr>
            </w:pPr>
            <w:r>
              <w:rPr>
                <w:sz w:val="20"/>
              </w:rPr>
              <w:t>30</w:t>
            </w:r>
          </w:p>
        </w:tc>
        <w:tc>
          <w:tcPr>
            <w:tcW w:w="98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80</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14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50min</w:t>
            </w:r>
          </w:p>
          <w:p w:rsidR="00B40966" w:rsidRDefault="00B40966">
            <w:pPr>
              <w:pStyle w:val="TableText"/>
              <w:rPr>
                <w:sz w:val="20"/>
              </w:rPr>
            </w:pPr>
            <w:r>
              <w:rPr>
                <w:sz w:val="20"/>
              </w:rPr>
              <w:t>50 to 60min</w:t>
            </w:r>
          </w:p>
          <w:p w:rsidR="00B40966" w:rsidRDefault="00B40966">
            <w:pPr>
              <w:pStyle w:val="TableText"/>
              <w:rPr>
                <w:sz w:val="20"/>
              </w:rPr>
            </w:pPr>
            <w:r>
              <w:rPr>
                <w:sz w:val="20"/>
              </w:rPr>
              <w:t>1h to 1h 11min</w:t>
            </w:r>
          </w:p>
          <w:p w:rsidR="00B40966" w:rsidRDefault="00B40966">
            <w:pPr>
              <w:pStyle w:val="TableText"/>
              <w:rPr>
                <w:sz w:val="20"/>
              </w:rPr>
            </w:pPr>
            <w:r>
              <w:rPr>
                <w:sz w:val="20"/>
              </w:rPr>
              <w:t>1h 11min to 1h 23min</w:t>
            </w:r>
          </w:p>
          <w:p w:rsidR="00B40966" w:rsidRDefault="00B40966">
            <w:pPr>
              <w:pStyle w:val="TableText"/>
              <w:rPr>
                <w:sz w:val="20"/>
              </w:rPr>
            </w:pPr>
            <w:r>
              <w:rPr>
                <w:sz w:val="20"/>
              </w:rPr>
              <w:t>1h 23min to 1h 34min</w:t>
            </w:r>
          </w:p>
          <w:p w:rsidR="00B40966" w:rsidRDefault="00B40966">
            <w:pPr>
              <w:pStyle w:val="TableText"/>
              <w:rPr>
                <w:sz w:val="20"/>
              </w:rPr>
            </w:pPr>
            <w:r>
              <w:rPr>
                <w:sz w:val="20"/>
              </w:rPr>
              <w:t>1h 34min to 1h 46min</w:t>
            </w:r>
          </w:p>
          <w:p w:rsidR="00B40966" w:rsidRDefault="00B40966">
            <w:pPr>
              <w:pStyle w:val="TableText"/>
              <w:rPr>
                <w:sz w:val="20"/>
              </w:rPr>
            </w:pPr>
            <w:r>
              <w:rPr>
                <w:sz w:val="20"/>
              </w:rPr>
              <w:t>over 1h 46min</w:t>
            </w:r>
          </w:p>
        </w:tc>
        <w:tc>
          <w:tcPr>
            <w:tcW w:w="628"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8"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8</w:t>
            </w:r>
          </w:p>
          <w:p w:rsidR="00B40966" w:rsidRDefault="00B40966">
            <w:pPr>
              <w:pStyle w:val="TableText"/>
              <w:rPr>
                <w:sz w:val="20"/>
              </w:rPr>
            </w:pPr>
            <w:r>
              <w:rPr>
                <w:sz w:val="20"/>
              </w:rPr>
              <w:t>8</w:t>
            </w:r>
          </w:p>
          <w:p w:rsidR="00B40966" w:rsidRDefault="00B40966">
            <w:pPr>
              <w:pStyle w:val="TableText"/>
              <w:rPr>
                <w:sz w:val="20"/>
              </w:rPr>
            </w:pPr>
            <w:r>
              <w:rPr>
                <w:sz w:val="20"/>
              </w:rPr>
              <w:t>15</w:t>
            </w:r>
          </w:p>
        </w:tc>
        <w:tc>
          <w:tcPr>
            <w:tcW w:w="612" w:type="dxa"/>
            <w:gridSpan w:val="2"/>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2</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20</w:t>
            </w:r>
          </w:p>
          <w:p w:rsidR="00B40966" w:rsidRDefault="00B40966">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588" w:type="dxa"/>
            <w:tcBorders>
              <w:top w:val="single" w:sz="6" w:space="0" w:color="auto"/>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14</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720" w:type="dxa"/>
            <w:gridSpan w:val="2"/>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top w:val="single" w:sz="6" w:space="0" w:color="auto"/>
              <w:bottom w:val="single" w:sz="6" w:space="0" w:color="auto"/>
            </w:tcBorders>
          </w:tcPr>
          <w:p w:rsidR="00B40966" w:rsidRDefault="00B40966">
            <w:pPr>
              <w:pStyle w:val="TableText"/>
              <w:rPr>
                <w:sz w:val="20"/>
              </w:rPr>
            </w:pPr>
            <w:r>
              <w:rPr>
                <w:sz w:val="20"/>
              </w:rPr>
              <w:t>41</w:t>
            </w:r>
          </w:p>
          <w:p w:rsidR="00B40966" w:rsidRDefault="00B40966">
            <w:pPr>
              <w:pStyle w:val="TableText"/>
              <w:rPr>
                <w:sz w:val="20"/>
              </w:rPr>
            </w:pPr>
            <w:r>
              <w:rPr>
                <w:sz w:val="20"/>
              </w:rPr>
              <w:t>60</w:t>
            </w:r>
          </w:p>
          <w:p w:rsidR="00B40966" w:rsidRDefault="00B40966">
            <w:pPr>
              <w:pStyle w:val="TableText"/>
              <w:rPr>
                <w:sz w:val="20"/>
              </w:rPr>
            </w:pPr>
            <w:r>
              <w:rPr>
                <w:sz w:val="20"/>
              </w:rPr>
              <w:t>77</w:t>
            </w:r>
          </w:p>
          <w:p w:rsidR="00B40966" w:rsidRDefault="00B40966">
            <w:pPr>
              <w:pStyle w:val="TableText"/>
              <w:rPr>
                <w:sz w:val="20"/>
              </w:rPr>
            </w:pPr>
            <w:r>
              <w:rPr>
                <w:sz w:val="20"/>
              </w:rPr>
              <w:t>94</w:t>
            </w:r>
          </w:p>
          <w:p w:rsidR="00B40966" w:rsidRDefault="00B40966">
            <w:pPr>
              <w:pStyle w:val="TableText"/>
              <w:rPr>
                <w:sz w:val="20"/>
              </w:rPr>
            </w:pPr>
            <w:r>
              <w:rPr>
                <w:sz w:val="20"/>
              </w:rPr>
              <w:t>111</w:t>
            </w:r>
          </w:p>
          <w:p w:rsidR="00B40966" w:rsidRDefault="00B40966">
            <w:pPr>
              <w:pStyle w:val="TableText"/>
              <w:rPr>
                <w:sz w:val="20"/>
              </w:rPr>
            </w:pPr>
            <w:r>
              <w:rPr>
                <w:sz w:val="20"/>
              </w:rPr>
              <w:t>131</w:t>
            </w:r>
          </w:p>
          <w:p w:rsidR="00B40966" w:rsidRDefault="00B40966">
            <w:pPr>
              <w:pStyle w:val="TableText"/>
              <w:rPr>
                <w:sz w:val="20"/>
              </w:rPr>
            </w:pPr>
            <w:r>
              <w:rPr>
                <w:sz w:val="20"/>
              </w:rPr>
              <w:t>151</w:t>
            </w:r>
          </w:p>
          <w:p w:rsidR="00B40966" w:rsidRDefault="00B40966">
            <w:pPr>
              <w:pStyle w:val="TableText"/>
              <w:rPr>
                <w:sz w:val="20"/>
              </w:rPr>
            </w:pPr>
            <w:r>
              <w:rPr>
                <w:sz w:val="20"/>
              </w:rPr>
              <w:t>171</w:t>
            </w:r>
          </w:p>
          <w:p w:rsidR="00B40966" w:rsidRDefault="00B40966">
            <w:pPr>
              <w:pStyle w:val="TableText"/>
              <w:rPr>
                <w:sz w:val="20"/>
              </w:rPr>
            </w:pPr>
            <w:r>
              <w:rPr>
                <w:sz w:val="20"/>
              </w:rPr>
              <w:t>191</w:t>
            </w:r>
          </w:p>
          <w:p w:rsidR="00B40966" w:rsidRDefault="00B40966">
            <w:pPr>
              <w:pStyle w:val="TableText"/>
              <w:rPr>
                <w:sz w:val="20"/>
              </w:rPr>
            </w:pPr>
            <w:r>
              <w:rPr>
                <w:sz w:val="20"/>
              </w:rPr>
              <w:t>218</w:t>
            </w:r>
          </w:p>
        </w:tc>
      </w:tr>
      <w:tr w:rsidR="00B40966">
        <w:trPr>
          <w:gridAfter w:val="3"/>
          <w:wAfter w:w="56" w:type="dxa"/>
        </w:trPr>
        <w:tc>
          <w:tcPr>
            <w:tcW w:w="660" w:type="dxa"/>
            <w:tcBorders>
              <w:bottom w:val="single" w:sz="6" w:space="0" w:color="auto"/>
              <w:right w:val="single" w:sz="6" w:space="0" w:color="auto"/>
            </w:tcBorders>
          </w:tcPr>
          <w:p w:rsidR="00B40966" w:rsidRDefault="00B40966">
            <w:pPr>
              <w:pStyle w:val="TableText"/>
              <w:rPr>
                <w:sz w:val="20"/>
              </w:rPr>
            </w:pPr>
            <w:r>
              <w:rPr>
                <w:sz w:val="20"/>
              </w:rPr>
              <w:t>192*</w:t>
            </w:r>
          </w:p>
        </w:tc>
        <w:tc>
          <w:tcPr>
            <w:tcW w:w="880" w:type="dxa"/>
            <w:tcBorders>
              <w:bottom w:val="single" w:sz="6" w:space="0" w:color="auto"/>
            </w:tcBorders>
          </w:tcPr>
          <w:p w:rsidR="00B40966" w:rsidRDefault="00B40966">
            <w:pPr>
              <w:pStyle w:val="TableText"/>
              <w:rPr>
                <w:sz w:val="20"/>
              </w:rPr>
            </w:pPr>
            <w:r>
              <w:rPr>
                <w:sz w:val="20"/>
              </w:rPr>
              <w:t>32</w:t>
            </w:r>
          </w:p>
        </w:tc>
        <w:tc>
          <w:tcPr>
            <w:tcW w:w="98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86</w:t>
            </w:r>
          </w:p>
        </w:tc>
        <w:tc>
          <w:tcPr>
            <w:tcW w:w="3072" w:type="dxa"/>
            <w:tcBorders>
              <w:bottom w:val="single" w:sz="6" w:space="0" w:color="auto"/>
              <w:right w:val="single" w:sz="6" w:space="0" w:color="auto"/>
            </w:tcBorders>
          </w:tcPr>
          <w:p w:rsidR="00B40966" w:rsidRDefault="00B40966">
            <w:pPr>
              <w:pStyle w:val="TableText"/>
              <w:rPr>
                <w:sz w:val="20"/>
              </w:rPr>
            </w:pPr>
            <w:r>
              <w:rPr>
                <w:sz w:val="20"/>
              </w:rPr>
              <w:t>13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50min</w:t>
            </w:r>
          </w:p>
          <w:p w:rsidR="00B40966" w:rsidRDefault="00B40966">
            <w:pPr>
              <w:pStyle w:val="TableText"/>
              <w:rPr>
                <w:sz w:val="20"/>
              </w:rPr>
            </w:pPr>
            <w:r>
              <w:rPr>
                <w:sz w:val="20"/>
              </w:rPr>
              <w:t>50 to 60min</w:t>
            </w:r>
          </w:p>
          <w:p w:rsidR="00B40966" w:rsidRDefault="00B40966">
            <w:pPr>
              <w:pStyle w:val="TableText"/>
              <w:rPr>
                <w:sz w:val="20"/>
              </w:rPr>
            </w:pPr>
            <w:r>
              <w:rPr>
                <w:sz w:val="20"/>
              </w:rPr>
              <w:t>1h to 1</w:t>
            </w:r>
            <w:r>
              <w:rPr>
                <w:position w:val="6"/>
                <w:sz w:val="20"/>
              </w:rPr>
              <w:t>1</w:t>
            </w:r>
            <w:r>
              <w:rPr>
                <w:sz w:val="20"/>
              </w:rPr>
              <w:t>/4h</w:t>
            </w:r>
          </w:p>
          <w:p w:rsidR="00B40966" w:rsidRDefault="00B40966">
            <w:pPr>
              <w:pStyle w:val="TableText"/>
              <w:rPr>
                <w:sz w:val="20"/>
              </w:rPr>
            </w:pPr>
            <w:r>
              <w:rPr>
                <w:sz w:val="20"/>
              </w:rPr>
              <w:t>1</w:t>
            </w:r>
            <w:r>
              <w:rPr>
                <w:position w:val="6"/>
                <w:sz w:val="20"/>
              </w:rPr>
              <w:t>1</w:t>
            </w:r>
            <w:r>
              <w:rPr>
                <w:sz w:val="20"/>
              </w:rPr>
              <w:t>/4h to 1h 26min</w:t>
            </w:r>
          </w:p>
          <w:p w:rsidR="00B40966" w:rsidRDefault="00B40966">
            <w:pPr>
              <w:pStyle w:val="TableText"/>
              <w:rPr>
                <w:sz w:val="20"/>
              </w:rPr>
            </w:pPr>
            <w:r>
              <w:rPr>
                <w:sz w:val="20"/>
              </w:rPr>
              <w:t>1h 26min to 1h 37min</w:t>
            </w:r>
          </w:p>
          <w:p w:rsidR="00B40966" w:rsidRDefault="00B40966">
            <w:pPr>
              <w:pStyle w:val="TableText"/>
              <w:rPr>
                <w:sz w:val="20"/>
              </w:rPr>
            </w:pPr>
            <w:r>
              <w:rPr>
                <w:sz w:val="20"/>
              </w:rPr>
              <w:t>1h 37min to 1h 48min</w:t>
            </w:r>
          </w:p>
          <w:p w:rsidR="00B40966" w:rsidRDefault="00B40966">
            <w:pPr>
              <w:pStyle w:val="TableText"/>
              <w:rPr>
                <w:sz w:val="20"/>
              </w:rPr>
            </w:pPr>
            <w:r>
              <w:rPr>
                <w:sz w:val="20"/>
              </w:rPr>
              <w:t>over 1h 48min</w:t>
            </w:r>
          </w:p>
        </w:tc>
        <w:tc>
          <w:tcPr>
            <w:tcW w:w="628" w:type="dxa"/>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5</w:t>
            </w:r>
          </w:p>
        </w:tc>
        <w:tc>
          <w:tcPr>
            <w:tcW w:w="608"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tc>
        <w:tc>
          <w:tcPr>
            <w:tcW w:w="612" w:type="dxa"/>
            <w:gridSpan w:val="2"/>
            <w:tcBorders>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tc>
        <w:tc>
          <w:tcPr>
            <w:tcW w:w="600" w:type="dxa"/>
            <w:tcBorders>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588" w:type="dxa"/>
            <w:tcBorders>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9</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tc>
        <w:tc>
          <w:tcPr>
            <w:tcW w:w="600"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35</w:t>
            </w:r>
          </w:p>
        </w:tc>
        <w:tc>
          <w:tcPr>
            <w:tcW w:w="720" w:type="dxa"/>
            <w:gridSpan w:val="2"/>
            <w:tcBorders>
              <w:bottom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612" w:type="dxa"/>
            <w:gridSpan w:val="2"/>
            <w:tcBorders>
              <w:left w:val="single" w:sz="6" w:space="0" w:color="auto"/>
              <w:bottom w:val="single" w:sz="6" w:space="0" w:color="auto"/>
              <w:right w:val="single" w:sz="6" w:space="0" w:color="auto"/>
            </w:tcBorders>
          </w:tcPr>
          <w:p w:rsidR="00B40966" w:rsidRDefault="00B40966">
            <w:pPr>
              <w:pStyle w:val="TableText"/>
              <w:rPr>
                <w:sz w:val="20"/>
              </w:rPr>
            </w:pPr>
            <w:r>
              <w:rPr>
                <w:sz w:val="20"/>
              </w:rPr>
              <w:t>15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bottom w:val="single" w:sz="6" w:space="0" w:color="auto"/>
            </w:tcBorders>
          </w:tcPr>
          <w:p w:rsidR="00B40966" w:rsidRDefault="00B40966">
            <w:pPr>
              <w:pStyle w:val="TableText"/>
              <w:rPr>
                <w:sz w:val="20"/>
              </w:rPr>
            </w:pPr>
            <w:r>
              <w:rPr>
                <w:sz w:val="20"/>
              </w:rPr>
              <w:t>46</w:t>
            </w:r>
          </w:p>
          <w:p w:rsidR="00B40966" w:rsidRDefault="00B40966">
            <w:pPr>
              <w:pStyle w:val="TableText"/>
              <w:rPr>
                <w:sz w:val="20"/>
              </w:rPr>
            </w:pPr>
            <w:r>
              <w:rPr>
                <w:sz w:val="20"/>
              </w:rPr>
              <w:t>64</w:t>
            </w:r>
          </w:p>
          <w:p w:rsidR="00B40966" w:rsidRDefault="00B40966">
            <w:pPr>
              <w:pStyle w:val="TableText"/>
              <w:rPr>
                <w:sz w:val="20"/>
              </w:rPr>
            </w:pPr>
            <w:r>
              <w:rPr>
                <w:sz w:val="20"/>
              </w:rPr>
              <w:t>82</w:t>
            </w:r>
          </w:p>
          <w:p w:rsidR="00B40966" w:rsidRDefault="00B40966">
            <w:pPr>
              <w:pStyle w:val="TableText"/>
              <w:rPr>
                <w:sz w:val="20"/>
              </w:rPr>
            </w:pPr>
            <w:r>
              <w:rPr>
                <w:sz w:val="20"/>
              </w:rPr>
              <w:t>100</w:t>
            </w:r>
          </w:p>
          <w:p w:rsidR="00B40966" w:rsidRDefault="00B40966">
            <w:pPr>
              <w:pStyle w:val="TableText"/>
              <w:rPr>
                <w:sz w:val="20"/>
              </w:rPr>
            </w:pPr>
            <w:r>
              <w:rPr>
                <w:sz w:val="20"/>
              </w:rPr>
              <w:t>118</w:t>
            </w:r>
          </w:p>
          <w:p w:rsidR="00B40966" w:rsidRDefault="00B40966">
            <w:pPr>
              <w:pStyle w:val="TableText"/>
              <w:rPr>
                <w:sz w:val="20"/>
              </w:rPr>
            </w:pPr>
            <w:r>
              <w:rPr>
                <w:sz w:val="20"/>
              </w:rPr>
              <w:t>143</w:t>
            </w:r>
          </w:p>
          <w:p w:rsidR="00B40966" w:rsidRDefault="00B40966">
            <w:pPr>
              <w:pStyle w:val="TableText"/>
              <w:rPr>
                <w:sz w:val="20"/>
              </w:rPr>
            </w:pPr>
            <w:r>
              <w:rPr>
                <w:sz w:val="20"/>
              </w:rPr>
              <w:t>163</w:t>
            </w:r>
          </w:p>
          <w:p w:rsidR="00B40966" w:rsidRDefault="00B40966">
            <w:pPr>
              <w:pStyle w:val="TableText"/>
              <w:rPr>
                <w:sz w:val="20"/>
              </w:rPr>
            </w:pPr>
            <w:r>
              <w:rPr>
                <w:sz w:val="20"/>
              </w:rPr>
              <w:t>183</w:t>
            </w:r>
          </w:p>
          <w:p w:rsidR="00B40966" w:rsidRDefault="00B40966">
            <w:pPr>
              <w:pStyle w:val="TableText"/>
              <w:rPr>
                <w:sz w:val="20"/>
              </w:rPr>
            </w:pPr>
            <w:r>
              <w:rPr>
                <w:sz w:val="20"/>
              </w:rPr>
              <w:t>203</w:t>
            </w:r>
          </w:p>
          <w:p w:rsidR="00B40966" w:rsidRDefault="00B40966">
            <w:pPr>
              <w:pStyle w:val="TableText"/>
              <w:rPr>
                <w:sz w:val="20"/>
              </w:rPr>
            </w:pPr>
            <w:r>
              <w:rPr>
                <w:sz w:val="20"/>
              </w:rPr>
              <w:t>228</w:t>
            </w:r>
          </w:p>
        </w:tc>
      </w:tr>
      <w:tr w:rsidR="00B40966">
        <w:trPr>
          <w:gridAfter w:val="3"/>
          <w:wAfter w:w="56" w:type="dxa"/>
        </w:trPr>
        <w:tc>
          <w:tcPr>
            <w:tcW w:w="6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204*</w:t>
            </w:r>
          </w:p>
        </w:tc>
        <w:tc>
          <w:tcPr>
            <w:tcW w:w="880" w:type="dxa"/>
            <w:tcBorders>
              <w:top w:val="single" w:sz="6" w:space="0" w:color="auto"/>
              <w:bottom w:val="single" w:sz="6" w:space="0" w:color="auto"/>
            </w:tcBorders>
          </w:tcPr>
          <w:p w:rsidR="00B40966" w:rsidRDefault="00B40966">
            <w:pPr>
              <w:pStyle w:val="TableText"/>
              <w:rPr>
                <w:sz w:val="20"/>
              </w:rPr>
            </w:pPr>
            <w:r>
              <w:rPr>
                <w:sz w:val="20"/>
              </w:rPr>
              <w:t>34</w:t>
            </w:r>
          </w:p>
        </w:tc>
        <w:tc>
          <w:tcPr>
            <w:tcW w:w="98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91</w:t>
            </w:r>
            <w:r>
              <w:rPr>
                <w:position w:val="6"/>
                <w:sz w:val="20"/>
              </w:rPr>
              <w:t>1</w:t>
            </w:r>
            <w:r>
              <w:rPr>
                <w:sz w:val="20"/>
              </w:rPr>
              <w:t>/2</w:t>
            </w:r>
          </w:p>
        </w:tc>
        <w:tc>
          <w:tcPr>
            <w:tcW w:w="3072"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12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50min</w:t>
            </w:r>
          </w:p>
          <w:p w:rsidR="00B40966" w:rsidRDefault="00B40966">
            <w:pPr>
              <w:pStyle w:val="TableText"/>
              <w:rPr>
                <w:sz w:val="20"/>
              </w:rPr>
            </w:pPr>
            <w:r>
              <w:rPr>
                <w:sz w:val="20"/>
              </w:rPr>
              <w:t>50 to 60min</w:t>
            </w:r>
          </w:p>
          <w:p w:rsidR="00B40966" w:rsidRDefault="00B40966">
            <w:pPr>
              <w:pStyle w:val="TableText"/>
              <w:rPr>
                <w:sz w:val="20"/>
              </w:rPr>
            </w:pPr>
            <w:r>
              <w:rPr>
                <w:sz w:val="20"/>
              </w:rPr>
              <w:t>1h to 1h 10min</w:t>
            </w:r>
          </w:p>
          <w:p w:rsidR="00B40966" w:rsidRDefault="00B40966">
            <w:pPr>
              <w:pStyle w:val="TableText"/>
              <w:rPr>
                <w:sz w:val="20"/>
              </w:rPr>
            </w:pPr>
            <w:r>
              <w:rPr>
                <w:sz w:val="20"/>
              </w:rPr>
              <w:t>1h 10min to 1h 20min</w:t>
            </w:r>
          </w:p>
          <w:p w:rsidR="00B40966" w:rsidRDefault="00B40966">
            <w:pPr>
              <w:pStyle w:val="TableText"/>
              <w:rPr>
                <w:sz w:val="20"/>
              </w:rPr>
            </w:pPr>
            <w:r>
              <w:rPr>
                <w:sz w:val="20"/>
              </w:rPr>
              <w:t>1h 20min to 1</w:t>
            </w:r>
            <w:r>
              <w:rPr>
                <w:position w:val="6"/>
                <w:sz w:val="20"/>
              </w:rPr>
              <w:t>1</w:t>
            </w:r>
            <w:r>
              <w:rPr>
                <w:sz w:val="20"/>
              </w:rPr>
              <w:t>/2h</w:t>
            </w:r>
          </w:p>
          <w:p w:rsidR="00B40966" w:rsidRDefault="00B40966">
            <w:pPr>
              <w:pStyle w:val="TableText"/>
              <w:rPr>
                <w:sz w:val="20"/>
              </w:rPr>
            </w:pPr>
            <w:r>
              <w:rPr>
                <w:sz w:val="20"/>
              </w:rPr>
              <w:t>1</w:t>
            </w:r>
            <w:r>
              <w:rPr>
                <w:position w:val="6"/>
                <w:sz w:val="20"/>
              </w:rPr>
              <w:t>1</w:t>
            </w:r>
            <w:r>
              <w:rPr>
                <w:sz w:val="20"/>
              </w:rPr>
              <w:t>/2h to 1h 40min</w:t>
            </w:r>
          </w:p>
          <w:p w:rsidR="00B40966" w:rsidRDefault="00B40966">
            <w:pPr>
              <w:pStyle w:val="TableText"/>
              <w:rPr>
                <w:sz w:val="20"/>
              </w:rPr>
            </w:pPr>
            <w:r>
              <w:rPr>
                <w:sz w:val="20"/>
              </w:rPr>
              <w:t>1h 40min to 1h 50min</w:t>
            </w:r>
          </w:p>
          <w:p w:rsidR="00B40966" w:rsidRDefault="00B40966">
            <w:pPr>
              <w:pStyle w:val="TableText"/>
              <w:rPr>
                <w:sz w:val="20"/>
              </w:rPr>
            </w:pPr>
            <w:r>
              <w:rPr>
                <w:sz w:val="20"/>
              </w:rPr>
              <w:t>over 1h 50min</w:t>
            </w:r>
          </w:p>
        </w:tc>
        <w:tc>
          <w:tcPr>
            <w:tcW w:w="628"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tc>
        <w:tc>
          <w:tcPr>
            <w:tcW w:w="608"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tc>
        <w:tc>
          <w:tcPr>
            <w:tcW w:w="612" w:type="dxa"/>
            <w:gridSpan w:val="2"/>
            <w:tcBorders>
              <w:top w:val="single" w:sz="6" w:space="0" w:color="auto"/>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588" w:type="dxa"/>
            <w:tcBorders>
              <w:top w:val="single" w:sz="6" w:space="0" w:color="auto"/>
              <w:bottom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30</w:t>
            </w:r>
          </w:p>
          <w:p w:rsidR="00B40966" w:rsidRDefault="00B40966">
            <w:pPr>
              <w:pStyle w:val="TableText"/>
              <w:rPr>
                <w:sz w:val="20"/>
              </w:rPr>
            </w:pPr>
            <w:r>
              <w:rPr>
                <w:sz w:val="20"/>
              </w:rPr>
              <w:t>30</w:t>
            </w:r>
          </w:p>
        </w:tc>
        <w:tc>
          <w:tcPr>
            <w:tcW w:w="60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35</w:t>
            </w:r>
          </w:p>
        </w:tc>
        <w:tc>
          <w:tcPr>
            <w:tcW w:w="720" w:type="dxa"/>
            <w:gridSpan w:val="2"/>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61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20</w:t>
            </w:r>
          </w:p>
          <w:p w:rsidR="00B40966" w:rsidRDefault="00B40966">
            <w:pPr>
              <w:pStyle w:val="TableText"/>
              <w:rPr>
                <w:sz w:val="20"/>
              </w:rPr>
            </w:pPr>
            <w:r>
              <w:rPr>
                <w:sz w:val="20"/>
              </w:rPr>
              <w:t>25</w:t>
            </w:r>
          </w:p>
          <w:p w:rsidR="00B40966" w:rsidRDefault="00B40966">
            <w:pPr>
              <w:pStyle w:val="TableText"/>
              <w:rPr>
                <w:sz w:val="20"/>
              </w:rPr>
            </w:pPr>
            <w:r>
              <w:rPr>
                <w:sz w:val="20"/>
              </w:rPr>
              <w:t>30</w:t>
            </w:r>
          </w:p>
          <w:p w:rsidR="00B40966" w:rsidRDefault="00B40966">
            <w:pPr>
              <w:pStyle w:val="TableText"/>
              <w:rPr>
                <w:sz w:val="20"/>
              </w:rPr>
            </w:pPr>
            <w:r>
              <w:rPr>
                <w:sz w:val="20"/>
              </w:rPr>
              <w:t>35</w:t>
            </w:r>
          </w:p>
          <w:p w:rsidR="00B40966" w:rsidRDefault="00B40966">
            <w:pPr>
              <w:pStyle w:val="TableText"/>
              <w:rPr>
                <w:sz w:val="20"/>
              </w:rPr>
            </w:pPr>
            <w:r>
              <w:rPr>
                <w:sz w:val="20"/>
              </w:rPr>
              <w:t>35</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p w:rsidR="00B40966" w:rsidRDefault="00B40966">
            <w:pPr>
              <w:pStyle w:val="TableText"/>
              <w:rPr>
                <w:sz w:val="20"/>
              </w:rPr>
            </w:pPr>
            <w:r>
              <w:rPr>
                <w:sz w:val="20"/>
              </w:rPr>
              <w:t>40</w:t>
            </w:r>
          </w:p>
        </w:tc>
        <w:tc>
          <w:tcPr>
            <w:tcW w:w="1020" w:type="dxa"/>
            <w:gridSpan w:val="2"/>
            <w:tcBorders>
              <w:top w:val="single" w:sz="6" w:space="0" w:color="auto"/>
              <w:bottom w:val="single" w:sz="6" w:space="0" w:color="auto"/>
            </w:tcBorders>
          </w:tcPr>
          <w:p w:rsidR="00B40966" w:rsidRDefault="00B40966">
            <w:pPr>
              <w:pStyle w:val="TableText"/>
              <w:rPr>
                <w:sz w:val="20"/>
              </w:rPr>
            </w:pPr>
            <w:r>
              <w:rPr>
                <w:sz w:val="20"/>
              </w:rPr>
              <w:t>51</w:t>
            </w:r>
          </w:p>
          <w:p w:rsidR="00B40966" w:rsidRDefault="00B40966">
            <w:pPr>
              <w:pStyle w:val="TableText"/>
              <w:rPr>
                <w:sz w:val="20"/>
              </w:rPr>
            </w:pPr>
            <w:r>
              <w:rPr>
                <w:sz w:val="20"/>
              </w:rPr>
              <w:t>67</w:t>
            </w:r>
          </w:p>
          <w:p w:rsidR="00B40966" w:rsidRDefault="00B40966">
            <w:pPr>
              <w:pStyle w:val="TableText"/>
              <w:rPr>
                <w:sz w:val="20"/>
              </w:rPr>
            </w:pPr>
            <w:r>
              <w:rPr>
                <w:sz w:val="20"/>
              </w:rPr>
              <w:t>86</w:t>
            </w:r>
          </w:p>
          <w:p w:rsidR="00B40966" w:rsidRDefault="00B40966">
            <w:pPr>
              <w:pStyle w:val="TableText"/>
              <w:rPr>
                <w:sz w:val="20"/>
              </w:rPr>
            </w:pPr>
            <w:r>
              <w:rPr>
                <w:sz w:val="20"/>
              </w:rPr>
              <w:t>105</w:t>
            </w:r>
          </w:p>
          <w:p w:rsidR="00B40966" w:rsidRDefault="00B40966">
            <w:pPr>
              <w:pStyle w:val="TableText"/>
              <w:rPr>
                <w:sz w:val="20"/>
              </w:rPr>
            </w:pPr>
            <w:r>
              <w:rPr>
                <w:sz w:val="20"/>
              </w:rPr>
              <w:t>124</w:t>
            </w:r>
          </w:p>
          <w:p w:rsidR="00B40966" w:rsidRDefault="00B40966">
            <w:pPr>
              <w:pStyle w:val="TableText"/>
              <w:rPr>
                <w:sz w:val="20"/>
              </w:rPr>
            </w:pPr>
            <w:r>
              <w:rPr>
                <w:sz w:val="20"/>
              </w:rPr>
              <w:t>143</w:t>
            </w:r>
          </w:p>
          <w:p w:rsidR="00B40966" w:rsidRDefault="00B40966">
            <w:pPr>
              <w:pStyle w:val="TableText"/>
              <w:rPr>
                <w:sz w:val="20"/>
              </w:rPr>
            </w:pPr>
            <w:r>
              <w:rPr>
                <w:sz w:val="20"/>
              </w:rPr>
              <w:t>163</w:t>
            </w:r>
          </w:p>
          <w:p w:rsidR="00B40966" w:rsidRDefault="00B40966">
            <w:pPr>
              <w:pStyle w:val="TableText"/>
              <w:rPr>
                <w:sz w:val="20"/>
              </w:rPr>
            </w:pPr>
            <w:r>
              <w:rPr>
                <w:sz w:val="20"/>
              </w:rPr>
              <w:t>183</w:t>
            </w:r>
          </w:p>
          <w:p w:rsidR="00B40966" w:rsidRDefault="00B40966">
            <w:pPr>
              <w:pStyle w:val="TableText"/>
              <w:rPr>
                <w:sz w:val="20"/>
              </w:rPr>
            </w:pPr>
            <w:r>
              <w:rPr>
                <w:sz w:val="20"/>
              </w:rPr>
              <w:t>203</w:t>
            </w:r>
          </w:p>
          <w:p w:rsidR="00B40966" w:rsidRDefault="00B40966">
            <w:pPr>
              <w:pStyle w:val="TableText"/>
              <w:rPr>
                <w:sz w:val="20"/>
              </w:rPr>
            </w:pPr>
            <w:r>
              <w:rPr>
                <w:sz w:val="20"/>
              </w:rPr>
              <w:t>223</w:t>
            </w:r>
          </w:p>
          <w:p w:rsidR="00B40966" w:rsidRDefault="00B40966">
            <w:pPr>
              <w:pStyle w:val="TableText"/>
              <w:rPr>
                <w:sz w:val="20"/>
              </w:rPr>
            </w:pPr>
            <w:r>
              <w:rPr>
                <w:sz w:val="20"/>
              </w:rPr>
              <w:t>238</w:t>
            </w:r>
          </w:p>
        </w:tc>
      </w:tr>
    </w:tbl>
    <w:p w:rsidR="00B40966" w:rsidRDefault="00B40966">
      <w:pPr>
        <w:spacing w:before="120"/>
        <w:ind w:left="342" w:hanging="342"/>
        <w:rPr>
          <w:color w:val="000000"/>
          <w:sz w:val="20"/>
        </w:rPr>
      </w:pPr>
      <w:r>
        <w:rPr>
          <w:color w:val="000000"/>
          <w:sz w:val="20"/>
        </w:rPr>
        <w:t>*</w:t>
      </w:r>
      <w:r>
        <w:rPr>
          <w:color w:val="000000"/>
          <w:sz w:val="20"/>
        </w:rPr>
        <w:tab/>
        <w:t>Handworked pumps are unsuitable at this depth.</w:t>
      </w:r>
    </w:p>
    <w:p w:rsidR="00B40966" w:rsidRDefault="00B40966"/>
    <w:p w:rsidR="00B40966" w:rsidRDefault="00B40966">
      <w:pPr>
        <w:pStyle w:val="TableHd"/>
        <w:rPr>
          <w:rStyle w:val="charItals"/>
          <w:i w:val="0"/>
        </w:rPr>
      </w:pPr>
      <w:r>
        <w:rPr>
          <w:color w:val="000000"/>
        </w:rPr>
        <w:t>Table 7.2</w:t>
      </w:r>
      <w:r>
        <w:rPr>
          <w:color w:val="000000"/>
        </w:rPr>
        <w:tab/>
      </w:r>
      <w:r>
        <w:rPr>
          <w:rStyle w:val="charItals"/>
          <w:i w:val="0"/>
        </w:rPr>
        <w:t>Decompression—ordinary time limits, stoppages and air supply</w:t>
      </w:r>
    </w:p>
    <w:p w:rsidR="00B40966" w:rsidRDefault="00B40966">
      <w:pPr>
        <w:pStyle w:val="ref"/>
        <w:rPr>
          <w:rStyle w:val="charItals"/>
          <w:i w:val="0"/>
        </w:rPr>
      </w:pPr>
      <w:r>
        <w:rPr>
          <w:rStyle w:val="charItals"/>
          <w:i w:val="0"/>
        </w:rPr>
        <w:t>(see s 99 (23) to (26))</w:t>
      </w:r>
    </w:p>
    <w:tbl>
      <w:tblPr>
        <w:tblW w:w="11868" w:type="dxa"/>
        <w:tblInd w:w="-160" w:type="dxa"/>
        <w:tblLayout w:type="fixed"/>
        <w:tblCellMar>
          <w:left w:w="80" w:type="dxa"/>
          <w:right w:w="80" w:type="dxa"/>
        </w:tblCellMar>
        <w:tblLook w:val="0000" w:firstRow="0" w:lastRow="0" w:firstColumn="0" w:lastColumn="0" w:noHBand="0" w:noVBand="0"/>
      </w:tblPr>
      <w:tblGrid>
        <w:gridCol w:w="960"/>
        <w:gridCol w:w="933"/>
        <w:gridCol w:w="969"/>
        <w:gridCol w:w="1338"/>
        <w:gridCol w:w="600"/>
        <w:gridCol w:w="600"/>
        <w:gridCol w:w="576"/>
        <w:gridCol w:w="540"/>
        <w:gridCol w:w="540"/>
        <w:gridCol w:w="540"/>
        <w:gridCol w:w="1044"/>
        <w:gridCol w:w="960"/>
        <w:gridCol w:w="1185"/>
        <w:gridCol w:w="1083"/>
      </w:tblGrid>
      <w:tr w:rsidR="00B40966">
        <w:trPr>
          <w:cantSplit/>
          <w:trHeight w:hRule="exact" w:val="600"/>
          <w:tblHeader/>
        </w:trPr>
        <w:tc>
          <w:tcPr>
            <w:tcW w:w="1893" w:type="dxa"/>
            <w:gridSpan w:val="2"/>
            <w:tcBorders>
              <w:top w:val="single" w:sz="6" w:space="0" w:color="auto"/>
              <w:bottom w:val="single" w:sz="6" w:space="0" w:color="auto"/>
            </w:tcBorders>
            <w:vAlign w:val="bottom"/>
          </w:tcPr>
          <w:p w:rsidR="00B40966" w:rsidRDefault="00B40966">
            <w:pPr>
              <w:pStyle w:val="TableColHd"/>
              <w:jc w:val="center"/>
            </w:pPr>
            <w:r>
              <w:t>depth</w:t>
            </w:r>
          </w:p>
        </w:tc>
        <w:tc>
          <w:tcPr>
            <w:tcW w:w="969" w:type="dxa"/>
            <w:tcBorders>
              <w:top w:val="single" w:sz="6" w:space="0" w:color="auto"/>
              <w:left w:val="single" w:sz="6" w:space="0" w:color="auto"/>
              <w:bottom w:val="single" w:sz="4" w:space="0" w:color="auto"/>
              <w:right w:val="single" w:sz="6" w:space="0" w:color="auto"/>
            </w:tcBorders>
            <w:vAlign w:val="bottom"/>
          </w:tcPr>
          <w:p w:rsidR="00B40966" w:rsidRDefault="00B40966">
            <w:pPr>
              <w:pStyle w:val="TableColHd"/>
              <w:jc w:val="center"/>
            </w:pPr>
            <w:r>
              <w:t>pressure</w:t>
            </w:r>
          </w:p>
        </w:tc>
        <w:tc>
          <w:tcPr>
            <w:tcW w:w="1338" w:type="dxa"/>
            <w:vMerge w:val="restart"/>
            <w:tcBorders>
              <w:top w:val="single" w:sz="6" w:space="0" w:color="auto"/>
              <w:right w:val="single" w:sz="6" w:space="0" w:color="auto"/>
            </w:tcBorders>
            <w:vAlign w:val="center"/>
          </w:tcPr>
          <w:p w:rsidR="00B40966" w:rsidRDefault="00B40966">
            <w:pPr>
              <w:pStyle w:val="TableColHd"/>
              <w:jc w:val="center"/>
            </w:pPr>
            <w:r>
              <w:t>time from leaving surface to beginning of ascent</w:t>
            </w:r>
          </w:p>
        </w:tc>
        <w:tc>
          <w:tcPr>
            <w:tcW w:w="3396" w:type="dxa"/>
            <w:gridSpan w:val="6"/>
            <w:tcBorders>
              <w:top w:val="single" w:sz="6" w:space="0" w:color="auto"/>
            </w:tcBorders>
            <w:vAlign w:val="bottom"/>
          </w:tcPr>
          <w:p w:rsidR="00B40966" w:rsidRDefault="00B40966">
            <w:pPr>
              <w:pStyle w:val="TableColHd"/>
              <w:jc w:val="center"/>
            </w:pPr>
            <w:r>
              <w:t>stoppages in minutes at different depths</w:t>
            </w:r>
          </w:p>
        </w:tc>
        <w:tc>
          <w:tcPr>
            <w:tcW w:w="1044" w:type="dxa"/>
            <w:tcBorders>
              <w:top w:val="single" w:sz="6" w:space="0" w:color="auto"/>
              <w:left w:val="single" w:sz="6" w:space="0" w:color="auto"/>
              <w:bottom w:val="single" w:sz="4" w:space="0" w:color="auto"/>
            </w:tcBorders>
            <w:vAlign w:val="bottom"/>
          </w:tcPr>
          <w:p w:rsidR="00B40966" w:rsidRDefault="00B40966">
            <w:pPr>
              <w:pStyle w:val="TableColHd"/>
              <w:jc w:val="center"/>
            </w:pPr>
            <w:r>
              <w:t xml:space="preserve">total time for ascent </w:t>
            </w:r>
          </w:p>
        </w:tc>
        <w:tc>
          <w:tcPr>
            <w:tcW w:w="960" w:type="dxa"/>
            <w:vMerge w:val="restart"/>
            <w:tcBorders>
              <w:top w:val="single" w:sz="6" w:space="0" w:color="auto"/>
              <w:left w:val="single" w:sz="6" w:space="0" w:color="auto"/>
              <w:right w:val="single" w:sz="6" w:space="0" w:color="auto"/>
            </w:tcBorders>
            <w:vAlign w:val="center"/>
          </w:tcPr>
          <w:p w:rsidR="00B40966" w:rsidRDefault="00B40966">
            <w:pPr>
              <w:pStyle w:val="TableColHd"/>
              <w:jc w:val="center"/>
            </w:pPr>
            <w:r>
              <w:t>number of cylinders needed*</w:t>
            </w:r>
          </w:p>
        </w:tc>
        <w:tc>
          <w:tcPr>
            <w:tcW w:w="1185" w:type="dxa"/>
            <w:tcBorders>
              <w:top w:val="single" w:sz="6" w:space="0" w:color="auto"/>
              <w:left w:val="single" w:sz="6" w:space="0" w:color="auto"/>
              <w:bottom w:val="single" w:sz="4" w:space="0" w:color="auto"/>
              <w:right w:val="single" w:sz="6" w:space="0" w:color="auto"/>
            </w:tcBorders>
            <w:vAlign w:val="bottom"/>
          </w:tcPr>
          <w:p w:rsidR="00B40966" w:rsidRDefault="00B40966">
            <w:pPr>
              <w:pStyle w:val="TableColHd"/>
              <w:jc w:val="center"/>
            </w:pPr>
            <w:r>
              <w:t>revolutions of pump</w:t>
            </w:r>
          </w:p>
        </w:tc>
        <w:tc>
          <w:tcPr>
            <w:tcW w:w="1083" w:type="dxa"/>
            <w:vMerge w:val="restart"/>
            <w:tcBorders>
              <w:top w:val="single" w:sz="6" w:space="0" w:color="auto"/>
            </w:tcBorders>
            <w:vAlign w:val="center"/>
          </w:tcPr>
          <w:p w:rsidR="00B40966" w:rsidRDefault="00B40966">
            <w:pPr>
              <w:pStyle w:val="TableColHd"/>
              <w:jc w:val="center"/>
              <w:rPr>
                <w:rFonts w:ascii="Arial (W1)" w:hAnsi="Arial (W1)"/>
                <w:spacing w:val="-2"/>
              </w:rPr>
            </w:pPr>
            <w:r>
              <w:rPr>
                <w:rFonts w:ascii="Arial (W1)" w:hAnsi="Arial (W1)"/>
                <w:spacing w:val="-2"/>
              </w:rPr>
              <w:t>number of workers per shift on pumps</w:t>
            </w:r>
          </w:p>
        </w:tc>
      </w:tr>
      <w:tr w:rsidR="00B40966">
        <w:trPr>
          <w:cantSplit/>
          <w:trHeight w:val="1000"/>
          <w:tblHeader/>
        </w:trPr>
        <w:tc>
          <w:tcPr>
            <w:tcW w:w="960" w:type="dxa"/>
            <w:tcBorders>
              <w:bottom w:val="single" w:sz="6" w:space="0" w:color="auto"/>
              <w:right w:val="single" w:sz="6" w:space="0" w:color="auto"/>
            </w:tcBorders>
            <w:vAlign w:val="bottom"/>
          </w:tcPr>
          <w:p w:rsidR="00B40966" w:rsidRDefault="00B40966">
            <w:pPr>
              <w:pStyle w:val="TableColHd"/>
              <w:jc w:val="center"/>
            </w:pPr>
            <w:r>
              <w:t>ft</w:t>
            </w:r>
          </w:p>
        </w:tc>
        <w:tc>
          <w:tcPr>
            <w:tcW w:w="933" w:type="dxa"/>
            <w:tcBorders>
              <w:bottom w:val="single" w:sz="6" w:space="0" w:color="auto"/>
            </w:tcBorders>
            <w:vAlign w:val="bottom"/>
          </w:tcPr>
          <w:p w:rsidR="00B40966" w:rsidRDefault="00B40966">
            <w:pPr>
              <w:pStyle w:val="TableColHd"/>
              <w:jc w:val="center"/>
              <w:rPr>
                <w:rFonts w:ascii="Arial (W1)" w:hAnsi="Arial (W1)"/>
                <w:spacing w:val="-4"/>
              </w:rPr>
            </w:pPr>
            <w:r>
              <w:rPr>
                <w:rFonts w:ascii="Arial (W1)" w:hAnsi="Arial (W1)"/>
                <w:spacing w:val="-4"/>
              </w:rPr>
              <w:t>fathoms</w:t>
            </w:r>
          </w:p>
        </w:tc>
        <w:tc>
          <w:tcPr>
            <w:tcW w:w="969" w:type="dxa"/>
            <w:tcBorders>
              <w:left w:val="single" w:sz="6" w:space="0" w:color="auto"/>
              <w:bottom w:val="single" w:sz="6" w:space="0" w:color="auto"/>
              <w:right w:val="single" w:sz="6" w:space="0" w:color="auto"/>
            </w:tcBorders>
            <w:vAlign w:val="bottom"/>
          </w:tcPr>
          <w:p w:rsidR="00B40966" w:rsidRDefault="00B40966">
            <w:pPr>
              <w:pStyle w:val="TableColHd"/>
              <w:jc w:val="center"/>
            </w:pPr>
            <w:r>
              <w:t>lb/in</w:t>
            </w:r>
            <w:r>
              <w:rPr>
                <w:vertAlign w:val="superscript"/>
              </w:rPr>
              <w:t>2</w:t>
            </w:r>
          </w:p>
        </w:tc>
        <w:tc>
          <w:tcPr>
            <w:tcW w:w="1338" w:type="dxa"/>
            <w:vMerge/>
            <w:tcBorders>
              <w:bottom w:val="single" w:sz="6" w:space="0" w:color="auto"/>
              <w:right w:val="single" w:sz="6" w:space="0" w:color="auto"/>
            </w:tcBorders>
            <w:vAlign w:val="bottom"/>
          </w:tcPr>
          <w:p w:rsidR="00B40966" w:rsidRDefault="00B40966">
            <w:pPr>
              <w:pStyle w:val="TableColHd"/>
              <w:jc w:val="center"/>
            </w:pPr>
          </w:p>
        </w:tc>
        <w:tc>
          <w:tcPr>
            <w:tcW w:w="600" w:type="dxa"/>
            <w:tcBorders>
              <w:top w:val="single" w:sz="6" w:space="0" w:color="auto"/>
              <w:bottom w:val="single" w:sz="6" w:space="0" w:color="auto"/>
            </w:tcBorders>
            <w:vAlign w:val="bottom"/>
          </w:tcPr>
          <w:p w:rsidR="00B40966" w:rsidRDefault="00B40966">
            <w:pPr>
              <w:pStyle w:val="TableColHd"/>
              <w:jc w:val="center"/>
            </w:pPr>
            <w:r>
              <w:t>60ft</w:t>
            </w:r>
          </w:p>
        </w:tc>
        <w:tc>
          <w:tcPr>
            <w:tcW w:w="60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50ft</w:t>
            </w:r>
          </w:p>
        </w:tc>
        <w:tc>
          <w:tcPr>
            <w:tcW w:w="576" w:type="dxa"/>
            <w:tcBorders>
              <w:top w:val="single" w:sz="6" w:space="0" w:color="auto"/>
              <w:bottom w:val="single" w:sz="6" w:space="0" w:color="auto"/>
            </w:tcBorders>
            <w:vAlign w:val="bottom"/>
          </w:tcPr>
          <w:p w:rsidR="00B40966" w:rsidRDefault="00B40966">
            <w:pPr>
              <w:pStyle w:val="TableColHd"/>
              <w:jc w:val="center"/>
            </w:pPr>
            <w:r>
              <w:t>40ft</w:t>
            </w:r>
          </w:p>
        </w:tc>
        <w:tc>
          <w:tcPr>
            <w:tcW w:w="54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30ft</w:t>
            </w:r>
          </w:p>
        </w:tc>
        <w:tc>
          <w:tcPr>
            <w:tcW w:w="540" w:type="dxa"/>
            <w:tcBorders>
              <w:top w:val="single" w:sz="6" w:space="0" w:color="auto"/>
              <w:bottom w:val="single" w:sz="6" w:space="0" w:color="auto"/>
            </w:tcBorders>
            <w:vAlign w:val="bottom"/>
          </w:tcPr>
          <w:p w:rsidR="00B40966" w:rsidRDefault="00B40966">
            <w:pPr>
              <w:pStyle w:val="TableColHd"/>
              <w:jc w:val="center"/>
            </w:pPr>
            <w:r>
              <w:t>20ft</w:t>
            </w:r>
          </w:p>
        </w:tc>
        <w:tc>
          <w:tcPr>
            <w:tcW w:w="540" w:type="dxa"/>
            <w:tcBorders>
              <w:top w:val="single" w:sz="6" w:space="0" w:color="auto"/>
              <w:left w:val="single" w:sz="6" w:space="0" w:color="auto"/>
              <w:bottom w:val="single" w:sz="6" w:space="0" w:color="auto"/>
              <w:right w:val="single" w:sz="6" w:space="0" w:color="auto"/>
            </w:tcBorders>
            <w:vAlign w:val="bottom"/>
          </w:tcPr>
          <w:p w:rsidR="00B40966" w:rsidRDefault="00B40966">
            <w:pPr>
              <w:pStyle w:val="TableColHd"/>
              <w:jc w:val="center"/>
            </w:pPr>
            <w:r>
              <w:t>10ft</w:t>
            </w:r>
          </w:p>
        </w:tc>
        <w:tc>
          <w:tcPr>
            <w:tcW w:w="1044" w:type="dxa"/>
            <w:tcBorders>
              <w:left w:val="single" w:sz="6" w:space="0" w:color="auto"/>
              <w:bottom w:val="single" w:sz="6" w:space="0" w:color="auto"/>
            </w:tcBorders>
            <w:vAlign w:val="bottom"/>
          </w:tcPr>
          <w:p w:rsidR="00B40966" w:rsidRDefault="00B40966">
            <w:pPr>
              <w:pStyle w:val="TableColHd"/>
              <w:jc w:val="center"/>
            </w:pPr>
            <w:r>
              <w:t>minutes</w:t>
            </w:r>
          </w:p>
        </w:tc>
        <w:tc>
          <w:tcPr>
            <w:tcW w:w="960" w:type="dxa"/>
            <w:vMerge/>
            <w:tcBorders>
              <w:left w:val="single" w:sz="6" w:space="0" w:color="auto"/>
              <w:bottom w:val="single" w:sz="6" w:space="0" w:color="auto"/>
              <w:right w:val="single" w:sz="6" w:space="0" w:color="auto"/>
            </w:tcBorders>
            <w:vAlign w:val="bottom"/>
          </w:tcPr>
          <w:p w:rsidR="00B40966" w:rsidRDefault="00B40966">
            <w:pPr>
              <w:pStyle w:val="TableColHd"/>
              <w:jc w:val="center"/>
            </w:pPr>
          </w:p>
        </w:tc>
        <w:tc>
          <w:tcPr>
            <w:tcW w:w="1185" w:type="dxa"/>
            <w:tcBorders>
              <w:left w:val="single" w:sz="6" w:space="0" w:color="auto"/>
              <w:bottom w:val="single" w:sz="6" w:space="0" w:color="auto"/>
              <w:right w:val="single" w:sz="6" w:space="0" w:color="auto"/>
            </w:tcBorders>
            <w:vAlign w:val="bottom"/>
          </w:tcPr>
          <w:p w:rsidR="00B40966" w:rsidRDefault="00B40966">
            <w:pPr>
              <w:pStyle w:val="TableColHd"/>
              <w:jc w:val="center"/>
            </w:pPr>
            <w:r>
              <w:t>per minute*</w:t>
            </w:r>
          </w:p>
        </w:tc>
        <w:tc>
          <w:tcPr>
            <w:tcW w:w="1083" w:type="dxa"/>
            <w:vMerge/>
            <w:tcBorders>
              <w:bottom w:val="single" w:sz="6" w:space="0" w:color="auto"/>
            </w:tcBorders>
            <w:vAlign w:val="bottom"/>
          </w:tcPr>
          <w:p w:rsidR="00B40966" w:rsidRDefault="00B40966">
            <w:pPr>
              <w:pStyle w:val="TableColHd"/>
              <w:jc w:val="center"/>
            </w:pP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0-33</w:t>
            </w:r>
          </w:p>
        </w:tc>
        <w:tc>
          <w:tcPr>
            <w:tcW w:w="933" w:type="dxa"/>
            <w:tcBorders>
              <w:top w:val="single" w:sz="6" w:space="0" w:color="auto"/>
              <w:bottom w:val="single" w:sz="6" w:space="0" w:color="auto"/>
            </w:tcBorders>
          </w:tcPr>
          <w:p w:rsidR="00B40966" w:rsidRDefault="00B40966">
            <w:pPr>
              <w:pStyle w:val="TableText"/>
              <w:rPr>
                <w:sz w:val="20"/>
              </w:rPr>
            </w:pPr>
            <w:r>
              <w:rPr>
                <w:sz w:val="20"/>
              </w:rPr>
              <w:t>0-5</w:t>
            </w:r>
            <w:r>
              <w:rPr>
                <w:position w:val="4"/>
                <w:sz w:val="16"/>
              </w:rPr>
              <w:t>1</w:t>
            </w:r>
            <w:r>
              <w:rPr>
                <w:sz w:val="20"/>
              </w:rPr>
              <w:t>/</w:t>
            </w:r>
            <w:r>
              <w:rPr>
                <w:sz w:val="16"/>
              </w:rPr>
              <w:t>2</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0-15</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 xml:space="preserve">no limit </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1044" w:type="dxa"/>
            <w:tcBorders>
              <w:top w:val="single" w:sz="6" w:space="0" w:color="auto"/>
              <w:bottom w:val="single" w:sz="6" w:space="0" w:color="auto"/>
            </w:tcBorders>
          </w:tcPr>
          <w:p w:rsidR="00B40966" w:rsidRDefault="00B40966">
            <w:pPr>
              <w:pStyle w:val="TableText"/>
              <w:rPr>
                <w:sz w:val="20"/>
              </w:rPr>
            </w:pPr>
            <w:r>
              <w:rPr>
                <w:sz w:val="20"/>
              </w:rPr>
              <w:t>0 to 1</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15 to 30†</w:t>
            </w:r>
          </w:p>
        </w:tc>
        <w:tc>
          <w:tcPr>
            <w:tcW w:w="1083" w:type="dxa"/>
            <w:tcBorders>
              <w:top w:val="single" w:sz="6" w:space="0" w:color="auto"/>
              <w:bottom w:val="single" w:sz="6" w:space="0" w:color="auto"/>
            </w:tcBorders>
          </w:tcPr>
          <w:p w:rsidR="00B40966" w:rsidRDefault="00B40966">
            <w:pPr>
              <w:pStyle w:val="TableText"/>
              <w:rPr>
                <w:sz w:val="20"/>
              </w:rPr>
            </w:pPr>
            <w:r>
              <w:rPr>
                <w:sz w:val="20"/>
              </w:rPr>
              <w:t>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33-42</w:t>
            </w:r>
          </w:p>
        </w:tc>
        <w:tc>
          <w:tcPr>
            <w:tcW w:w="933" w:type="dxa"/>
            <w:tcBorders>
              <w:top w:val="single" w:sz="6" w:space="0" w:color="auto"/>
              <w:bottom w:val="single" w:sz="6" w:space="0" w:color="auto"/>
            </w:tcBorders>
          </w:tcPr>
          <w:p w:rsidR="00B40966" w:rsidRDefault="00B40966">
            <w:pPr>
              <w:pStyle w:val="TableText"/>
              <w:rPr>
                <w:sz w:val="20"/>
              </w:rPr>
            </w:pPr>
            <w:r>
              <w:rPr>
                <w:sz w:val="20"/>
              </w:rPr>
              <w:t>5</w:t>
            </w:r>
            <w:r>
              <w:rPr>
                <w:position w:val="4"/>
                <w:sz w:val="16"/>
              </w:rPr>
              <w:t>1</w:t>
            </w:r>
            <w:r>
              <w:rPr>
                <w:sz w:val="20"/>
              </w:rPr>
              <w:t>/</w:t>
            </w:r>
            <w:r>
              <w:rPr>
                <w:sz w:val="16"/>
              </w:rPr>
              <w:t>2</w:t>
            </w:r>
            <w:r>
              <w:rPr>
                <w:sz w:val="20"/>
              </w:rPr>
              <w:t>-7</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15-18</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3hr</w:t>
            </w:r>
          </w:p>
          <w:p w:rsidR="00B40966" w:rsidRDefault="00B40966">
            <w:pPr>
              <w:pStyle w:val="TableText"/>
              <w:rPr>
                <w:sz w:val="20"/>
              </w:rPr>
            </w:pPr>
            <w:r>
              <w:rPr>
                <w:sz w:val="20"/>
              </w:rPr>
              <w:t>over 3h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tc>
        <w:tc>
          <w:tcPr>
            <w:tcW w:w="1044" w:type="dxa"/>
            <w:tcBorders>
              <w:top w:val="single" w:sz="6" w:space="0" w:color="auto"/>
              <w:bottom w:val="single" w:sz="6" w:space="0" w:color="auto"/>
            </w:tcBorders>
          </w:tcPr>
          <w:p w:rsidR="00B40966" w:rsidRDefault="00B40966">
            <w:pPr>
              <w:pStyle w:val="TableText"/>
              <w:rPr>
                <w:sz w:val="20"/>
              </w:rPr>
            </w:pPr>
            <w:r>
              <w:rPr>
                <w:sz w:val="20"/>
              </w:rPr>
              <w:t>1 to 1</w:t>
            </w:r>
            <w:r>
              <w:rPr>
                <w:position w:val="4"/>
                <w:sz w:val="16"/>
              </w:rPr>
              <w:t>1</w:t>
            </w:r>
            <w:r>
              <w:rPr>
                <w:sz w:val="20"/>
              </w:rPr>
              <w:t>/</w:t>
            </w:r>
            <w:r>
              <w:rPr>
                <w:sz w:val="16"/>
              </w:rPr>
              <w:t>2</w:t>
            </w:r>
          </w:p>
          <w:p w:rsidR="00B40966" w:rsidRDefault="00B40966">
            <w:pPr>
              <w:pStyle w:val="TableText"/>
              <w:rPr>
                <w:sz w:val="20"/>
              </w:rPr>
            </w:pPr>
            <w:r>
              <w:rPr>
                <w:sz w:val="20"/>
              </w:rPr>
              <w:t>6</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15 to 20</w:t>
            </w:r>
          </w:p>
        </w:tc>
        <w:tc>
          <w:tcPr>
            <w:tcW w:w="1083" w:type="dxa"/>
            <w:tcBorders>
              <w:top w:val="single" w:sz="6" w:space="0" w:color="auto"/>
              <w:bottom w:val="single" w:sz="6" w:space="0" w:color="auto"/>
            </w:tcBorders>
          </w:tcPr>
          <w:p w:rsidR="00B40966" w:rsidRDefault="00B40966">
            <w:pPr>
              <w:pStyle w:val="TableText"/>
              <w:rPr>
                <w:sz w:val="20"/>
              </w:rPr>
            </w:pPr>
            <w:r>
              <w:rPr>
                <w:sz w:val="20"/>
              </w:rPr>
              <w:t>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42-48</w:t>
            </w:r>
          </w:p>
        </w:tc>
        <w:tc>
          <w:tcPr>
            <w:tcW w:w="933" w:type="dxa"/>
            <w:tcBorders>
              <w:top w:val="single" w:sz="6" w:space="0" w:color="auto"/>
              <w:bottom w:val="single" w:sz="6" w:space="0" w:color="auto"/>
            </w:tcBorders>
          </w:tcPr>
          <w:p w:rsidR="00B40966" w:rsidRDefault="00B40966">
            <w:pPr>
              <w:pStyle w:val="TableText"/>
              <w:rPr>
                <w:sz w:val="20"/>
              </w:rPr>
            </w:pPr>
            <w:r>
              <w:rPr>
                <w:sz w:val="20"/>
              </w:rPr>
              <w:t>7-8</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18</w:t>
            </w:r>
            <w:r>
              <w:rPr>
                <w:position w:val="4"/>
                <w:sz w:val="16"/>
              </w:rPr>
              <w:t>1</w:t>
            </w:r>
            <w:r>
              <w:rPr>
                <w:sz w:val="20"/>
              </w:rPr>
              <w:t>/</w:t>
            </w:r>
            <w:r>
              <w:rPr>
                <w:sz w:val="16"/>
              </w:rPr>
              <w:t>2</w:t>
            </w:r>
            <w:r>
              <w:rPr>
                <w:sz w:val="20"/>
              </w:rPr>
              <w:t>-21</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1h</w:t>
            </w:r>
          </w:p>
          <w:p w:rsidR="00B40966" w:rsidRDefault="00B40966">
            <w:pPr>
              <w:pStyle w:val="TableText"/>
              <w:rPr>
                <w:sz w:val="20"/>
              </w:rPr>
            </w:pPr>
            <w:r>
              <w:rPr>
                <w:sz w:val="20"/>
              </w:rPr>
              <w:t>1 to 3h</w:t>
            </w:r>
          </w:p>
          <w:p w:rsidR="00B40966" w:rsidRDefault="00B40966">
            <w:pPr>
              <w:pStyle w:val="TableText"/>
              <w:rPr>
                <w:sz w:val="20"/>
              </w:rPr>
            </w:pPr>
            <w:r>
              <w:rPr>
                <w:sz w:val="20"/>
              </w:rPr>
              <w:t>over 3h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rPr>
                <w:sz w:val="20"/>
              </w:rPr>
            </w:pPr>
            <w:r>
              <w:rPr>
                <w:sz w:val="20"/>
              </w:rPr>
              <w:t>1</w:t>
            </w:r>
            <w:r>
              <w:rPr>
                <w:position w:val="4"/>
                <w:sz w:val="16"/>
              </w:rPr>
              <w:t>1</w:t>
            </w:r>
            <w:r>
              <w:rPr>
                <w:sz w:val="20"/>
              </w:rPr>
              <w:t>/</w:t>
            </w:r>
            <w:r>
              <w:rPr>
                <w:sz w:val="16"/>
              </w:rPr>
              <w:t>2</w:t>
            </w:r>
          </w:p>
          <w:p w:rsidR="00B40966" w:rsidRDefault="00B40966">
            <w:pPr>
              <w:pStyle w:val="TableText"/>
              <w:rPr>
                <w:sz w:val="20"/>
              </w:rPr>
            </w:pPr>
            <w:r>
              <w:rPr>
                <w:sz w:val="20"/>
              </w:rPr>
              <w:t>6</w:t>
            </w:r>
            <w:r>
              <w:rPr>
                <w:position w:val="4"/>
                <w:sz w:val="16"/>
              </w:rPr>
              <w:t>1</w:t>
            </w:r>
            <w:r>
              <w:rPr>
                <w:sz w:val="20"/>
              </w:rPr>
              <w:t>/</w:t>
            </w:r>
            <w:r>
              <w:rPr>
                <w:sz w:val="16"/>
              </w:rPr>
              <w:t>2</w:t>
            </w:r>
          </w:p>
          <w:p w:rsidR="00B40966" w:rsidRDefault="00B40966">
            <w:pPr>
              <w:pStyle w:val="TableText"/>
              <w:rPr>
                <w:sz w:val="20"/>
              </w:rPr>
            </w:pPr>
            <w:r>
              <w:rPr>
                <w:sz w:val="20"/>
              </w:rPr>
              <w:t>11</w:t>
            </w:r>
            <w:r>
              <w:rPr>
                <w:position w:val="4"/>
                <w:sz w:val="16"/>
              </w:rPr>
              <w:t>1</w:t>
            </w:r>
            <w:r>
              <w:rPr>
                <w:sz w:val="20"/>
              </w:rPr>
              <w:t>/</w:t>
            </w:r>
            <w:r>
              <w:rPr>
                <w:sz w:val="16"/>
              </w:rPr>
              <w:t>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tc>
        <w:tc>
          <w:tcPr>
            <w:tcW w:w="1083" w:type="dxa"/>
            <w:tcBorders>
              <w:top w:val="single" w:sz="6" w:space="0" w:color="auto"/>
              <w:bottom w:val="single" w:sz="6" w:space="0" w:color="auto"/>
            </w:tcBorders>
          </w:tcPr>
          <w:p w:rsidR="00B40966" w:rsidRDefault="00B40966">
            <w:pPr>
              <w:pStyle w:val="TableText"/>
              <w:rPr>
                <w:sz w:val="20"/>
              </w:rPr>
            </w:pPr>
            <w:r>
              <w:rPr>
                <w:sz w:val="20"/>
              </w:rPr>
              <w:t>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48-54</w:t>
            </w:r>
          </w:p>
        </w:tc>
        <w:tc>
          <w:tcPr>
            <w:tcW w:w="933" w:type="dxa"/>
            <w:tcBorders>
              <w:top w:val="single" w:sz="6" w:space="0" w:color="auto"/>
              <w:bottom w:val="single" w:sz="6" w:space="0" w:color="auto"/>
            </w:tcBorders>
          </w:tcPr>
          <w:p w:rsidR="00B40966" w:rsidRDefault="00B40966">
            <w:pPr>
              <w:pStyle w:val="TableText"/>
              <w:rPr>
                <w:sz w:val="20"/>
              </w:rPr>
            </w:pPr>
            <w:r>
              <w:rPr>
                <w:sz w:val="20"/>
              </w:rPr>
              <w:t>8-9</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21-24</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 xml:space="preserve">up to </w:t>
            </w:r>
            <w:r>
              <w:rPr>
                <w:position w:val="4"/>
                <w:sz w:val="16"/>
              </w:rPr>
              <w:t>1</w:t>
            </w:r>
            <w:r>
              <w:rPr>
                <w:sz w:val="20"/>
              </w:rPr>
              <w:t>/</w:t>
            </w:r>
            <w:r>
              <w:rPr>
                <w:sz w:val="16"/>
              </w:rPr>
              <w:t>2</w:t>
            </w:r>
            <w:r>
              <w:rPr>
                <w:sz w:val="20"/>
              </w:rPr>
              <w:t>h</w:t>
            </w:r>
          </w:p>
          <w:p w:rsidR="00B40966" w:rsidRDefault="00B40966">
            <w:pPr>
              <w:pStyle w:val="TableText"/>
              <w:rPr>
                <w:sz w:val="20"/>
              </w:rPr>
            </w:pPr>
            <w:r>
              <w:rPr>
                <w:position w:val="4"/>
                <w:sz w:val="16"/>
              </w:rPr>
              <w:t>1</w:t>
            </w:r>
            <w:r>
              <w:rPr>
                <w:sz w:val="20"/>
              </w:rPr>
              <w:t>/</w:t>
            </w:r>
            <w:r>
              <w:rPr>
                <w:sz w:val="16"/>
              </w:rPr>
              <w:t xml:space="preserve">2 </w:t>
            </w:r>
            <w:r>
              <w:rPr>
                <w:sz w:val="20"/>
              </w:rPr>
              <w:t>to 1</w:t>
            </w:r>
            <w:r>
              <w:rPr>
                <w:position w:val="4"/>
                <w:sz w:val="16"/>
              </w:rPr>
              <w:t>1</w:t>
            </w:r>
            <w:r>
              <w:rPr>
                <w:sz w:val="20"/>
              </w:rPr>
              <w:t>/</w:t>
            </w:r>
            <w:r>
              <w:rPr>
                <w:sz w:val="16"/>
              </w:rPr>
              <w:t>2</w:t>
            </w:r>
            <w:r>
              <w:rPr>
                <w:sz w:val="20"/>
              </w:rPr>
              <w:t>h</w:t>
            </w:r>
          </w:p>
          <w:p w:rsidR="00B40966" w:rsidRDefault="00B40966">
            <w:pPr>
              <w:pStyle w:val="TableText"/>
              <w:rPr>
                <w:sz w:val="20"/>
              </w:rPr>
            </w:pPr>
            <w:r>
              <w:rPr>
                <w:sz w:val="20"/>
              </w:rPr>
              <w:t>1</w:t>
            </w:r>
            <w:r>
              <w:rPr>
                <w:position w:val="4"/>
                <w:sz w:val="16"/>
              </w:rPr>
              <w:t>1</w:t>
            </w:r>
            <w:r>
              <w:rPr>
                <w:sz w:val="20"/>
              </w:rPr>
              <w:t>/</w:t>
            </w:r>
            <w:r>
              <w:rPr>
                <w:sz w:val="16"/>
              </w:rPr>
              <w:t xml:space="preserve">2 </w:t>
            </w:r>
            <w:r>
              <w:rPr>
                <w:sz w:val="20"/>
              </w:rPr>
              <w:t>to 3h</w:t>
            </w:r>
          </w:p>
          <w:p w:rsidR="00B40966" w:rsidRDefault="00B40966">
            <w:pPr>
              <w:pStyle w:val="TableText"/>
              <w:rPr>
                <w:sz w:val="20"/>
              </w:rPr>
            </w:pPr>
            <w:r>
              <w:rPr>
                <w:sz w:val="20"/>
              </w:rPr>
              <w:t>over 3h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7</w:t>
            </w:r>
          </w:p>
          <w:p w:rsidR="00B40966" w:rsidRDefault="00B40966">
            <w:pPr>
              <w:pStyle w:val="TableText"/>
              <w:rPr>
                <w:sz w:val="20"/>
              </w:rPr>
            </w:pPr>
            <w:r>
              <w:rPr>
                <w:sz w:val="20"/>
              </w:rPr>
              <w:t>12</w:t>
            </w:r>
          </w:p>
          <w:p w:rsidR="00B40966" w:rsidRDefault="00B40966">
            <w:pPr>
              <w:pStyle w:val="TableText"/>
              <w:rPr>
                <w:sz w:val="20"/>
              </w:rPr>
            </w:pPr>
            <w:r>
              <w:rPr>
                <w:sz w:val="20"/>
              </w:rPr>
              <w:t>22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tc>
        <w:tc>
          <w:tcPr>
            <w:tcW w:w="1083" w:type="dxa"/>
            <w:tcBorders>
              <w:top w:val="single" w:sz="6" w:space="0" w:color="auto"/>
              <w:bottom w:val="single" w:sz="6" w:space="0" w:color="auto"/>
            </w:tcBorders>
          </w:tcPr>
          <w:p w:rsidR="00B40966" w:rsidRDefault="00B40966">
            <w:pPr>
              <w:pStyle w:val="TableText"/>
              <w:rPr>
                <w:sz w:val="20"/>
              </w:rPr>
            </w:pPr>
            <w:r>
              <w:rPr>
                <w:sz w:val="20"/>
              </w:rPr>
              <w:t>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54-60</w:t>
            </w:r>
          </w:p>
        </w:tc>
        <w:tc>
          <w:tcPr>
            <w:tcW w:w="933" w:type="dxa"/>
            <w:tcBorders>
              <w:top w:val="single" w:sz="6" w:space="0" w:color="auto"/>
              <w:bottom w:val="single" w:sz="6" w:space="0" w:color="auto"/>
            </w:tcBorders>
          </w:tcPr>
          <w:p w:rsidR="00B40966" w:rsidRDefault="00B40966">
            <w:pPr>
              <w:pStyle w:val="TableText"/>
              <w:rPr>
                <w:sz w:val="20"/>
              </w:rPr>
            </w:pPr>
            <w:r>
              <w:rPr>
                <w:sz w:val="20"/>
              </w:rPr>
              <w:t>9-10</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24-26</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20min</w:t>
            </w:r>
          </w:p>
          <w:p w:rsidR="00B40966" w:rsidRDefault="00B40966">
            <w:pPr>
              <w:pStyle w:val="TableText"/>
              <w:rPr>
                <w:sz w:val="20"/>
              </w:rPr>
            </w:pPr>
            <w:r>
              <w:rPr>
                <w:sz w:val="20"/>
              </w:rPr>
              <w:t>20 to 45min</w:t>
            </w:r>
          </w:p>
          <w:p w:rsidR="00B40966" w:rsidRDefault="00B40966">
            <w:pPr>
              <w:pStyle w:val="TableText"/>
              <w:rPr>
                <w:sz w:val="20"/>
              </w:rPr>
            </w:pPr>
            <w:r>
              <w:rPr>
                <w:position w:val="4"/>
                <w:sz w:val="16"/>
              </w:rPr>
              <w:t>3</w:t>
            </w:r>
            <w:r>
              <w:rPr>
                <w:sz w:val="20"/>
              </w:rPr>
              <w:t>/</w:t>
            </w:r>
            <w:r>
              <w:rPr>
                <w:sz w:val="16"/>
              </w:rPr>
              <w:t>4</w:t>
            </w:r>
            <w:r>
              <w:rPr>
                <w:sz w:val="20"/>
              </w:rPr>
              <w:t xml:space="preserve"> to 1</w:t>
            </w:r>
            <w:r>
              <w:rPr>
                <w:position w:val="4"/>
                <w:sz w:val="16"/>
              </w:rPr>
              <w:t>1</w:t>
            </w:r>
            <w:r>
              <w:rPr>
                <w:sz w:val="20"/>
              </w:rPr>
              <w:t>/</w:t>
            </w:r>
            <w:r>
              <w:rPr>
                <w:sz w:val="16"/>
              </w:rPr>
              <w:t>2</w:t>
            </w:r>
            <w:r>
              <w:rPr>
                <w:sz w:val="20"/>
              </w:rPr>
              <w:t>h</w:t>
            </w:r>
          </w:p>
          <w:p w:rsidR="00B40966" w:rsidRDefault="00B40966">
            <w:pPr>
              <w:pStyle w:val="TableText"/>
              <w:rPr>
                <w:sz w:val="20"/>
              </w:rPr>
            </w:pPr>
            <w:r>
              <w:rPr>
                <w:sz w:val="20"/>
              </w:rPr>
              <w:t>1</w:t>
            </w:r>
            <w:r>
              <w:rPr>
                <w:position w:val="4"/>
                <w:sz w:val="16"/>
              </w:rPr>
              <w:t>1</w:t>
            </w:r>
            <w:r>
              <w:rPr>
                <w:sz w:val="20"/>
              </w:rPr>
              <w:t>/</w:t>
            </w:r>
            <w:r>
              <w:rPr>
                <w:sz w:val="16"/>
              </w:rPr>
              <w:t xml:space="preserve">2 </w:t>
            </w:r>
            <w:r>
              <w:rPr>
                <w:sz w:val="20"/>
              </w:rPr>
              <w:t>to 2h</w:t>
            </w:r>
          </w:p>
          <w:p w:rsidR="00B40966" w:rsidRDefault="00B40966">
            <w:pPr>
              <w:pStyle w:val="TableText"/>
              <w:rPr>
                <w:sz w:val="20"/>
              </w:rPr>
            </w:pPr>
            <w:r>
              <w:rPr>
                <w:sz w:val="20"/>
              </w:rPr>
              <w:t>2 to 3h</w:t>
            </w:r>
          </w:p>
          <w:p w:rsidR="00B40966" w:rsidRDefault="00B40966">
            <w:pPr>
              <w:pStyle w:val="TableText"/>
              <w:rPr>
                <w:sz w:val="20"/>
              </w:rPr>
            </w:pPr>
            <w:r>
              <w:rPr>
                <w:sz w:val="20"/>
              </w:rPr>
              <w:t>over 3h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7</w:t>
            </w:r>
          </w:p>
          <w:p w:rsidR="00B40966" w:rsidRDefault="00B40966">
            <w:pPr>
              <w:pStyle w:val="TableText"/>
              <w:rPr>
                <w:sz w:val="20"/>
              </w:rPr>
            </w:pPr>
            <w:r>
              <w:rPr>
                <w:sz w:val="20"/>
              </w:rPr>
              <w:t>12</w:t>
            </w:r>
          </w:p>
          <w:p w:rsidR="00B40966" w:rsidRDefault="00B40966">
            <w:pPr>
              <w:pStyle w:val="TableText"/>
              <w:rPr>
                <w:sz w:val="20"/>
              </w:rPr>
            </w:pPr>
            <w:r>
              <w:rPr>
                <w:sz w:val="20"/>
              </w:rPr>
              <w:t>16</w:t>
            </w:r>
          </w:p>
          <w:p w:rsidR="00B40966" w:rsidRDefault="00B40966">
            <w:pPr>
              <w:pStyle w:val="TableText"/>
              <w:rPr>
                <w:sz w:val="20"/>
              </w:rPr>
            </w:pPr>
            <w:r>
              <w:rPr>
                <w:sz w:val="20"/>
              </w:rPr>
              <w:t>22</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4</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60-66</w:t>
            </w:r>
          </w:p>
        </w:tc>
        <w:tc>
          <w:tcPr>
            <w:tcW w:w="933" w:type="dxa"/>
            <w:tcBorders>
              <w:top w:val="single" w:sz="6" w:space="0" w:color="auto"/>
              <w:bottom w:val="single" w:sz="6" w:space="0" w:color="auto"/>
            </w:tcBorders>
          </w:tcPr>
          <w:p w:rsidR="00B40966" w:rsidRDefault="00B40966">
            <w:pPr>
              <w:pStyle w:val="TableText"/>
              <w:rPr>
                <w:sz w:val="20"/>
              </w:rPr>
            </w:pPr>
            <w:r>
              <w:rPr>
                <w:sz w:val="20"/>
              </w:rPr>
              <w:t>10-11</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26</w:t>
            </w:r>
            <w:r>
              <w:rPr>
                <w:position w:val="4"/>
                <w:sz w:val="16"/>
              </w:rPr>
              <w:t>1</w:t>
            </w:r>
            <w:r>
              <w:rPr>
                <w:sz w:val="20"/>
              </w:rPr>
              <w:t>/</w:t>
            </w:r>
            <w:r>
              <w:rPr>
                <w:sz w:val="16"/>
              </w:rPr>
              <w:t>2</w:t>
            </w:r>
            <w:r>
              <w:rPr>
                <w:sz w:val="20"/>
              </w:rPr>
              <w:t>-29</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15min</w:t>
            </w:r>
          </w:p>
          <w:p w:rsidR="00B40966" w:rsidRDefault="00B40966">
            <w:pPr>
              <w:pStyle w:val="TableText"/>
              <w:rPr>
                <w:sz w:val="20"/>
              </w:rPr>
            </w:pPr>
            <w:r>
              <w:rPr>
                <w:sz w:val="20"/>
              </w:rPr>
              <w:t>15 to 30min</w:t>
            </w:r>
          </w:p>
          <w:p w:rsidR="00B40966" w:rsidRDefault="00B40966">
            <w:pPr>
              <w:pStyle w:val="TableText"/>
              <w:rPr>
                <w:sz w:val="20"/>
              </w:rPr>
            </w:pPr>
            <w:r>
              <w:rPr>
                <w:sz w:val="20"/>
              </w:rPr>
              <w:t>30 to 48min</w:t>
            </w:r>
          </w:p>
          <w:p w:rsidR="00B40966" w:rsidRDefault="00B40966">
            <w:pPr>
              <w:pStyle w:val="TableText"/>
              <w:rPr>
                <w:sz w:val="20"/>
              </w:rPr>
            </w:pPr>
            <w:r>
              <w:rPr>
                <w:sz w:val="20"/>
              </w:rPr>
              <w:t>48 to 60min</w:t>
            </w:r>
          </w:p>
          <w:p w:rsidR="00B40966" w:rsidRDefault="00B40966">
            <w:pPr>
              <w:pStyle w:val="TableText"/>
              <w:rPr>
                <w:sz w:val="20"/>
              </w:rPr>
            </w:pPr>
            <w:r>
              <w:rPr>
                <w:sz w:val="20"/>
              </w:rPr>
              <w:t>1 to 1</w:t>
            </w:r>
            <w:r>
              <w:rPr>
                <w:position w:val="4"/>
                <w:sz w:val="16"/>
              </w:rPr>
              <w:t>1</w:t>
            </w:r>
            <w:r>
              <w:rPr>
                <w:sz w:val="20"/>
              </w:rPr>
              <w:t>/</w:t>
            </w:r>
            <w:r>
              <w:rPr>
                <w:sz w:val="16"/>
              </w:rPr>
              <w:t>2</w:t>
            </w:r>
            <w:r>
              <w:rPr>
                <w:sz w:val="20"/>
              </w:rPr>
              <w:t>h</w:t>
            </w:r>
          </w:p>
          <w:p w:rsidR="00B40966" w:rsidRDefault="00B40966">
            <w:pPr>
              <w:pStyle w:val="TableText"/>
              <w:rPr>
                <w:sz w:val="20"/>
              </w:rPr>
            </w:pPr>
            <w:r>
              <w:rPr>
                <w:sz w:val="20"/>
              </w:rPr>
              <w:t>1</w:t>
            </w:r>
            <w:r>
              <w:rPr>
                <w:position w:val="4"/>
                <w:sz w:val="16"/>
              </w:rPr>
              <w:t>1</w:t>
            </w:r>
            <w:r>
              <w:rPr>
                <w:sz w:val="20"/>
              </w:rPr>
              <w:t>/</w:t>
            </w:r>
            <w:r>
              <w:rPr>
                <w:sz w:val="16"/>
              </w:rPr>
              <w:t xml:space="preserve">2 </w:t>
            </w:r>
            <w:r>
              <w:rPr>
                <w:sz w:val="20"/>
              </w:rPr>
              <w:t>to 2h</w:t>
            </w:r>
          </w:p>
          <w:p w:rsidR="00B40966" w:rsidRDefault="00B40966">
            <w:pPr>
              <w:pStyle w:val="TableText"/>
              <w:rPr>
                <w:sz w:val="20"/>
              </w:rPr>
            </w:pPr>
            <w:r>
              <w:rPr>
                <w:sz w:val="20"/>
              </w:rPr>
              <w:t>2 to 2</w:t>
            </w:r>
            <w:r>
              <w:rPr>
                <w:position w:val="4"/>
                <w:sz w:val="16"/>
              </w:rPr>
              <w:t>1</w:t>
            </w:r>
            <w:r>
              <w:rPr>
                <w:sz w:val="20"/>
              </w:rPr>
              <w:t>/</w:t>
            </w:r>
            <w:r>
              <w:rPr>
                <w:sz w:val="16"/>
              </w:rPr>
              <w:t>2</w:t>
            </w:r>
            <w:r>
              <w:rPr>
                <w:sz w:val="20"/>
              </w:rPr>
              <w:t>h</w:t>
            </w:r>
          </w:p>
          <w:p w:rsidR="00B40966" w:rsidRDefault="00B40966">
            <w:pPr>
              <w:pStyle w:val="TableText"/>
              <w:rPr>
                <w:sz w:val="20"/>
              </w:rPr>
            </w:pPr>
            <w:r>
              <w:rPr>
                <w:sz w:val="20"/>
              </w:rPr>
              <w:t>2</w:t>
            </w:r>
            <w:r>
              <w:rPr>
                <w:position w:val="4"/>
                <w:sz w:val="16"/>
              </w:rPr>
              <w:t>1</w:t>
            </w:r>
            <w:r>
              <w:rPr>
                <w:sz w:val="20"/>
              </w:rPr>
              <w:t>/</w:t>
            </w:r>
            <w:r>
              <w:rPr>
                <w:sz w:val="16"/>
              </w:rPr>
              <w:t xml:space="preserve">2 </w:t>
            </w:r>
            <w:r>
              <w:rPr>
                <w:sz w:val="20"/>
              </w:rPr>
              <w:t>to 3h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13</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7</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19</w:t>
            </w:r>
          </w:p>
          <w:p w:rsidR="00B40966" w:rsidRDefault="00B40966">
            <w:pPr>
              <w:pStyle w:val="TableText"/>
              <w:rPr>
                <w:sz w:val="20"/>
              </w:rPr>
            </w:pPr>
            <w:r>
              <w:rPr>
                <w:sz w:val="20"/>
              </w:rPr>
              <w:t>22</w:t>
            </w:r>
          </w:p>
          <w:p w:rsidR="00B40966" w:rsidRDefault="00B40966">
            <w:pPr>
              <w:pStyle w:val="TableText"/>
              <w:rPr>
                <w:sz w:val="20"/>
              </w:rPr>
            </w:pPr>
            <w:r>
              <w:rPr>
                <w:sz w:val="20"/>
              </w:rPr>
              <w:t>27</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4</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66-72</w:t>
            </w:r>
          </w:p>
        </w:tc>
        <w:tc>
          <w:tcPr>
            <w:tcW w:w="933" w:type="dxa"/>
            <w:tcBorders>
              <w:top w:val="single" w:sz="6" w:space="0" w:color="auto"/>
              <w:bottom w:val="single" w:sz="6" w:space="0" w:color="auto"/>
            </w:tcBorders>
          </w:tcPr>
          <w:p w:rsidR="00B40966" w:rsidRDefault="00B40966">
            <w:pPr>
              <w:pStyle w:val="TableText"/>
              <w:rPr>
                <w:sz w:val="20"/>
              </w:rPr>
            </w:pPr>
            <w:r>
              <w:rPr>
                <w:sz w:val="20"/>
              </w:rPr>
              <w:t>11-12</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29</w:t>
            </w:r>
            <w:r>
              <w:rPr>
                <w:position w:val="4"/>
                <w:sz w:val="16"/>
              </w:rPr>
              <w:t>1</w:t>
            </w:r>
            <w:r>
              <w:rPr>
                <w:sz w:val="20"/>
              </w:rPr>
              <w:t>/</w:t>
            </w:r>
            <w:r>
              <w:rPr>
                <w:sz w:val="16"/>
              </w:rPr>
              <w:t>2</w:t>
            </w:r>
            <w:r>
              <w:rPr>
                <w:sz w:val="20"/>
              </w:rPr>
              <w:t>-32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15min</w:t>
            </w:r>
          </w:p>
          <w:p w:rsidR="00B40966" w:rsidRDefault="00B40966">
            <w:pPr>
              <w:pStyle w:val="TableText"/>
              <w:rPr>
                <w:sz w:val="20"/>
              </w:rPr>
            </w:pPr>
            <w:r>
              <w:rPr>
                <w:sz w:val="20"/>
              </w:rPr>
              <w:t>15 to 25min</w:t>
            </w:r>
          </w:p>
          <w:p w:rsidR="00B40966" w:rsidRDefault="00B40966">
            <w:pPr>
              <w:pStyle w:val="TableText"/>
              <w:rPr>
                <w:sz w:val="20"/>
              </w:rPr>
            </w:pPr>
            <w:r>
              <w:rPr>
                <w:sz w:val="20"/>
              </w:rPr>
              <w:t>25 to 30min</w:t>
            </w:r>
          </w:p>
          <w:p w:rsidR="00B40966" w:rsidRDefault="00B40966">
            <w:pPr>
              <w:pStyle w:val="TableText"/>
              <w:rPr>
                <w:sz w:val="20"/>
              </w:rPr>
            </w:pPr>
            <w:r>
              <w:rPr>
                <w:sz w:val="20"/>
              </w:rPr>
              <w:t>30 to 45min</w:t>
            </w:r>
          </w:p>
          <w:p w:rsidR="00B40966" w:rsidRDefault="00B40966">
            <w:pPr>
              <w:pStyle w:val="TableText"/>
              <w:rPr>
                <w:sz w:val="20"/>
              </w:rPr>
            </w:pPr>
            <w:r>
              <w:rPr>
                <w:position w:val="4"/>
                <w:sz w:val="16"/>
              </w:rPr>
              <w:t>3</w:t>
            </w:r>
            <w:r>
              <w:rPr>
                <w:sz w:val="20"/>
              </w:rPr>
              <w:t>/</w:t>
            </w:r>
            <w:r>
              <w:rPr>
                <w:sz w:val="16"/>
              </w:rPr>
              <w:t>4</w:t>
            </w:r>
            <w:r>
              <w:rPr>
                <w:sz w:val="20"/>
              </w:rPr>
              <w:t>h to 1h</w:t>
            </w:r>
          </w:p>
          <w:p w:rsidR="00B40966" w:rsidRDefault="00B40966">
            <w:pPr>
              <w:pStyle w:val="TableText"/>
              <w:rPr>
                <w:sz w:val="20"/>
              </w:rPr>
            </w:pPr>
            <w:r>
              <w:rPr>
                <w:sz w:val="20"/>
              </w:rPr>
              <w:t>1 to 1</w:t>
            </w:r>
            <w:r>
              <w:rPr>
                <w:position w:val="4"/>
                <w:sz w:val="16"/>
              </w:rPr>
              <w:t>1</w:t>
            </w:r>
            <w:r>
              <w:rPr>
                <w:sz w:val="20"/>
              </w:rPr>
              <w:t>/</w:t>
            </w:r>
            <w:r>
              <w:rPr>
                <w:sz w:val="16"/>
              </w:rPr>
              <w:t>2</w:t>
            </w:r>
            <w:r>
              <w:rPr>
                <w:sz w:val="20"/>
              </w:rPr>
              <w:t>h</w:t>
            </w:r>
          </w:p>
          <w:p w:rsidR="00B40966" w:rsidRDefault="00B40966">
            <w:pPr>
              <w:pStyle w:val="TableText"/>
              <w:rPr>
                <w:sz w:val="20"/>
              </w:rPr>
            </w:pPr>
            <w:r>
              <w:rPr>
                <w:sz w:val="20"/>
              </w:rPr>
              <w:t>1</w:t>
            </w:r>
            <w:r>
              <w:rPr>
                <w:position w:val="4"/>
                <w:sz w:val="16"/>
              </w:rPr>
              <w:t>1</w:t>
            </w:r>
            <w:r>
              <w:rPr>
                <w:sz w:val="20"/>
              </w:rPr>
              <w:t>/</w:t>
            </w:r>
            <w:r>
              <w:rPr>
                <w:sz w:val="16"/>
              </w:rPr>
              <w:t xml:space="preserve">2 </w:t>
            </w:r>
            <w:r>
              <w:rPr>
                <w:sz w:val="20"/>
              </w:rPr>
              <w:t>to 2h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9</w:t>
            </w:r>
          </w:p>
          <w:p w:rsidR="00B40966" w:rsidRDefault="00B40966">
            <w:pPr>
              <w:pStyle w:val="TableText"/>
              <w:rPr>
                <w:sz w:val="20"/>
              </w:rPr>
            </w:pPr>
            <w:r>
              <w:rPr>
                <w:sz w:val="20"/>
              </w:rPr>
              <w:t>12</w:t>
            </w:r>
          </w:p>
          <w:p w:rsidR="00B40966" w:rsidRDefault="00B40966">
            <w:pPr>
              <w:pStyle w:val="TableText"/>
              <w:rPr>
                <w:sz w:val="20"/>
              </w:rPr>
            </w:pPr>
            <w:r>
              <w:rPr>
                <w:sz w:val="20"/>
              </w:rPr>
              <w:t>16</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4</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19</w:t>
            </w:r>
          </w:p>
          <w:p w:rsidR="00B40966" w:rsidRDefault="00B40966">
            <w:pPr>
              <w:pStyle w:val="TableText"/>
              <w:rPr>
                <w:sz w:val="20"/>
              </w:rPr>
            </w:pPr>
            <w:r>
              <w:rPr>
                <w:sz w:val="20"/>
              </w:rPr>
              <w:t>26</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4</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72-78</w:t>
            </w:r>
          </w:p>
        </w:tc>
        <w:tc>
          <w:tcPr>
            <w:tcW w:w="933" w:type="dxa"/>
            <w:tcBorders>
              <w:top w:val="single" w:sz="6" w:space="0" w:color="auto"/>
              <w:bottom w:val="single" w:sz="6" w:space="0" w:color="auto"/>
            </w:tcBorders>
          </w:tcPr>
          <w:p w:rsidR="00B40966" w:rsidRDefault="00B40966">
            <w:pPr>
              <w:pStyle w:val="TableText"/>
              <w:rPr>
                <w:sz w:val="20"/>
              </w:rPr>
            </w:pPr>
            <w:r>
              <w:rPr>
                <w:sz w:val="20"/>
              </w:rPr>
              <w:t>12-13</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32-34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10min</w:t>
            </w:r>
          </w:p>
          <w:p w:rsidR="00B40966" w:rsidRDefault="00B40966">
            <w:pPr>
              <w:pStyle w:val="TableText"/>
              <w:rPr>
                <w:sz w:val="20"/>
              </w:rPr>
            </w:pPr>
            <w:r>
              <w:rPr>
                <w:sz w:val="20"/>
              </w:rPr>
              <w:t>10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38min</w:t>
            </w:r>
          </w:p>
          <w:p w:rsidR="00B40966" w:rsidRDefault="00B40966">
            <w:pPr>
              <w:pStyle w:val="TableText"/>
              <w:rPr>
                <w:sz w:val="20"/>
              </w:rPr>
            </w:pPr>
            <w:r>
              <w:rPr>
                <w:sz w:val="20"/>
              </w:rPr>
              <w:t>38 to 45min</w:t>
            </w:r>
          </w:p>
          <w:p w:rsidR="00B40966" w:rsidRDefault="00B40966">
            <w:pPr>
              <w:pStyle w:val="TableText"/>
              <w:rPr>
                <w:sz w:val="20"/>
              </w:rPr>
            </w:pPr>
            <w:r>
              <w:rPr>
                <w:position w:val="4"/>
                <w:sz w:val="16"/>
              </w:rPr>
              <w:t>3</w:t>
            </w:r>
            <w:r>
              <w:rPr>
                <w:sz w:val="20"/>
              </w:rPr>
              <w:t>/</w:t>
            </w:r>
            <w:r>
              <w:rPr>
                <w:sz w:val="16"/>
              </w:rPr>
              <w:t>4</w:t>
            </w:r>
            <w:r>
              <w:rPr>
                <w:sz w:val="20"/>
              </w:rPr>
              <w:t xml:space="preserve"> to 1h</w:t>
            </w:r>
          </w:p>
          <w:p w:rsidR="00B40966" w:rsidRDefault="00B40966">
            <w:pPr>
              <w:pStyle w:val="TableText"/>
              <w:rPr>
                <w:sz w:val="20"/>
              </w:rPr>
            </w:pPr>
            <w:r>
              <w:rPr>
                <w:sz w:val="20"/>
              </w:rPr>
              <w:t>1 to 1</w:t>
            </w:r>
            <w:r>
              <w:rPr>
                <w:position w:val="4"/>
                <w:sz w:val="16"/>
              </w:rPr>
              <w:t>1</w:t>
            </w:r>
            <w:r>
              <w:rPr>
                <w:sz w:val="20"/>
              </w:rPr>
              <w:t>/</w:t>
            </w:r>
            <w:r>
              <w:rPr>
                <w:sz w:val="16"/>
              </w:rPr>
              <w:t>4</w:t>
            </w:r>
            <w:r>
              <w:rPr>
                <w:sz w:val="20"/>
              </w:rPr>
              <w:t>h</w:t>
            </w:r>
          </w:p>
          <w:p w:rsidR="00B40966" w:rsidRDefault="00B40966">
            <w:pPr>
              <w:pStyle w:val="TableText"/>
              <w:rPr>
                <w:sz w:val="20"/>
              </w:rPr>
            </w:pPr>
            <w:r>
              <w:rPr>
                <w:sz w:val="20"/>
              </w:rPr>
              <w:t>1</w:t>
            </w:r>
            <w:r>
              <w:rPr>
                <w:position w:val="4"/>
                <w:sz w:val="16"/>
              </w:rPr>
              <w:t>1</w:t>
            </w:r>
            <w:r>
              <w:rPr>
                <w:sz w:val="20"/>
              </w:rPr>
              <w:t>/</w:t>
            </w:r>
            <w:r>
              <w:rPr>
                <w:sz w:val="16"/>
              </w:rPr>
              <w:t>4</w:t>
            </w:r>
            <w:r>
              <w:rPr>
                <w:sz w:val="20"/>
              </w:rPr>
              <w:t xml:space="preserve"> to 1</w:t>
            </w:r>
            <w:r>
              <w:rPr>
                <w:position w:val="4"/>
                <w:sz w:val="16"/>
              </w:rPr>
              <w:t>1</w:t>
            </w:r>
            <w:r>
              <w:rPr>
                <w:sz w:val="20"/>
              </w:rPr>
              <w:t>/</w:t>
            </w:r>
            <w:r>
              <w:rPr>
                <w:sz w:val="16"/>
              </w:rPr>
              <w:t>2</w:t>
            </w:r>
            <w:r>
              <w:rPr>
                <w:sz w:val="20"/>
              </w:rPr>
              <w:t>h</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9</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16</w:t>
            </w:r>
          </w:p>
          <w:p w:rsidR="00B40966" w:rsidRDefault="00B40966">
            <w:pPr>
              <w:pStyle w:val="TableText"/>
              <w:rPr>
                <w:sz w:val="20"/>
              </w:rPr>
            </w:pPr>
            <w:r>
              <w:rPr>
                <w:sz w:val="20"/>
              </w:rPr>
              <w:t>18</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13</w:t>
            </w:r>
          </w:p>
          <w:p w:rsidR="00B40966" w:rsidRDefault="00B40966">
            <w:pPr>
              <w:pStyle w:val="TableText"/>
              <w:rPr>
                <w:sz w:val="20"/>
              </w:rPr>
            </w:pPr>
            <w:r>
              <w:rPr>
                <w:sz w:val="20"/>
              </w:rPr>
              <w:t>18</w:t>
            </w:r>
          </w:p>
          <w:p w:rsidR="00B40966" w:rsidRDefault="00B40966">
            <w:pPr>
              <w:pStyle w:val="TableText"/>
              <w:rPr>
                <w:sz w:val="20"/>
              </w:rPr>
            </w:pPr>
            <w:r>
              <w:rPr>
                <w:sz w:val="20"/>
              </w:rPr>
              <w:t>22</w:t>
            </w:r>
          </w:p>
          <w:p w:rsidR="00B40966" w:rsidRDefault="00B40966">
            <w:pPr>
              <w:pStyle w:val="TableText"/>
              <w:rPr>
                <w:sz w:val="20"/>
              </w:rPr>
            </w:pPr>
            <w:r>
              <w:rPr>
                <w:sz w:val="20"/>
              </w:rPr>
              <w:t>26</w:t>
            </w:r>
          </w:p>
          <w:p w:rsidR="00B40966" w:rsidRDefault="00B40966">
            <w:pPr>
              <w:pStyle w:val="TableText"/>
              <w:rPr>
                <w:sz w:val="20"/>
              </w:rPr>
            </w:pPr>
            <w:r>
              <w:rPr>
                <w:sz w:val="20"/>
              </w:rPr>
              <w:t>29</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4</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78-84</w:t>
            </w:r>
          </w:p>
        </w:tc>
        <w:tc>
          <w:tcPr>
            <w:tcW w:w="933" w:type="dxa"/>
            <w:tcBorders>
              <w:top w:val="single" w:sz="6" w:space="0" w:color="auto"/>
              <w:bottom w:val="single" w:sz="6" w:space="0" w:color="auto"/>
            </w:tcBorders>
          </w:tcPr>
          <w:p w:rsidR="00B40966" w:rsidRDefault="00B40966">
            <w:pPr>
              <w:pStyle w:val="TableText"/>
              <w:rPr>
                <w:sz w:val="20"/>
              </w:rPr>
            </w:pPr>
            <w:r>
              <w:rPr>
                <w:sz w:val="20"/>
              </w:rPr>
              <w:t>13-14</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34</w:t>
            </w:r>
            <w:r>
              <w:rPr>
                <w:position w:val="4"/>
                <w:sz w:val="16"/>
              </w:rPr>
              <w:t>1</w:t>
            </w:r>
            <w:r>
              <w:rPr>
                <w:sz w:val="20"/>
              </w:rPr>
              <w:t>/</w:t>
            </w:r>
            <w:r>
              <w:rPr>
                <w:sz w:val="16"/>
              </w:rPr>
              <w:t>2</w:t>
            </w:r>
            <w:r>
              <w:rPr>
                <w:sz w:val="20"/>
              </w:rPr>
              <w:t>-37</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10min</w:t>
            </w:r>
          </w:p>
          <w:p w:rsidR="00B40966" w:rsidRDefault="00B40966">
            <w:pPr>
              <w:pStyle w:val="TableText"/>
              <w:rPr>
                <w:sz w:val="20"/>
              </w:rPr>
            </w:pPr>
            <w:r>
              <w:rPr>
                <w:sz w:val="20"/>
              </w:rPr>
              <w:t>10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45min</w:t>
            </w:r>
          </w:p>
          <w:p w:rsidR="00B40966" w:rsidRDefault="00B40966">
            <w:pPr>
              <w:pStyle w:val="TableText"/>
              <w:rPr>
                <w:sz w:val="20"/>
              </w:rPr>
            </w:pPr>
            <w:r>
              <w:rPr>
                <w:sz w:val="20"/>
              </w:rPr>
              <w:t>45 to 55min</w:t>
            </w:r>
          </w:p>
          <w:p w:rsidR="00B40966" w:rsidRDefault="00B40966">
            <w:pPr>
              <w:pStyle w:val="TableText"/>
              <w:rPr>
                <w:sz w:val="20"/>
              </w:rPr>
            </w:pPr>
            <w:r>
              <w:rPr>
                <w:sz w:val="20"/>
              </w:rPr>
              <w:t>55 to 65min</w:t>
            </w:r>
          </w:p>
          <w:p w:rsidR="00B40966" w:rsidRDefault="00B40966">
            <w:pPr>
              <w:pStyle w:val="TableText"/>
              <w:rPr>
                <w:sz w:val="20"/>
              </w:rPr>
            </w:pPr>
            <w:r>
              <w:rPr>
                <w:sz w:val="20"/>
              </w:rPr>
              <w:t>65 to 75min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9</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13</w:t>
            </w:r>
          </w:p>
          <w:p w:rsidR="00B40966" w:rsidRDefault="00B40966">
            <w:pPr>
              <w:pStyle w:val="TableText"/>
              <w:rPr>
                <w:sz w:val="20"/>
              </w:rPr>
            </w:pPr>
            <w:r>
              <w:rPr>
                <w:sz w:val="20"/>
              </w:rPr>
              <w:t>15</w:t>
            </w:r>
          </w:p>
          <w:p w:rsidR="00B40966" w:rsidRDefault="00B40966">
            <w:pPr>
              <w:pStyle w:val="TableText"/>
              <w:rPr>
                <w:sz w:val="20"/>
              </w:rPr>
            </w:pPr>
            <w:r>
              <w:rPr>
                <w:sz w:val="20"/>
              </w:rPr>
              <w:t>16</w:t>
            </w:r>
          </w:p>
          <w:p w:rsidR="00B40966" w:rsidRDefault="00B40966">
            <w:pPr>
              <w:pStyle w:val="TableText"/>
              <w:rPr>
                <w:sz w:val="20"/>
              </w:rPr>
            </w:pPr>
            <w:r>
              <w:rPr>
                <w:sz w:val="20"/>
              </w:rPr>
              <w:t>18</w:t>
            </w:r>
          </w:p>
          <w:p w:rsidR="00B40966" w:rsidRDefault="00B40966">
            <w:pPr>
              <w:pStyle w:val="TableText"/>
              <w:rPr>
                <w:sz w:val="20"/>
              </w:rPr>
            </w:pPr>
            <w:r>
              <w:rPr>
                <w:sz w:val="20"/>
              </w:rPr>
              <w:t>20</w:t>
            </w:r>
          </w:p>
        </w:tc>
        <w:tc>
          <w:tcPr>
            <w:tcW w:w="1044" w:type="dxa"/>
            <w:tcBorders>
              <w:top w:val="single" w:sz="6" w:space="0" w:color="auto"/>
              <w:bottom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13</w:t>
            </w:r>
          </w:p>
          <w:p w:rsidR="00B40966" w:rsidRDefault="00B40966">
            <w:pPr>
              <w:pStyle w:val="TableText"/>
              <w:rPr>
                <w:sz w:val="20"/>
              </w:rPr>
            </w:pPr>
            <w:r>
              <w:rPr>
                <w:sz w:val="20"/>
              </w:rPr>
              <w:t>19</w:t>
            </w:r>
          </w:p>
          <w:p w:rsidR="00B40966" w:rsidRDefault="00B40966">
            <w:pPr>
              <w:pStyle w:val="TableText"/>
              <w:rPr>
                <w:sz w:val="20"/>
              </w:rPr>
            </w:pPr>
            <w:r>
              <w:rPr>
                <w:sz w:val="20"/>
              </w:rPr>
              <w:t>22</w:t>
            </w:r>
          </w:p>
          <w:p w:rsidR="00B40966" w:rsidRDefault="00B40966">
            <w:pPr>
              <w:pStyle w:val="TableText"/>
              <w:rPr>
                <w:sz w:val="20"/>
              </w:rPr>
            </w:pPr>
            <w:r>
              <w:rPr>
                <w:sz w:val="20"/>
              </w:rPr>
              <w:t>26</w:t>
            </w:r>
          </w:p>
          <w:p w:rsidR="00B40966" w:rsidRDefault="00B40966">
            <w:pPr>
              <w:pStyle w:val="TableText"/>
              <w:rPr>
                <w:sz w:val="20"/>
              </w:rPr>
            </w:pPr>
            <w:r>
              <w:rPr>
                <w:sz w:val="20"/>
              </w:rPr>
              <w:t>29</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83" w:type="dxa"/>
            <w:tcBorders>
              <w:top w:val="single" w:sz="6" w:space="0" w:color="auto"/>
              <w:bottom w:val="single" w:sz="6" w:space="0" w:color="auto"/>
            </w:tcBorders>
          </w:tcPr>
          <w:p w:rsidR="00B40966" w:rsidRDefault="00B40966">
            <w:pPr>
              <w:pStyle w:val="TableText"/>
              <w:rPr>
                <w:sz w:val="20"/>
              </w:rPr>
            </w:pPr>
            <w:r>
              <w:rPr>
                <w:sz w:val="20"/>
              </w:rPr>
              <w:t>6</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84-90</w:t>
            </w:r>
          </w:p>
        </w:tc>
        <w:tc>
          <w:tcPr>
            <w:tcW w:w="933" w:type="dxa"/>
            <w:tcBorders>
              <w:top w:val="single" w:sz="6" w:space="0" w:color="auto"/>
              <w:bottom w:val="single" w:sz="6" w:space="0" w:color="auto"/>
            </w:tcBorders>
          </w:tcPr>
          <w:p w:rsidR="00B40966" w:rsidRDefault="00B40966">
            <w:pPr>
              <w:pStyle w:val="TableText"/>
              <w:rPr>
                <w:sz w:val="20"/>
              </w:rPr>
            </w:pPr>
            <w:r>
              <w:rPr>
                <w:sz w:val="20"/>
              </w:rPr>
              <w:t>14-15</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37-40</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10min</w:t>
            </w:r>
          </w:p>
          <w:p w:rsidR="00B40966" w:rsidRDefault="00B40966">
            <w:pPr>
              <w:pStyle w:val="TableText"/>
              <w:rPr>
                <w:sz w:val="20"/>
              </w:rPr>
            </w:pPr>
            <w:r>
              <w:rPr>
                <w:sz w:val="20"/>
              </w:rPr>
              <w:t>10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40min</w:t>
            </w:r>
          </w:p>
          <w:p w:rsidR="00B40966" w:rsidRDefault="00B40966">
            <w:pPr>
              <w:pStyle w:val="TableText"/>
              <w:rPr>
                <w:sz w:val="20"/>
              </w:rPr>
            </w:pPr>
            <w:r>
              <w:rPr>
                <w:sz w:val="20"/>
              </w:rPr>
              <w:t>40 to 50min</w:t>
            </w:r>
          </w:p>
          <w:p w:rsidR="00B40966" w:rsidRDefault="00B40966">
            <w:pPr>
              <w:pStyle w:val="TableText"/>
              <w:rPr>
                <w:sz w:val="20"/>
              </w:rPr>
            </w:pPr>
            <w:r>
              <w:rPr>
                <w:sz w:val="20"/>
              </w:rPr>
              <w:t>50 to 60min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tc>
        <w:tc>
          <w:tcPr>
            <w:tcW w:w="540" w:type="dxa"/>
            <w:tcBorders>
              <w:top w:val="single" w:sz="6" w:space="0" w:color="auto"/>
              <w:bottom w:val="single" w:sz="6" w:space="0" w:color="auto"/>
            </w:tcBorders>
          </w:tcPr>
          <w:p w:rsidR="00B40966" w:rsidRDefault="00B40966">
            <w:pPr>
              <w:pStyle w:val="TableText"/>
              <w:rPr>
                <w:sz w:val="20"/>
              </w:rPr>
            </w:pPr>
            <w:r>
              <w:rPr>
                <w:sz w:val="20"/>
              </w:rPr>
              <w:t>1</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15</w:t>
            </w:r>
          </w:p>
        </w:tc>
        <w:tc>
          <w:tcPr>
            <w:tcW w:w="1044" w:type="dxa"/>
            <w:tcBorders>
              <w:top w:val="single" w:sz="6" w:space="0" w:color="auto"/>
              <w:bottom w:val="single" w:sz="6" w:space="0" w:color="auto"/>
            </w:tcBorders>
          </w:tcPr>
          <w:p w:rsidR="00B40966" w:rsidRDefault="00B40966">
            <w:pPr>
              <w:pStyle w:val="TableText"/>
              <w:rPr>
                <w:sz w:val="20"/>
              </w:rPr>
            </w:pPr>
            <w:r>
              <w:rPr>
                <w:sz w:val="20"/>
              </w:rPr>
              <w:t>6</w:t>
            </w:r>
          </w:p>
          <w:p w:rsidR="00B40966" w:rsidRDefault="00B40966">
            <w:pPr>
              <w:pStyle w:val="TableText"/>
              <w:rPr>
                <w:sz w:val="20"/>
              </w:rPr>
            </w:pPr>
            <w:r>
              <w:rPr>
                <w:sz w:val="20"/>
              </w:rPr>
              <w:t>10</w:t>
            </w:r>
          </w:p>
          <w:p w:rsidR="00B40966" w:rsidRDefault="00B40966">
            <w:pPr>
              <w:pStyle w:val="TableText"/>
              <w:rPr>
                <w:sz w:val="20"/>
              </w:rPr>
            </w:pPr>
            <w:r>
              <w:rPr>
                <w:sz w:val="20"/>
              </w:rPr>
              <w:t>16</w:t>
            </w:r>
          </w:p>
          <w:p w:rsidR="00B40966" w:rsidRDefault="00B40966">
            <w:pPr>
              <w:pStyle w:val="TableText"/>
              <w:rPr>
                <w:sz w:val="20"/>
              </w:rPr>
            </w:pPr>
            <w:r>
              <w:rPr>
                <w:sz w:val="20"/>
              </w:rPr>
              <w:t>22</w:t>
            </w:r>
          </w:p>
          <w:p w:rsidR="00B40966" w:rsidRDefault="00B40966">
            <w:pPr>
              <w:pStyle w:val="TableText"/>
              <w:rPr>
                <w:sz w:val="20"/>
              </w:rPr>
            </w:pPr>
            <w:r>
              <w:rPr>
                <w:sz w:val="20"/>
              </w:rPr>
              <w:t>26</w:t>
            </w:r>
          </w:p>
          <w:p w:rsidR="00B40966" w:rsidRDefault="00B40966">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83" w:type="dxa"/>
            <w:tcBorders>
              <w:top w:val="single" w:sz="6" w:space="0" w:color="auto"/>
              <w:bottom w:val="single" w:sz="6" w:space="0" w:color="auto"/>
            </w:tcBorders>
          </w:tcPr>
          <w:p w:rsidR="00B40966" w:rsidRDefault="00B40966">
            <w:pPr>
              <w:pStyle w:val="TableText"/>
              <w:rPr>
                <w:sz w:val="20"/>
              </w:rPr>
            </w:pP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90-96</w:t>
            </w:r>
          </w:p>
        </w:tc>
        <w:tc>
          <w:tcPr>
            <w:tcW w:w="933" w:type="dxa"/>
            <w:tcBorders>
              <w:top w:val="single" w:sz="6" w:space="0" w:color="auto"/>
              <w:bottom w:val="single" w:sz="6" w:space="0" w:color="auto"/>
            </w:tcBorders>
          </w:tcPr>
          <w:p w:rsidR="00B40966" w:rsidRDefault="00B40966">
            <w:pPr>
              <w:pStyle w:val="TableText"/>
              <w:rPr>
                <w:sz w:val="20"/>
              </w:rPr>
            </w:pPr>
            <w:r>
              <w:rPr>
                <w:sz w:val="20"/>
              </w:rPr>
              <w:t>15-16</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40-42</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10min</w:t>
            </w:r>
          </w:p>
          <w:p w:rsidR="00B40966" w:rsidRDefault="00B40966">
            <w:pPr>
              <w:pStyle w:val="TableText"/>
              <w:rPr>
                <w:sz w:val="20"/>
              </w:rPr>
            </w:pPr>
            <w:r>
              <w:rPr>
                <w:sz w:val="20"/>
              </w:rPr>
              <w:t>10 to 20min</w:t>
            </w:r>
          </w:p>
          <w:p w:rsidR="00B40966" w:rsidRDefault="00B40966">
            <w:pPr>
              <w:pStyle w:val="TableText"/>
              <w:rPr>
                <w:sz w:val="20"/>
              </w:rPr>
            </w:pPr>
            <w:r>
              <w:rPr>
                <w:sz w:val="20"/>
              </w:rPr>
              <w:t>20 to 30min</w:t>
            </w:r>
          </w:p>
          <w:p w:rsidR="00B40966" w:rsidRDefault="00B40966">
            <w:pPr>
              <w:pStyle w:val="TableText"/>
              <w:rPr>
                <w:sz w:val="20"/>
              </w:rPr>
            </w:pPr>
            <w:r>
              <w:rPr>
                <w:sz w:val="20"/>
              </w:rPr>
              <w:t>30 to 35min</w:t>
            </w:r>
          </w:p>
          <w:p w:rsidR="00B40966" w:rsidRDefault="00B40966">
            <w:pPr>
              <w:pStyle w:val="TableText"/>
              <w:rPr>
                <w:sz w:val="20"/>
              </w:rPr>
            </w:pPr>
            <w:r>
              <w:rPr>
                <w:sz w:val="20"/>
              </w:rPr>
              <w:t>35 to 45min</w:t>
            </w:r>
          </w:p>
          <w:p w:rsidR="00B40966" w:rsidRDefault="00B40966">
            <w:pPr>
              <w:pStyle w:val="TableText"/>
              <w:rPr>
                <w:sz w:val="20"/>
              </w:rPr>
            </w:pPr>
            <w:r>
              <w:rPr>
                <w:sz w:val="20"/>
              </w:rPr>
              <w:t>45 to 55min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1</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11</w:t>
            </w:r>
          </w:p>
          <w:p w:rsidR="00B40966" w:rsidRDefault="00B40966">
            <w:pPr>
              <w:pStyle w:val="TableText"/>
              <w:rPr>
                <w:sz w:val="20"/>
              </w:rPr>
            </w:pPr>
            <w:r>
              <w:rPr>
                <w:sz w:val="20"/>
              </w:rPr>
              <w:t>15</w:t>
            </w:r>
          </w:p>
          <w:p w:rsidR="00B40966" w:rsidRDefault="00B40966">
            <w:pPr>
              <w:pStyle w:val="TableText"/>
              <w:rPr>
                <w:sz w:val="20"/>
              </w:rPr>
            </w:pPr>
            <w:r>
              <w:rPr>
                <w:sz w:val="20"/>
              </w:rPr>
              <w:t>15</w:t>
            </w:r>
          </w:p>
          <w:p w:rsidR="00B40966" w:rsidRDefault="00B40966">
            <w:pPr>
              <w:pStyle w:val="TableText"/>
              <w:rPr>
                <w:sz w:val="20"/>
              </w:rPr>
            </w:pPr>
            <w:r>
              <w:rPr>
                <w:sz w:val="20"/>
              </w:rPr>
              <w:t>15</w:t>
            </w:r>
          </w:p>
        </w:tc>
        <w:tc>
          <w:tcPr>
            <w:tcW w:w="1044" w:type="dxa"/>
            <w:tcBorders>
              <w:top w:val="single" w:sz="6" w:space="0" w:color="auto"/>
              <w:bottom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11</w:t>
            </w:r>
          </w:p>
          <w:p w:rsidR="00B40966" w:rsidRDefault="00B40966">
            <w:pPr>
              <w:pStyle w:val="TableText"/>
              <w:rPr>
                <w:sz w:val="20"/>
              </w:rPr>
            </w:pPr>
            <w:r>
              <w:rPr>
                <w:sz w:val="20"/>
              </w:rPr>
              <w:t>18</w:t>
            </w:r>
          </w:p>
          <w:p w:rsidR="00B40966" w:rsidRDefault="00B40966">
            <w:pPr>
              <w:pStyle w:val="TableText"/>
              <w:rPr>
                <w:sz w:val="20"/>
              </w:rPr>
            </w:pPr>
            <w:r>
              <w:rPr>
                <w:sz w:val="20"/>
              </w:rPr>
              <w:t>22</w:t>
            </w:r>
          </w:p>
          <w:p w:rsidR="00B40966" w:rsidRDefault="00B40966">
            <w:pPr>
              <w:pStyle w:val="TableText"/>
              <w:rPr>
                <w:sz w:val="20"/>
              </w:rPr>
            </w:pPr>
            <w:r>
              <w:rPr>
                <w:sz w:val="20"/>
              </w:rPr>
              <w:t>27</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83" w:type="dxa"/>
            <w:tcBorders>
              <w:top w:val="single" w:sz="6" w:space="0" w:color="auto"/>
              <w:bottom w:val="single" w:sz="6" w:space="0" w:color="auto"/>
            </w:tcBorders>
          </w:tcPr>
          <w:p w:rsidR="00B40966" w:rsidRDefault="00B40966">
            <w:pPr>
              <w:pStyle w:val="TableText"/>
              <w:rPr>
                <w:sz w:val="20"/>
              </w:rPr>
            </w:pPr>
            <w:r>
              <w:rPr>
                <w:sz w:val="20"/>
              </w:rPr>
              <w:t>6</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98-108</w:t>
            </w:r>
          </w:p>
        </w:tc>
        <w:tc>
          <w:tcPr>
            <w:tcW w:w="933" w:type="dxa"/>
            <w:tcBorders>
              <w:top w:val="single" w:sz="6" w:space="0" w:color="auto"/>
              <w:bottom w:val="single" w:sz="6" w:space="0" w:color="auto"/>
            </w:tcBorders>
          </w:tcPr>
          <w:p w:rsidR="00B40966" w:rsidRDefault="00B40966">
            <w:pPr>
              <w:pStyle w:val="TableText"/>
              <w:rPr>
                <w:sz w:val="20"/>
              </w:rPr>
            </w:pPr>
            <w:r>
              <w:rPr>
                <w:sz w:val="20"/>
              </w:rPr>
              <w:t>16-18</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42</w:t>
            </w:r>
            <w:r>
              <w:rPr>
                <w:position w:val="4"/>
                <w:sz w:val="16"/>
              </w:rPr>
              <w:t>1</w:t>
            </w:r>
            <w:r>
              <w:rPr>
                <w:sz w:val="20"/>
              </w:rPr>
              <w:t>/</w:t>
            </w:r>
            <w:r>
              <w:rPr>
                <w:sz w:val="16"/>
              </w:rPr>
              <w:t>2</w:t>
            </w:r>
            <w:r>
              <w:rPr>
                <w:sz w:val="20"/>
              </w:rPr>
              <w:t>-48</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15min</w:t>
            </w:r>
          </w:p>
          <w:p w:rsidR="00B40966" w:rsidRDefault="00B40966">
            <w:pPr>
              <w:pStyle w:val="TableText"/>
              <w:rPr>
                <w:sz w:val="20"/>
              </w:rPr>
            </w:pPr>
            <w:r>
              <w:rPr>
                <w:sz w:val="20"/>
              </w:rPr>
              <w:t>15 to 20min</w:t>
            </w:r>
          </w:p>
          <w:p w:rsidR="00B40966" w:rsidRDefault="00B40966">
            <w:pPr>
              <w:pStyle w:val="TableText"/>
              <w:rPr>
                <w:sz w:val="20"/>
              </w:rPr>
            </w:pPr>
            <w:r>
              <w:rPr>
                <w:sz w:val="20"/>
              </w:rPr>
              <w:t>20 to 25min</w:t>
            </w:r>
          </w:p>
          <w:p w:rsidR="00B40966" w:rsidRDefault="00B40966">
            <w:pPr>
              <w:pStyle w:val="TableText"/>
              <w:rPr>
                <w:sz w:val="20"/>
              </w:rPr>
            </w:pPr>
            <w:r>
              <w:rPr>
                <w:sz w:val="20"/>
              </w:rPr>
              <w:t>25 to 30min</w:t>
            </w:r>
          </w:p>
          <w:p w:rsidR="00B40966" w:rsidRDefault="00B40966">
            <w:pPr>
              <w:pStyle w:val="TableText"/>
              <w:rPr>
                <w:sz w:val="20"/>
              </w:rPr>
            </w:pPr>
            <w:r>
              <w:rPr>
                <w:sz w:val="20"/>
              </w:rPr>
              <w:t>30 to 35min</w:t>
            </w:r>
          </w:p>
          <w:p w:rsidR="00B40966" w:rsidRDefault="00B40966">
            <w:pPr>
              <w:pStyle w:val="TableText"/>
              <w:rPr>
                <w:sz w:val="20"/>
              </w:rPr>
            </w:pPr>
            <w:r>
              <w:rPr>
                <w:sz w:val="20"/>
              </w:rPr>
              <w:t>35 to 40min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1</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15</w:t>
            </w:r>
          </w:p>
        </w:tc>
        <w:tc>
          <w:tcPr>
            <w:tcW w:w="1044" w:type="dxa"/>
            <w:tcBorders>
              <w:top w:val="single" w:sz="6" w:space="0" w:color="auto"/>
              <w:bottom w:val="single" w:sz="6" w:space="0" w:color="auto"/>
            </w:tcBorders>
          </w:tcPr>
          <w:p w:rsidR="00B40966" w:rsidRDefault="00B40966">
            <w:pPr>
              <w:pStyle w:val="TableText"/>
              <w:rPr>
                <w:sz w:val="20"/>
              </w:rPr>
            </w:pPr>
            <w:r>
              <w:rPr>
                <w:sz w:val="20"/>
              </w:rPr>
              <w:t>6</w:t>
            </w:r>
          </w:p>
          <w:p w:rsidR="00B40966" w:rsidRDefault="00B40966">
            <w:pPr>
              <w:pStyle w:val="TableText"/>
              <w:rPr>
                <w:sz w:val="20"/>
              </w:rPr>
            </w:pPr>
            <w:r>
              <w:rPr>
                <w:sz w:val="20"/>
              </w:rPr>
              <w:t>8</w:t>
            </w:r>
          </w:p>
          <w:p w:rsidR="00B40966" w:rsidRDefault="00B40966">
            <w:pPr>
              <w:pStyle w:val="TableText"/>
              <w:rPr>
                <w:sz w:val="20"/>
              </w:rPr>
            </w:pPr>
            <w:r>
              <w:rPr>
                <w:sz w:val="20"/>
              </w:rPr>
              <w:t>11</w:t>
            </w:r>
          </w:p>
          <w:p w:rsidR="00B40966" w:rsidRDefault="00B40966">
            <w:pPr>
              <w:pStyle w:val="TableText"/>
              <w:rPr>
                <w:sz w:val="20"/>
              </w:rPr>
            </w:pPr>
            <w:r>
              <w:rPr>
                <w:sz w:val="20"/>
              </w:rPr>
              <w:t>15</w:t>
            </w:r>
          </w:p>
          <w:p w:rsidR="00B40966" w:rsidRDefault="00B40966">
            <w:pPr>
              <w:pStyle w:val="TableText"/>
              <w:rPr>
                <w:sz w:val="20"/>
              </w:rPr>
            </w:pPr>
            <w:r>
              <w:rPr>
                <w:sz w:val="20"/>
              </w:rPr>
              <w:t>19</w:t>
            </w:r>
          </w:p>
          <w:p w:rsidR="00B40966" w:rsidRDefault="00B40966">
            <w:pPr>
              <w:pStyle w:val="TableText"/>
              <w:rPr>
                <w:sz w:val="20"/>
              </w:rPr>
            </w:pPr>
            <w:r>
              <w:rPr>
                <w:sz w:val="20"/>
              </w:rPr>
              <w:t>23</w:t>
            </w:r>
          </w:p>
          <w:p w:rsidR="00B40966" w:rsidRDefault="00B40966">
            <w:pPr>
              <w:pStyle w:val="TableText"/>
              <w:rPr>
                <w:sz w:val="20"/>
              </w:rPr>
            </w:pPr>
            <w:r>
              <w:rPr>
                <w:sz w:val="20"/>
              </w:rPr>
              <w:t>28</w:t>
            </w:r>
          </w:p>
          <w:p w:rsidR="00B40966" w:rsidRDefault="00B40966">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tc>
        <w:tc>
          <w:tcPr>
            <w:tcW w:w="1083" w:type="dxa"/>
            <w:tcBorders>
              <w:top w:val="single" w:sz="6" w:space="0" w:color="auto"/>
              <w:bottom w:val="single" w:sz="6" w:space="0" w:color="auto"/>
            </w:tcBorders>
          </w:tcPr>
          <w:p w:rsidR="00B40966" w:rsidRDefault="00B40966">
            <w:pPr>
              <w:pStyle w:val="TableText"/>
              <w:rPr>
                <w:sz w:val="20"/>
              </w:rPr>
            </w:pPr>
            <w:r>
              <w:rPr>
                <w:sz w:val="20"/>
              </w:rPr>
              <w:t>1</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108-120</w:t>
            </w:r>
          </w:p>
        </w:tc>
        <w:tc>
          <w:tcPr>
            <w:tcW w:w="933" w:type="dxa"/>
            <w:tcBorders>
              <w:top w:val="single" w:sz="6" w:space="0" w:color="auto"/>
              <w:bottom w:val="single" w:sz="6" w:space="0" w:color="auto"/>
            </w:tcBorders>
          </w:tcPr>
          <w:p w:rsidR="00B40966" w:rsidRDefault="00B40966">
            <w:pPr>
              <w:pStyle w:val="TableText"/>
              <w:rPr>
                <w:sz w:val="20"/>
              </w:rPr>
            </w:pPr>
            <w:r>
              <w:rPr>
                <w:sz w:val="20"/>
              </w:rPr>
              <w:t>18-20</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48-53</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15min</w:t>
            </w:r>
          </w:p>
          <w:p w:rsidR="00B40966" w:rsidRDefault="00B40966">
            <w:pPr>
              <w:pStyle w:val="TableText"/>
              <w:rPr>
                <w:sz w:val="20"/>
              </w:rPr>
            </w:pPr>
            <w:r>
              <w:rPr>
                <w:sz w:val="20"/>
              </w:rPr>
              <w:t>15 to 20min</w:t>
            </w:r>
          </w:p>
          <w:p w:rsidR="00B40966" w:rsidRDefault="00B40966">
            <w:pPr>
              <w:pStyle w:val="TableText"/>
              <w:rPr>
                <w:sz w:val="20"/>
              </w:rPr>
            </w:pPr>
            <w:r>
              <w:rPr>
                <w:sz w:val="20"/>
              </w:rPr>
              <w:t>20 to 25min</w:t>
            </w:r>
          </w:p>
          <w:p w:rsidR="00B40966" w:rsidRDefault="00B40966">
            <w:pPr>
              <w:pStyle w:val="TableText"/>
              <w:rPr>
                <w:sz w:val="20"/>
              </w:rPr>
            </w:pPr>
            <w:r>
              <w:rPr>
                <w:sz w:val="20"/>
              </w:rPr>
              <w:t>25 to 30min</w:t>
            </w:r>
          </w:p>
          <w:p w:rsidR="00B40966" w:rsidRDefault="00B40966">
            <w:pPr>
              <w:pStyle w:val="TableText"/>
              <w:rPr>
                <w:sz w:val="20"/>
              </w:rPr>
            </w:pPr>
            <w:r>
              <w:rPr>
                <w:sz w:val="20"/>
              </w:rPr>
              <w:t>30 to 35min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p w:rsidR="00B40966" w:rsidRDefault="00B40966">
            <w:pPr>
              <w:pStyle w:val="TableText"/>
              <w:rPr>
                <w:sz w:val="20"/>
              </w:rPr>
            </w:pPr>
            <w:r>
              <w:rPr>
                <w:sz w:val="20"/>
              </w:rPr>
              <w:t>6</w:t>
            </w:r>
          </w:p>
          <w:p w:rsidR="00B40966" w:rsidRDefault="00B40966">
            <w:pPr>
              <w:pStyle w:val="TableText"/>
              <w:rPr>
                <w:sz w:val="20"/>
              </w:rPr>
            </w:pPr>
            <w:r>
              <w:rPr>
                <w:sz w:val="20"/>
              </w:rPr>
              <w:t>7</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12</w:t>
            </w:r>
          </w:p>
          <w:p w:rsidR="00B40966" w:rsidRDefault="00B40966">
            <w:pPr>
              <w:pStyle w:val="TableText"/>
              <w:rPr>
                <w:sz w:val="20"/>
              </w:rPr>
            </w:pPr>
            <w:r>
              <w:rPr>
                <w:sz w:val="20"/>
              </w:rPr>
              <w:t>15</w:t>
            </w:r>
          </w:p>
        </w:tc>
        <w:tc>
          <w:tcPr>
            <w:tcW w:w="1044" w:type="dxa"/>
            <w:tcBorders>
              <w:top w:val="single" w:sz="6" w:space="0" w:color="auto"/>
              <w:bottom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11</w:t>
            </w:r>
          </w:p>
          <w:p w:rsidR="00B40966" w:rsidRDefault="00B40966">
            <w:pPr>
              <w:pStyle w:val="TableText"/>
              <w:rPr>
                <w:sz w:val="20"/>
              </w:rPr>
            </w:pPr>
            <w:r>
              <w:rPr>
                <w:sz w:val="20"/>
              </w:rPr>
              <w:t>15</w:t>
            </w:r>
          </w:p>
          <w:p w:rsidR="00B40966" w:rsidRDefault="00B40966">
            <w:pPr>
              <w:pStyle w:val="TableText"/>
              <w:rPr>
                <w:sz w:val="20"/>
              </w:rPr>
            </w:pPr>
            <w:r>
              <w:rPr>
                <w:sz w:val="20"/>
              </w:rPr>
              <w:t>19</w:t>
            </w:r>
          </w:p>
          <w:p w:rsidR="00B40966" w:rsidRDefault="00B40966">
            <w:pPr>
              <w:pStyle w:val="TableText"/>
              <w:rPr>
                <w:sz w:val="20"/>
              </w:rPr>
            </w:pPr>
            <w:r>
              <w:rPr>
                <w:sz w:val="20"/>
              </w:rPr>
              <w:t>23</w:t>
            </w:r>
          </w:p>
          <w:p w:rsidR="00B40966" w:rsidRDefault="00B40966">
            <w:pPr>
              <w:pStyle w:val="TableText"/>
              <w:rPr>
                <w:sz w:val="20"/>
              </w:rPr>
            </w:pPr>
            <w:r>
              <w:rPr>
                <w:sz w:val="20"/>
              </w:rPr>
              <w:t>28</w:t>
            </w:r>
          </w:p>
          <w:p w:rsidR="00B40966" w:rsidRDefault="00B40966">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20</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120-132</w:t>
            </w:r>
          </w:p>
        </w:tc>
        <w:tc>
          <w:tcPr>
            <w:tcW w:w="933" w:type="dxa"/>
            <w:tcBorders>
              <w:top w:val="single" w:sz="6" w:space="0" w:color="auto"/>
              <w:bottom w:val="single" w:sz="6" w:space="0" w:color="auto"/>
            </w:tcBorders>
          </w:tcPr>
          <w:p w:rsidR="00B40966" w:rsidRDefault="00B40966">
            <w:pPr>
              <w:pStyle w:val="TableText"/>
              <w:rPr>
                <w:sz w:val="20"/>
              </w:rPr>
            </w:pPr>
            <w:r>
              <w:rPr>
                <w:sz w:val="20"/>
              </w:rPr>
              <w:t>20-22</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53</w:t>
            </w:r>
            <w:r>
              <w:rPr>
                <w:position w:val="4"/>
                <w:sz w:val="16"/>
              </w:rPr>
              <w:t>1</w:t>
            </w:r>
            <w:r>
              <w:rPr>
                <w:sz w:val="20"/>
              </w:rPr>
              <w:t>/</w:t>
            </w:r>
            <w:r>
              <w:rPr>
                <w:sz w:val="16"/>
              </w:rPr>
              <w:t>2</w:t>
            </w:r>
            <w:r>
              <w:rPr>
                <w:sz w:val="20"/>
              </w:rPr>
              <w:t>59</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15min</w:t>
            </w:r>
          </w:p>
          <w:p w:rsidR="00B40966" w:rsidRDefault="00B40966">
            <w:pPr>
              <w:pStyle w:val="TableText"/>
              <w:rPr>
                <w:sz w:val="20"/>
              </w:rPr>
            </w:pPr>
            <w:r>
              <w:rPr>
                <w:sz w:val="20"/>
              </w:rPr>
              <w:t>15 to 20min</w:t>
            </w:r>
          </w:p>
          <w:p w:rsidR="00B40966" w:rsidRDefault="00B40966">
            <w:pPr>
              <w:pStyle w:val="TableText"/>
              <w:rPr>
                <w:sz w:val="20"/>
              </w:rPr>
            </w:pPr>
            <w:r>
              <w:rPr>
                <w:sz w:val="20"/>
              </w:rPr>
              <w:t>20 to 25min</w:t>
            </w:r>
          </w:p>
          <w:p w:rsidR="00B40966" w:rsidRDefault="00B40966">
            <w:pPr>
              <w:pStyle w:val="TableText"/>
              <w:rPr>
                <w:sz w:val="20"/>
              </w:rPr>
            </w:pPr>
            <w:r>
              <w:rPr>
                <w:sz w:val="20"/>
              </w:rPr>
              <w:t>25 to 30min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13</w:t>
            </w:r>
          </w:p>
          <w:p w:rsidR="00B40966" w:rsidRDefault="00B40966">
            <w:pPr>
              <w:pStyle w:val="TableText"/>
              <w:rPr>
                <w:sz w:val="20"/>
              </w:rPr>
            </w:pPr>
            <w:r>
              <w:rPr>
                <w:sz w:val="20"/>
              </w:rPr>
              <w:t>15</w:t>
            </w:r>
          </w:p>
        </w:tc>
        <w:tc>
          <w:tcPr>
            <w:tcW w:w="1044" w:type="dxa"/>
            <w:tcBorders>
              <w:top w:val="single" w:sz="6" w:space="0" w:color="auto"/>
              <w:bottom w:val="single" w:sz="6" w:space="0" w:color="auto"/>
            </w:tcBorders>
          </w:tcPr>
          <w:p w:rsidR="00B40966" w:rsidRDefault="00B40966">
            <w:pPr>
              <w:pStyle w:val="TableText"/>
              <w:rPr>
                <w:sz w:val="20"/>
              </w:rPr>
            </w:pPr>
            <w:r>
              <w:rPr>
                <w:sz w:val="20"/>
              </w:rPr>
              <w:t>8</w:t>
            </w:r>
          </w:p>
          <w:p w:rsidR="00B40966" w:rsidRDefault="00B40966">
            <w:pPr>
              <w:pStyle w:val="TableText"/>
              <w:rPr>
                <w:sz w:val="20"/>
              </w:rPr>
            </w:pPr>
            <w:r>
              <w:rPr>
                <w:sz w:val="20"/>
              </w:rPr>
              <w:t>13</w:t>
            </w:r>
          </w:p>
          <w:p w:rsidR="00B40966" w:rsidRDefault="00B40966">
            <w:pPr>
              <w:pStyle w:val="TableText"/>
              <w:rPr>
                <w:sz w:val="20"/>
              </w:rPr>
            </w:pPr>
            <w:r>
              <w:rPr>
                <w:sz w:val="20"/>
              </w:rPr>
              <w:t>17</w:t>
            </w:r>
          </w:p>
          <w:p w:rsidR="00B40966" w:rsidRDefault="00B40966">
            <w:pPr>
              <w:pStyle w:val="TableText"/>
              <w:rPr>
                <w:sz w:val="20"/>
              </w:rPr>
            </w:pPr>
            <w:r>
              <w:rPr>
                <w:sz w:val="20"/>
              </w:rPr>
              <w:t>23</w:t>
            </w:r>
          </w:p>
          <w:p w:rsidR="00B40966" w:rsidRDefault="00B40966">
            <w:pPr>
              <w:pStyle w:val="TableText"/>
              <w:rPr>
                <w:sz w:val="20"/>
              </w:rPr>
            </w:pPr>
            <w:r>
              <w:rPr>
                <w:sz w:val="20"/>
              </w:rPr>
              <w:t>28</w:t>
            </w:r>
          </w:p>
          <w:p w:rsidR="00B40966" w:rsidRDefault="00B40966">
            <w:pPr>
              <w:pStyle w:val="TableText"/>
              <w:rPr>
                <w:sz w:val="20"/>
              </w:rPr>
            </w:pPr>
            <w:r>
              <w:rPr>
                <w:sz w:val="20"/>
              </w:rPr>
              <w:t>33</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132-144</w:t>
            </w:r>
          </w:p>
        </w:tc>
        <w:tc>
          <w:tcPr>
            <w:tcW w:w="933" w:type="dxa"/>
            <w:tcBorders>
              <w:top w:val="single" w:sz="6" w:space="0" w:color="auto"/>
              <w:bottom w:val="single" w:sz="6" w:space="0" w:color="auto"/>
            </w:tcBorders>
          </w:tcPr>
          <w:p w:rsidR="00B40966" w:rsidRDefault="00B40966">
            <w:pPr>
              <w:pStyle w:val="TableText"/>
              <w:rPr>
                <w:sz w:val="20"/>
              </w:rPr>
            </w:pPr>
            <w:r>
              <w:rPr>
                <w:sz w:val="20"/>
              </w:rPr>
              <w:t>22-24</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59-64</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6min</w:t>
            </w:r>
          </w:p>
          <w:p w:rsidR="00B40966" w:rsidRDefault="00B40966">
            <w:pPr>
              <w:pStyle w:val="TableText"/>
              <w:rPr>
                <w:sz w:val="20"/>
              </w:rPr>
            </w:pPr>
            <w:r>
              <w:rPr>
                <w:sz w:val="20"/>
              </w:rPr>
              <w:t>6 to 12min</w:t>
            </w:r>
          </w:p>
          <w:p w:rsidR="00B40966" w:rsidRDefault="00B40966">
            <w:pPr>
              <w:pStyle w:val="TableText"/>
              <w:rPr>
                <w:sz w:val="20"/>
              </w:rPr>
            </w:pPr>
            <w:r>
              <w:rPr>
                <w:sz w:val="20"/>
              </w:rPr>
              <w:t>12 to 16min</w:t>
            </w:r>
          </w:p>
          <w:p w:rsidR="00B40966" w:rsidRDefault="00B40966">
            <w:pPr>
              <w:pStyle w:val="TableText"/>
              <w:rPr>
                <w:sz w:val="20"/>
              </w:rPr>
            </w:pPr>
            <w:r>
              <w:rPr>
                <w:sz w:val="20"/>
              </w:rPr>
              <w:t>16 to 20min</w:t>
            </w:r>
          </w:p>
          <w:p w:rsidR="00B40966" w:rsidRDefault="00B40966">
            <w:pPr>
              <w:pStyle w:val="TableText"/>
              <w:rPr>
                <w:sz w:val="20"/>
              </w:rPr>
            </w:pPr>
            <w:r>
              <w:rPr>
                <w:sz w:val="20"/>
              </w:rPr>
              <w:t>20 to 25min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1</w:t>
            </w:r>
          </w:p>
          <w:p w:rsidR="00B40966" w:rsidRDefault="00B40966">
            <w:pPr>
              <w:pStyle w:val="TableText"/>
              <w:rPr>
                <w:sz w:val="20"/>
              </w:rPr>
            </w:pPr>
            <w:r>
              <w:rPr>
                <w:sz w:val="20"/>
              </w:rPr>
              <w:t>2</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12</w:t>
            </w:r>
          </w:p>
        </w:tc>
        <w:tc>
          <w:tcPr>
            <w:tcW w:w="1044" w:type="dxa"/>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16</w:t>
            </w:r>
          </w:p>
          <w:p w:rsidR="00B40966" w:rsidRDefault="00B40966">
            <w:pPr>
              <w:pStyle w:val="TableText"/>
              <w:rPr>
                <w:sz w:val="20"/>
              </w:rPr>
            </w:pPr>
            <w:r>
              <w:rPr>
                <w:sz w:val="20"/>
              </w:rPr>
              <w:t>21</w:t>
            </w:r>
          </w:p>
          <w:p w:rsidR="00B40966" w:rsidRDefault="00B40966">
            <w:pPr>
              <w:pStyle w:val="TableText"/>
              <w:rPr>
                <w:sz w:val="20"/>
              </w:rPr>
            </w:pPr>
            <w:r>
              <w:rPr>
                <w:sz w:val="20"/>
              </w:rPr>
              <w:t>26</w:t>
            </w:r>
          </w:p>
          <w:p w:rsidR="00B40966" w:rsidRDefault="00B40966">
            <w:pPr>
              <w:pStyle w:val="TableT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144-156</w:t>
            </w:r>
          </w:p>
        </w:tc>
        <w:tc>
          <w:tcPr>
            <w:tcW w:w="933" w:type="dxa"/>
            <w:tcBorders>
              <w:top w:val="single" w:sz="6" w:space="0" w:color="auto"/>
              <w:bottom w:val="single" w:sz="6" w:space="0" w:color="auto"/>
            </w:tcBorders>
          </w:tcPr>
          <w:p w:rsidR="00B40966" w:rsidRDefault="00B40966">
            <w:pPr>
              <w:pStyle w:val="TableText"/>
              <w:rPr>
                <w:sz w:val="20"/>
              </w:rPr>
            </w:pPr>
            <w:r>
              <w:rPr>
                <w:sz w:val="20"/>
              </w:rPr>
              <w:t>24-26</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64</w:t>
            </w:r>
            <w:r>
              <w:rPr>
                <w:position w:val="4"/>
                <w:sz w:val="16"/>
              </w:rPr>
              <w:t>1</w:t>
            </w:r>
            <w:r>
              <w:rPr>
                <w:sz w:val="20"/>
              </w:rPr>
              <w:t>/</w:t>
            </w:r>
            <w:r>
              <w:rPr>
                <w:sz w:val="16"/>
              </w:rPr>
              <w:t>2</w:t>
            </w:r>
            <w:r>
              <w:rPr>
                <w:sz w:val="20"/>
              </w:rPr>
              <w:t>-70</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15min</w:t>
            </w:r>
          </w:p>
          <w:p w:rsidR="00B40966" w:rsidRDefault="00B40966">
            <w:pPr>
              <w:pStyle w:val="TableText"/>
              <w:rPr>
                <w:sz w:val="20"/>
              </w:rPr>
            </w:pPr>
            <w:r>
              <w:rPr>
                <w:sz w:val="20"/>
              </w:rPr>
              <w:t>15 to 20min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1</w:t>
            </w:r>
          </w:p>
          <w:p w:rsidR="00B40966" w:rsidRDefault="00B40966">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5</w:t>
            </w:r>
          </w:p>
          <w:p w:rsidR="00B40966" w:rsidRDefault="00B40966">
            <w:pPr>
              <w:pStyle w:val="TableText"/>
              <w:rPr>
                <w:sz w:val="20"/>
              </w:rPr>
            </w:pPr>
            <w:r>
              <w:rPr>
                <w:sz w:val="20"/>
              </w:rPr>
              <w:t>7</w:t>
            </w:r>
          </w:p>
          <w:p w:rsidR="00B40966" w:rsidRDefault="00B40966">
            <w:pPr>
              <w:pStyle w:val="TableText"/>
              <w:rPr>
                <w:sz w:val="20"/>
              </w:rPr>
            </w:pPr>
            <w:r>
              <w:rPr>
                <w:sz w:val="20"/>
              </w:rPr>
              <w:t>8</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16</w:t>
            </w:r>
          </w:p>
          <w:p w:rsidR="00B40966" w:rsidRDefault="00B40966">
            <w:pPr>
              <w:pStyle w:val="TableText"/>
              <w:rPr>
                <w:sz w:val="20"/>
              </w:rPr>
            </w:pPr>
            <w:r>
              <w:rPr>
                <w:sz w:val="20"/>
              </w:rPr>
              <w:t>23</w:t>
            </w:r>
          </w:p>
          <w:p w:rsidR="00B40966" w:rsidRDefault="00B40966">
            <w:pPr>
              <w:pStyle w:val="TableText"/>
              <w:rPr>
                <w:sz w:val="20"/>
              </w:rPr>
            </w:pPr>
            <w:r>
              <w:rPr>
                <w:sz w:val="20"/>
              </w:rPr>
              <w:t>31</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25</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156-168</w:t>
            </w:r>
          </w:p>
        </w:tc>
        <w:tc>
          <w:tcPr>
            <w:tcW w:w="933" w:type="dxa"/>
            <w:tcBorders>
              <w:top w:val="single" w:sz="6" w:space="0" w:color="auto"/>
              <w:bottom w:val="single" w:sz="6" w:space="0" w:color="auto"/>
            </w:tcBorders>
          </w:tcPr>
          <w:p w:rsidR="00B40966" w:rsidRDefault="00B40966">
            <w:pPr>
              <w:pStyle w:val="TableText"/>
              <w:rPr>
                <w:sz w:val="20"/>
              </w:rPr>
            </w:pPr>
            <w:r>
              <w:rPr>
                <w:sz w:val="20"/>
              </w:rPr>
              <w:t>26-28</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70-75</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13min</w:t>
            </w:r>
          </w:p>
          <w:p w:rsidR="00B40966" w:rsidRDefault="00B40966">
            <w:pPr>
              <w:pStyle w:val="TableText"/>
              <w:rPr>
                <w:sz w:val="20"/>
              </w:rPr>
            </w:pPr>
            <w:r>
              <w:rPr>
                <w:sz w:val="20"/>
              </w:rPr>
              <w:t>13 to 16min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1</w:t>
            </w:r>
          </w:p>
          <w:p w:rsidR="00B40966" w:rsidRDefault="00B40966">
            <w:pPr>
              <w:pStyle w:val="TableText"/>
              <w:rPr>
                <w:sz w:val="20"/>
              </w:rPr>
            </w:pPr>
            <w:r>
              <w:rPr>
                <w:sz w:val="20"/>
              </w:rPr>
              <w:t>2</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2</w:t>
            </w:r>
          </w:p>
          <w:p w:rsidR="00B40966" w:rsidRDefault="00B40966">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5</w:t>
            </w:r>
          </w:p>
          <w:p w:rsidR="00B40966" w:rsidRDefault="00B40966">
            <w:pPr>
              <w:pStyle w:val="TableText"/>
              <w:rPr>
                <w:sz w:val="20"/>
              </w:rPr>
            </w:pPr>
            <w:r>
              <w:rPr>
                <w:sz w:val="20"/>
              </w:rPr>
              <w:t>6</w:t>
            </w:r>
          </w:p>
          <w:p w:rsidR="00B40966" w:rsidRDefault="00B40966">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18</w:t>
            </w:r>
          </w:p>
          <w:p w:rsidR="00B40966" w:rsidRDefault="00B40966">
            <w:pPr>
              <w:pStyle w:val="TableText"/>
              <w:rPr>
                <w:sz w:val="20"/>
              </w:rPr>
            </w:pPr>
            <w:r>
              <w:rPr>
                <w:sz w:val="20"/>
              </w:rPr>
              <w:t>24</w:t>
            </w:r>
          </w:p>
          <w:p w:rsidR="00B40966" w:rsidRDefault="00B40966">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168-180</w:t>
            </w:r>
          </w:p>
        </w:tc>
        <w:tc>
          <w:tcPr>
            <w:tcW w:w="933" w:type="dxa"/>
            <w:tcBorders>
              <w:top w:val="single" w:sz="6" w:space="0" w:color="auto"/>
              <w:bottom w:val="single" w:sz="6" w:space="0" w:color="auto"/>
            </w:tcBorders>
          </w:tcPr>
          <w:p w:rsidR="00B40966" w:rsidRDefault="00B40966">
            <w:pPr>
              <w:pStyle w:val="TableText"/>
              <w:rPr>
                <w:sz w:val="20"/>
              </w:rPr>
            </w:pPr>
            <w:r>
              <w:rPr>
                <w:sz w:val="20"/>
              </w:rPr>
              <w:t>28-30</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75-80</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9min</w:t>
            </w:r>
          </w:p>
          <w:p w:rsidR="00B40966" w:rsidRDefault="00B40966">
            <w:pPr>
              <w:pStyle w:val="TableText"/>
              <w:rPr>
                <w:sz w:val="20"/>
              </w:rPr>
            </w:pPr>
            <w:r>
              <w:rPr>
                <w:sz w:val="20"/>
              </w:rPr>
              <w:t>9 to 12min</w:t>
            </w:r>
          </w:p>
          <w:p w:rsidR="00B40966" w:rsidRDefault="00B40966">
            <w:pPr>
              <w:pStyle w:val="TableText"/>
              <w:rPr>
                <w:sz w:val="20"/>
              </w:rPr>
            </w:pPr>
            <w:r>
              <w:rPr>
                <w:sz w:val="20"/>
              </w:rPr>
              <w:t>12 to 14min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2</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6</w:t>
            </w:r>
          </w:p>
          <w:p w:rsidR="00B40966" w:rsidRDefault="00B40966">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rPr>
                <w:sz w:val="20"/>
              </w:rPr>
            </w:pPr>
            <w:r>
              <w:rPr>
                <w:sz w:val="20"/>
              </w:rPr>
              <w:t>11</w:t>
            </w:r>
          </w:p>
          <w:p w:rsidR="00B40966" w:rsidRDefault="00B40966">
            <w:pPr>
              <w:pStyle w:val="TableText"/>
              <w:rPr>
                <w:sz w:val="20"/>
              </w:rPr>
            </w:pPr>
            <w:r>
              <w:rPr>
                <w:sz w:val="20"/>
              </w:rPr>
              <w:t>18</w:t>
            </w:r>
          </w:p>
          <w:p w:rsidR="00B40966" w:rsidRDefault="00B40966">
            <w:pPr>
              <w:pStyle w:val="TableText"/>
              <w:rPr>
                <w:sz w:val="20"/>
              </w:rPr>
            </w:pPr>
            <w:r>
              <w:rPr>
                <w:sz w:val="20"/>
              </w:rPr>
              <w:t>24</w:t>
            </w:r>
          </w:p>
          <w:p w:rsidR="00B40966" w:rsidRDefault="00B40966">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1083" w:type="dxa"/>
            <w:tcBorders>
              <w:top w:val="single" w:sz="6" w:space="0" w:color="auto"/>
              <w:bottom w:val="single" w:sz="6" w:space="0" w:color="auto"/>
            </w:tcBorders>
          </w:tcPr>
          <w:p w:rsidR="00B40966" w:rsidRDefault="00B40966">
            <w:pPr>
              <w:pStyle w:val="TableText"/>
              <w:rPr>
                <w:sz w:val="20"/>
              </w:rPr>
            </w:pPr>
            <w:r>
              <w:rPr>
                <w:sz w:val="20"/>
              </w:rPr>
              <w:t>12</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180-192‡</w:t>
            </w:r>
          </w:p>
        </w:tc>
        <w:tc>
          <w:tcPr>
            <w:tcW w:w="933" w:type="dxa"/>
            <w:tcBorders>
              <w:top w:val="single" w:sz="6" w:space="0" w:color="auto"/>
              <w:bottom w:val="single" w:sz="6" w:space="0" w:color="auto"/>
            </w:tcBorders>
          </w:tcPr>
          <w:p w:rsidR="00B40966" w:rsidRDefault="00B40966">
            <w:pPr>
              <w:pStyle w:val="TableText"/>
              <w:rPr>
                <w:sz w:val="20"/>
              </w:rPr>
            </w:pPr>
            <w:r>
              <w:rPr>
                <w:sz w:val="20"/>
              </w:rPr>
              <w:t>30-32</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80</w:t>
            </w:r>
            <w:r>
              <w:rPr>
                <w:position w:val="4"/>
                <w:sz w:val="16"/>
              </w:rPr>
              <w:t>1</w:t>
            </w:r>
            <w:r>
              <w:rPr>
                <w:sz w:val="20"/>
              </w:rPr>
              <w:t>/</w:t>
            </w:r>
            <w:r>
              <w:rPr>
                <w:sz w:val="16"/>
              </w:rPr>
              <w:t>2</w:t>
            </w:r>
            <w:r>
              <w:rPr>
                <w:sz w:val="20"/>
              </w:rPr>
              <w:t>-86</w:t>
            </w:r>
          </w:p>
        </w:tc>
        <w:tc>
          <w:tcPr>
            <w:tcW w:w="1338"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up to 5min</w:t>
            </w:r>
          </w:p>
          <w:p w:rsidR="00B40966" w:rsidRDefault="00B40966">
            <w:pPr>
              <w:pStyle w:val="TableText"/>
              <w:rPr>
                <w:sz w:val="20"/>
              </w:rPr>
            </w:pPr>
            <w:r>
              <w:rPr>
                <w:sz w:val="20"/>
              </w:rPr>
              <w:t>5 to 10min</w:t>
            </w:r>
          </w:p>
          <w:p w:rsidR="00B40966" w:rsidRDefault="00B40966">
            <w:pPr>
              <w:pStyle w:val="TableText"/>
              <w:rPr>
                <w:sz w:val="20"/>
              </w:rPr>
            </w:pPr>
            <w:r>
              <w:rPr>
                <w:sz w:val="20"/>
              </w:rPr>
              <w:t>10 to 13min</w:t>
            </w:r>
          </w:p>
        </w:tc>
        <w:tc>
          <w:tcPr>
            <w:tcW w:w="600"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1</w:t>
            </w:r>
          </w:p>
          <w:p w:rsidR="00B40966" w:rsidRDefault="00B40966">
            <w:pPr>
              <w:pStyle w:val="TableText"/>
              <w:rPr>
                <w:sz w:val="20"/>
              </w:rPr>
            </w:pPr>
            <w:r>
              <w:rPr>
                <w:sz w:val="20"/>
              </w:rPr>
              <w:t>2</w:t>
            </w:r>
          </w:p>
        </w:tc>
        <w:tc>
          <w:tcPr>
            <w:tcW w:w="576" w:type="dxa"/>
            <w:tcBorders>
              <w:top w:val="single" w:sz="6" w:space="0" w:color="auto"/>
              <w:bottom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2</w:t>
            </w:r>
          </w:p>
          <w:p w:rsidR="00B40966" w:rsidRDefault="00B40966">
            <w:pPr>
              <w:pStyle w:val="TableT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w:t>
            </w:r>
          </w:p>
          <w:p w:rsidR="00B40966" w:rsidRDefault="00B40966">
            <w:pPr>
              <w:pStyle w:val="TableText"/>
              <w:rPr>
                <w:sz w:val="20"/>
              </w:rPr>
            </w:pPr>
            <w:r>
              <w:rPr>
                <w:sz w:val="20"/>
              </w:rPr>
              <w:t>3</w:t>
            </w:r>
          </w:p>
          <w:p w:rsidR="00B40966" w:rsidRDefault="00B40966">
            <w:pPr>
              <w:pStyle w:val="TableText"/>
              <w:rPr>
                <w:sz w:val="20"/>
              </w:rPr>
            </w:pPr>
            <w:r>
              <w:rPr>
                <w:sz w:val="20"/>
              </w:rPr>
              <w:t>5</w:t>
            </w:r>
          </w:p>
        </w:tc>
        <w:tc>
          <w:tcPr>
            <w:tcW w:w="540" w:type="dxa"/>
            <w:tcBorders>
              <w:top w:val="single" w:sz="6" w:space="0" w:color="auto"/>
              <w:bottom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rPr>
                <w:sz w:val="20"/>
              </w:rPr>
            </w:pPr>
            <w:r>
              <w:rPr>
                <w:sz w:val="20"/>
              </w:rPr>
              <w:t>12</w:t>
            </w:r>
          </w:p>
          <w:p w:rsidR="00B40966" w:rsidRDefault="00B40966">
            <w:pPr>
              <w:pStyle w:val="TableText"/>
              <w:rPr>
                <w:sz w:val="20"/>
              </w:rPr>
            </w:pPr>
            <w:r>
              <w:rPr>
                <w:sz w:val="20"/>
              </w:rPr>
              <w:t>23</w:t>
            </w:r>
          </w:p>
          <w:p w:rsidR="00B40966" w:rsidRDefault="00B40966">
            <w:pPr>
              <w:pStyle w:val="TableText"/>
              <w:rPr>
                <w:sz w:val="20"/>
              </w:rPr>
            </w:pPr>
            <w:r>
              <w:rPr>
                <w:sz w:val="20"/>
              </w:rPr>
              <w:t>30</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1083" w:type="dxa"/>
            <w:tcBorders>
              <w:top w:val="single" w:sz="6" w:space="0" w:color="auto"/>
              <w:bottom w:val="single" w:sz="6" w:space="0" w:color="auto"/>
            </w:tcBorders>
          </w:tcPr>
          <w:p w:rsidR="00B40966" w:rsidRDefault="00B40966">
            <w:pPr>
              <w:pStyle w:val="TableText"/>
              <w:rPr>
                <w:sz w:val="20"/>
              </w:rPr>
            </w:pPr>
            <w:r>
              <w:rPr>
                <w:sz w:val="20"/>
              </w:rPr>
              <w:t>...</w:t>
            </w:r>
          </w:p>
        </w:tc>
      </w:tr>
      <w:tr w:rsidR="00B40966">
        <w:tc>
          <w:tcPr>
            <w:tcW w:w="960" w:type="dxa"/>
            <w:tcBorders>
              <w:top w:val="single" w:sz="6" w:space="0" w:color="auto"/>
              <w:bottom w:val="single" w:sz="6" w:space="0" w:color="auto"/>
              <w:right w:val="single" w:sz="6" w:space="0" w:color="auto"/>
            </w:tcBorders>
          </w:tcPr>
          <w:p w:rsidR="00B40966" w:rsidRDefault="00B40966">
            <w:pPr>
              <w:pStyle w:val="TableText"/>
              <w:keepNext/>
              <w:rPr>
                <w:sz w:val="20"/>
              </w:rPr>
            </w:pPr>
            <w:r>
              <w:rPr>
                <w:sz w:val="20"/>
              </w:rPr>
              <w:t>192-204‡</w:t>
            </w:r>
          </w:p>
        </w:tc>
        <w:tc>
          <w:tcPr>
            <w:tcW w:w="933" w:type="dxa"/>
            <w:tcBorders>
              <w:top w:val="single" w:sz="6" w:space="0" w:color="auto"/>
              <w:bottom w:val="single" w:sz="6" w:space="0" w:color="auto"/>
            </w:tcBorders>
          </w:tcPr>
          <w:p w:rsidR="00B40966" w:rsidRDefault="00B40966">
            <w:pPr>
              <w:pStyle w:val="TableText"/>
              <w:keepNext/>
              <w:rPr>
                <w:sz w:val="20"/>
              </w:rPr>
            </w:pPr>
            <w:r>
              <w:rPr>
                <w:sz w:val="20"/>
              </w:rPr>
              <w:t>32-34</w:t>
            </w:r>
          </w:p>
        </w:tc>
        <w:tc>
          <w:tcPr>
            <w:tcW w:w="969"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86-91</w:t>
            </w:r>
            <w:r>
              <w:rPr>
                <w:position w:val="4"/>
                <w:sz w:val="16"/>
              </w:rPr>
              <w:t>1</w:t>
            </w:r>
            <w:r>
              <w:rPr>
                <w:sz w:val="20"/>
              </w:rPr>
              <w:t>/</w:t>
            </w:r>
            <w:r>
              <w:rPr>
                <w:sz w:val="16"/>
              </w:rPr>
              <w:t>2</w:t>
            </w:r>
          </w:p>
        </w:tc>
        <w:tc>
          <w:tcPr>
            <w:tcW w:w="1338" w:type="dxa"/>
            <w:tcBorders>
              <w:top w:val="single" w:sz="6" w:space="0" w:color="auto"/>
              <w:bottom w:val="single" w:sz="6" w:space="0" w:color="auto"/>
              <w:right w:val="single" w:sz="6" w:space="0" w:color="auto"/>
            </w:tcBorders>
          </w:tcPr>
          <w:p w:rsidR="00B40966" w:rsidRDefault="00B40966">
            <w:pPr>
              <w:pStyle w:val="TableText"/>
              <w:keepNext/>
              <w:rPr>
                <w:sz w:val="20"/>
              </w:rPr>
            </w:pPr>
            <w:r>
              <w:rPr>
                <w:sz w:val="20"/>
              </w:rPr>
              <w:t>up to 7min</w:t>
            </w:r>
          </w:p>
          <w:p w:rsidR="00B40966" w:rsidRDefault="00B40966">
            <w:pPr>
              <w:pStyle w:val="TableText"/>
              <w:keepNext/>
              <w:rPr>
                <w:sz w:val="20"/>
              </w:rPr>
            </w:pPr>
            <w:r>
              <w:rPr>
                <w:sz w:val="20"/>
              </w:rPr>
              <w:t>7 to 12min</w:t>
            </w:r>
          </w:p>
        </w:tc>
        <w:tc>
          <w:tcPr>
            <w:tcW w:w="600" w:type="dxa"/>
            <w:tcBorders>
              <w:top w:val="single" w:sz="6" w:space="0" w:color="auto"/>
              <w:bottom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2</w:t>
            </w:r>
          </w:p>
        </w:tc>
        <w:tc>
          <w:tcPr>
            <w:tcW w:w="600"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2</w:t>
            </w:r>
          </w:p>
          <w:p w:rsidR="00B40966" w:rsidRDefault="00B40966">
            <w:pPr>
              <w:pStyle w:val="TableText"/>
              <w:keepNext/>
              <w:rPr>
                <w:sz w:val="20"/>
              </w:rPr>
            </w:pPr>
            <w:r>
              <w:rPr>
                <w:sz w:val="20"/>
              </w:rPr>
              <w:t>2</w:t>
            </w:r>
          </w:p>
        </w:tc>
        <w:tc>
          <w:tcPr>
            <w:tcW w:w="576" w:type="dxa"/>
            <w:tcBorders>
              <w:top w:val="single" w:sz="6" w:space="0" w:color="auto"/>
              <w:bottom w:val="single" w:sz="6" w:space="0" w:color="auto"/>
            </w:tcBorders>
          </w:tcPr>
          <w:p w:rsidR="00B40966" w:rsidRDefault="00B40966">
            <w:pPr>
              <w:pStyle w:val="TableText"/>
              <w:keepNext/>
              <w:rPr>
                <w:sz w:val="20"/>
              </w:rPr>
            </w:pPr>
            <w:r>
              <w:rPr>
                <w:sz w:val="20"/>
              </w:rPr>
              <w:t>2</w:t>
            </w:r>
          </w:p>
          <w:p w:rsidR="00B40966" w:rsidRDefault="00B40966">
            <w:pPr>
              <w:pStyle w:val="TableText"/>
              <w:keepNext/>
              <w:rPr>
                <w:sz w:val="20"/>
              </w:rPr>
            </w:pPr>
            <w:r>
              <w:rPr>
                <w:sz w:val="20"/>
              </w:rPr>
              <w:t>3</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3</w:t>
            </w:r>
          </w:p>
          <w:p w:rsidR="00B40966" w:rsidRDefault="00B40966">
            <w:pPr>
              <w:pStyle w:val="TableText"/>
              <w:keepNext/>
              <w:rPr>
                <w:sz w:val="20"/>
              </w:rPr>
            </w:pPr>
            <w:r>
              <w:rPr>
                <w:sz w:val="20"/>
              </w:rPr>
              <w:t>5</w:t>
            </w:r>
          </w:p>
        </w:tc>
        <w:tc>
          <w:tcPr>
            <w:tcW w:w="540" w:type="dxa"/>
            <w:tcBorders>
              <w:top w:val="single" w:sz="6" w:space="0" w:color="auto"/>
              <w:bottom w:val="single" w:sz="6" w:space="0" w:color="auto"/>
            </w:tcBorders>
          </w:tcPr>
          <w:p w:rsidR="00B40966" w:rsidRDefault="00B40966">
            <w:pPr>
              <w:pStyle w:val="TableText"/>
              <w:keepNext/>
              <w:rPr>
                <w:sz w:val="20"/>
              </w:rPr>
            </w:pPr>
            <w:r>
              <w:rPr>
                <w:sz w:val="20"/>
              </w:rPr>
              <w:t>5</w:t>
            </w:r>
          </w:p>
          <w:p w:rsidR="00B40966" w:rsidRDefault="00B40966">
            <w:pPr>
              <w:pStyle w:val="TableText"/>
              <w:keepNext/>
              <w:rPr>
                <w:sz w:val="20"/>
              </w:rPr>
            </w:pPr>
            <w:r>
              <w:rPr>
                <w:sz w:val="20"/>
              </w:rPr>
              <w:t>7</w:t>
            </w:r>
          </w:p>
        </w:tc>
        <w:tc>
          <w:tcPr>
            <w:tcW w:w="540"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5</w:t>
            </w:r>
          </w:p>
          <w:p w:rsidR="00B40966" w:rsidRDefault="00B40966">
            <w:pPr>
              <w:pStyle w:val="TableText"/>
              <w:keepNext/>
              <w:rPr>
                <w:sz w:val="20"/>
              </w:rPr>
            </w:pPr>
            <w:r>
              <w:rPr>
                <w:sz w:val="20"/>
              </w:rPr>
              <w:t>10</w:t>
            </w:r>
          </w:p>
        </w:tc>
        <w:tc>
          <w:tcPr>
            <w:tcW w:w="1044" w:type="dxa"/>
            <w:tcBorders>
              <w:top w:val="single" w:sz="6" w:space="0" w:color="auto"/>
              <w:bottom w:val="single" w:sz="6" w:space="0" w:color="auto"/>
            </w:tcBorders>
          </w:tcPr>
          <w:p w:rsidR="00B40966" w:rsidRDefault="00B40966">
            <w:pPr>
              <w:pStyle w:val="TableText"/>
              <w:keepNext/>
              <w:rPr>
                <w:sz w:val="20"/>
              </w:rPr>
            </w:pPr>
            <w:r>
              <w:rPr>
                <w:sz w:val="20"/>
              </w:rPr>
              <w:t>20</w:t>
            </w:r>
          </w:p>
          <w:p w:rsidR="00B40966" w:rsidRDefault="00B40966">
            <w:pPr>
              <w:pStyle w:val="TableText"/>
              <w:keepNext/>
              <w:rPr>
                <w:sz w:val="20"/>
              </w:rPr>
            </w:pPr>
            <w:r>
              <w:rPr>
                <w:sz w:val="20"/>
              </w:rPr>
              <w:t>32</w:t>
            </w:r>
          </w:p>
        </w:tc>
        <w:tc>
          <w:tcPr>
            <w:tcW w:w="960"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1185" w:type="dxa"/>
            <w:tcBorders>
              <w:top w:val="single" w:sz="6" w:space="0" w:color="auto"/>
              <w:left w:val="single" w:sz="6" w:space="0" w:color="auto"/>
              <w:bottom w:val="single" w:sz="6" w:space="0" w:color="auto"/>
              <w:right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1083" w:type="dxa"/>
            <w:tcBorders>
              <w:top w:val="single" w:sz="6" w:space="0" w:color="auto"/>
              <w:bottom w:val="single" w:sz="6" w:space="0" w:color="auto"/>
            </w:tcBorders>
          </w:tcPr>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r>
    </w:tbl>
    <w:p w:rsidR="00B40966" w:rsidRDefault="00B40966">
      <w:pPr>
        <w:spacing w:before="120"/>
        <w:ind w:left="342" w:hanging="342"/>
        <w:rPr>
          <w:color w:val="000000"/>
          <w:sz w:val="20"/>
        </w:rPr>
      </w:pPr>
      <w:r>
        <w:rPr>
          <w:color w:val="000000"/>
          <w:sz w:val="20"/>
        </w:rPr>
        <w:t>*</w:t>
      </w:r>
      <w:r>
        <w:rPr>
          <w:color w:val="000000"/>
          <w:sz w:val="20"/>
        </w:rPr>
        <w:tab/>
        <w:t>These figures are based on a double-acting pump with cylinder diameter 4 inches, stroke 7</w:t>
      </w:r>
      <w:r>
        <w:rPr>
          <w:position w:val="4"/>
          <w:sz w:val="20"/>
        </w:rPr>
        <w:t>1</w:t>
      </w:r>
      <w:r>
        <w:rPr>
          <w:sz w:val="20"/>
        </w:rPr>
        <w:t>/2</w:t>
      </w:r>
      <w:r>
        <w:rPr>
          <w:color w:val="000000"/>
          <w:sz w:val="20"/>
        </w:rPr>
        <w:t>inches, working at 80% efficiency.</w:t>
      </w:r>
    </w:p>
    <w:p w:rsidR="00B40966" w:rsidRDefault="00B40966">
      <w:pPr>
        <w:spacing w:before="60"/>
        <w:ind w:left="342" w:hanging="342"/>
        <w:rPr>
          <w:color w:val="000000"/>
          <w:sz w:val="20"/>
        </w:rPr>
      </w:pPr>
      <w:r>
        <w:rPr>
          <w:color w:val="000000"/>
          <w:sz w:val="20"/>
        </w:rPr>
        <w:t>†</w:t>
      </w:r>
      <w:r>
        <w:rPr>
          <w:color w:val="000000"/>
          <w:sz w:val="20"/>
        </w:rPr>
        <w:tab/>
        <w:t>If 30 revolutions per minute cannot be maintained, another cylinder may be used instead.</w:t>
      </w:r>
    </w:p>
    <w:p w:rsidR="00B40966" w:rsidRDefault="00B40966">
      <w:pPr>
        <w:spacing w:before="60"/>
        <w:ind w:left="342" w:hanging="342"/>
        <w:rPr>
          <w:color w:val="000000"/>
          <w:sz w:val="20"/>
        </w:rPr>
      </w:pPr>
      <w:r>
        <w:rPr>
          <w:color w:val="000000"/>
          <w:sz w:val="20"/>
        </w:rPr>
        <w:t>‡</w:t>
      </w:r>
      <w:r>
        <w:rPr>
          <w:color w:val="000000"/>
          <w:sz w:val="20"/>
        </w:rPr>
        <w:tab/>
        <w:t>Handworked pumps are unsuitable at this depth.</w:t>
      </w:r>
    </w:p>
    <w:p w:rsidR="00B40966" w:rsidRDefault="00B40966"/>
    <w:p w:rsidR="00B40966" w:rsidRDefault="00B40966">
      <w:pPr>
        <w:pStyle w:val="TableHd"/>
      </w:pPr>
      <w:r>
        <w:t>Table 7.3</w:t>
      </w:r>
      <w:r>
        <w:tab/>
        <w:t xml:space="preserve">Decompression times for different periods of exposure to working pressure </w:t>
      </w:r>
    </w:p>
    <w:p w:rsidR="00B40966" w:rsidRDefault="00B40966">
      <w:pPr>
        <w:pStyle w:val="ref"/>
        <w:keepNext/>
      </w:pPr>
      <w:r>
        <w:t>(see s 100 (31) and s 101 (31))</w:t>
      </w:r>
    </w:p>
    <w:tbl>
      <w:tblPr>
        <w:tblW w:w="0" w:type="auto"/>
        <w:tblInd w:w="48" w:type="dxa"/>
        <w:tblLayout w:type="fixed"/>
        <w:tblCellMar>
          <w:left w:w="20" w:type="dxa"/>
          <w:right w:w="20" w:type="dxa"/>
        </w:tblCellMar>
        <w:tblLook w:val="0000" w:firstRow="0" w:lastRow="0" w:firstColumn="0" w:lastColumn="0" w:noHBand="0" w:noVBand="0"/>
      </w:tblPr>
      <w:tblGrid>
        <w:gridCol w:w="8"/>
        <w:gridCol w:w="780"/>
        <w:gridCol w:w="4"/>
        <w:gridCol w:w="600"/>
        <w:gridCol w:w="8"/>
        <w:gridCol w:w="504"/>
        <w:gridCol w:w="16"/>
        <w:gridCol w:w="420"/>
        <w:gridCol w:w="20"/>
        <w:gridCol w:w="4"/>
        <w:gridCol w:w="428"/>
        <w:gridCol w:w="16"/>
        <w:gridCol w:w="182"/>
        <w:gridCol w:w="262"/>
        <w:gridCol w:w="8"/>
        <w:gridCol w:w="468"/>
        <w:gridCol w:w="16"/>
        <w:gridCol w:w="106"/>
        <w:gridCol w:w="274"/>
        <w:gridCol w:w="16"/>
        <w:gridCol w:w="12"/>
        <w:gridCol w:w="488"/>
        <w:gridCol w:w="12"/>
        <w:gridCol w:w="16"/>
        <w:gridCol w:w="42"/>
        <w:gridCol w:w="362"/>
        <w:gridCol w:w="12"/>
        <w:gridCol w:w="4"/>
        <w:gridCol w:w="440"/>
        <w:gridCol w:w="12"/>
        <w:gridCol w:w="16"/>
        <w:gridCol w:w="14"/>
        <w:gridCol w:w="342"/>
        <w:gridCol w:w="16"/>
        <w:gridCol w:w="476"/>
        <w:gridCol w:w="28"/>
        <w:gridCol w:w="392"/>
        <w:gridCol w:w="4"/>
        <w:gridCol w:w="358"/>
        <w:gridCol w:w="118"/>
        <w:gridCol w:w="28"/>
        <w:gridCol w:w="12"/>
        <w:gridCol w:w="356"/>
        <w:gridCol w:w="16"/>
        <w:gridCol w:w="12"/>
        <w:gridCol w:w="452"/>
        <w:gridCol w:w="16"/>
        <w:gridCol w:w="16"/>
        <w:gridCol w:w="372"/>
        <w:gridCol w:w="4"/>
        <w:gridCol w:w="426"/>
        <w:gridCol w:w="6"/>
        <w:gridCol w:w="16"/>
        <w:gridCol w:w="16"/>
        <w:gridCol w:w="12"/>
        <w:gridCol w:w="364"/>
        <w:gridCol w:w="8"/>
        <w:gridCol w:w="12"/>
        <w:gridCol w:w="426"/>
        <w:gridCol w:w="34"/>
        <w:gridCol w:w="12"/>
        <w:gridCol w:w="360"/>
        <w:gridCol w:w="8"/>
        <w:gridCol w:w="446"/>
        <w:gridCol w:w="26"/>
        <w:gridCol w:w="8"/>
        <w:gridCol w:w="340"/>
        <w:gridCol w:w="32"/>
        <w:gridCol w:w="424"/>
        <w:gridCol w:w="56"/>
        <w:gridCol w:w="22"/>
      </w:tblGrid>
      <w:tr w:rsidR="00B40966">
        <w:trPr>
          <w:cantSplit/>
          <w:tblHeader/>
        </w:trPr>
        <w:tc>
          <w:tcPr>
            <w:tcW w:w="792" w:type="dxa"/>
            <w:gridSpan w:val="3"/>
            <w:vMerge w:val="restart"/>
            <w:tcBorders>
              <w:top w:val="single" w:sz="6" w:space="0" w:color="auto"/>
              <w:right w:val="single" w:sz="6" w:space="0" w:color="auto"/>
            </w:tcBorders>
            <w:vAlign w:val="bottom"/>
          </w:tcPr>
          <w:p w:rsidR="00B40966" w:rsidRDefault="00B40966">
            <w:pPr>
              <w:pStyle w:val="TableColHd"/>
              <w:jc w:val="center"/>
              <w:rPr>
                <w:sz w:val="16"/>
              </w:rPr>
            </w:pPr>
            <w:r>
              <w:rPr>
                <w:sz w:val="16"/>
              </w:rPr>
              <w:t>gauge in the working chamber lb/in</w:t>
            </w:r>
            <w:r>
              <w:rPr>
                <w:sz w:val="16"/>
                <w:vertAlign w:val="superscript"/>
              </w:rPr>
              <w:t>2</w:t>
            </w:r>
          </w:p>
        </w:tc>
        <w:tc>
          <w:tcPr>
            <w:tcW w:w="1128" w:type="dxa"/>
            <w:gridSpan w:val="4"/>
            <w:tcBorders>
              <w:top w:val="single" w:sz="6" w:space="0" w:color="auto"/>
              <w:bottom w:val="single" w:sz="6" w:space="0" w:color="auto"/>
            </w:tcBorders>
            <w:vAlign w:val="bottom"/>
          </w:tcPr>
          <w:p w:rsidR="00B40966" w:rsidRDefault="00B40966">
            <w:pPr>
              <w:pStyle w:val="TableColHd"/>
              <w:jc w:val="center"/>
              <w:rPr>
                <w:sz w:val="16"/>
              </w:rPr>
            </w:pPr>
            <w:r>
              <w:rPr>
                <w:sz w:val="16"/>
              </w:rPr>
              <w:t>reduced at rate of 5 lb/in</w:t>
            </w:r>
            <w:r>
              <w:rPr>
                <w:sz w:val="16"/>
                <w:vertAlign w:val="superscript"/>
              </w:rPr>
              <w:t>2</w:t>
            </w:r>
            <w:r>
              <w:rPr>
                <w:sz w:val="16"/>
              </w:rPr>
              <w:t>/min</w:t>
            </w:r>
          </w:p>
        </w:tc>
        <w:tc>
          <w:tcPr>
            <w:tcW w:w="9692" w:type="dxa"/>
            <w:gridSpan w:val="64"/>
            <w:tcBorders>
              <w:top w:val="single" w:sz="6" w:space="0" w:color="auto"/>
              <w:bottom w:val="single" w:sz="6" w:space="0" w:color="auto"/>
            </w:tcBorders>
            <w:vAlign w:val="bottom"/>
          </w:tcPr>
          <w:p w:rsidR="00B40966" w:rsidRDefault="00B40966">
            <w:pPr>
              <w:pStyle w:val="TableColHd"/>
              <w:jc w:val="center"/>
              <w:rPr>
                <w:sz w:val="16"/>
              </w:rPr>
            </w:pPr>
            <w:r>
              <w:rPr>
                <w:sz w:val="16"/>
              </w:rPr>
              <w:t>further uniform reduction to zero (gauge pressure)</w:t>
            </w:r>
          </w:p>
        </w:tc>
      </w:tr>
      <w:tr w:rsidR="00B40966">
        <w:trPr>
          <w:gridAfter w:val="1"/>
          <w:wAfter w:w="22" w:type="dxa"/>
          <w:cantSplit/>
          <w:tblHeader/>
        </w:trPr>
        <w:tc>
          <w:tcPr>
            <w:tcW w:w="792" w:type="dxa"/>
            <w:gridSpan w:val="3"/>
            <w:vMerge/>
            <w:tcBorders>
              <w:right w:val="single" w:sz="6" w:space="0" w:color="auto"/>
            </w:tcBorders>
            <w:vAlign w:val="bottom"/>
          </w:tcPr>
          <w:p w:rsidR="00B40966" w:rsidRDefault="00B40966">
            <w:pPr>
              <w:pStyle w:val="TableColHd"/>
            </w:pPr>
          </w:p>
        </w:tc>
        <w:tc>
          <w:tcPr>
            <w:tcW w:w="600" w:type="dxa"/>
            <w:vMerge w:val="restart"/>
            <w:vAlign w:val="bottom"/>
          </w:tcPr>
          <w:p w:rsidR="00B40966" w:rsidRDefault="00B40966">
            <w:pPr>
              <w:pStyle w:val="TableColHd"/>
              <w:jc w:val="center"/>
              <w:rPr>
                <w:sz w:val="14"/>
              </w:rPr>
            </w:pPr>
            <w:r>
              <w:rPr>
                <w:sz w:val="14"/>
              </w:rPr>
              <w:t>to gauge pres-sure of lb/in</w:t>
            </w:r>
            <w:r>
              <w:rPr>
                <w:sz w:val="14"/>
                <w:vertAlign w:val="superscript"/>
              </w:rPr>
              <w:t>2</w:t>
            </w:r>
          </w:p>
        </w:tc>
        <w:tc>
          <w:tcPr>
            <w:tcW w:w="528" w:type="dxa"/>
            <w:gridSpan w:val="3"/>
            <w:vMerge w:val="restart"/>
            <w:tcBorders>
              <w:left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1070" w:type="dxa"/>
            <w:gridSpan w:val="6"/>
            <w:tcBorders>
              <w:bottom w:val="single" w:sz="6" w:space="0" w:color="auto"/>
            </w:tcBorders>
            <w:vAlign w:val="bottom"/>
          </w:tcPr>
          <w:p w:rsidR="00B40966" w:rsidRDefault="00B40966">
            <w:pPr>
              <w:pStyle w:val="TableColHd"/>
              <w:jc w:val="center"/>
              <w:rPr>
                <w:sz w:val="16"/>
              </w:rPr>
            </w:pPr>
            <w:r>
              <w:rPr>
                <w:sz w:val="16"/>
              </w:rPr>
              <w:t>for periods of 6h or more</w:t>
            </w:r>
          </w:p>
        </w:tc>
        <w:tc>
          <w:tcPr>
            <w:tcW w:w="860" w:type="dxa"/>
            <w:gridSpan w:val="5"/>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4h</w:t>
            </w:r>
          </w:p>
        </w:tc>
        <w:tc>
          <w:tcPr>
            <w:tcW w:w="860" w:type="dxa"/>
            <w:gridSpan w:val="7"/>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3h</w:t>
            </w:r>
          </w:p>
        </w:tc>
        <w:tc>
          <w:tcPr>
            <w:tcW w:w="860" w:type="dxa"/>
            <w:gridSpan w:val="7"/>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2</w:t>
            </w:r>
            <w:r>
              <w:rPr>
                <w:position w:val="4"/>
                <w:sz w:val="16"/>
              </w:rPr>
              <w:t>1</w:t>
            </w:r>
            <w:r>
              <w:rPr>
                <w:sz w:val="16"/>
              </w:rPr>
              <w:t>/4h</w:t>
            </w:r>
          </w:p>
        </w:tc>
        <w:tc>
          <w:tcPr>
            <w:tcW w:w="860"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2h</w:t>
            </w:r>
          </w:p>
        </w:tc>
        <w:tc>
          <w:tcPr>
            <w:tcW w:w="754"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1</w:t>
            </w:r>
            <w:r>
              <w:rPr>
                <w:position w:val="4"/>
                <w:sz w:val="16"/>
              </w:rPr>
              <w:t>3</w:t>
            </w:r>
            <w:r>
              <w:rPr>
                <w:sz w:val="16"/>
              </w:rPr>
              <w:t>/4h</w:t>
            </w:r>
          </w:p>
        </w:tc>
        <w:tc>
          <w:tcPr>
            <w:tcW w:w="1024" w:type="dxa"/>
            <w:gridSpan w:val="9"/>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1</w:t>
            </w:r>
            <w:r>
              <w:rPr>
                <w:position w:val="4"/>
                <w:sz w:val="16"/>
              </w:rPr>
              <w:t>1</w:t>
            </w:r>
            <w:r>
              <w:rPr>
                <w:sz w:val="16"/>
              </w:rPr>
              <w:t>/2h</w:t>
            </w:r>
          </w:p>
        </w:tc>
        <w:tc>
          <w:tcPr>
            <w:tcW w:w="802"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1</w:t>
            </w:r>
            <w:r>
              <w:rPr>
                <w:position w:val="4"/>
                <w:sz w:val="16"/>
              </w:rPr>
              <w:t>1</w:t>
            </w:r>
            <w:r>
              <w:rPr>
                <w:sz w:val="16"/>
              </w:rPr>
              <w:t>/4h</w:t>
            </w:r>
          </w:p>
        </w:tc>
        <w:tc>
          <w:tcPr>
            <w:tcW w:w="860" w:type="dxa"/>
            <w:gridSpan w:val="8"/>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for periods of 1h</w:t>
            </w:r>
          </w:p>
        </w:tc>
        <w:tc>
          <w:tcPr>
            <w:tcW w:w="860" w:type="dxa"/>
            <w:gridSpan w:val="5"/>
            <w:tcBorders>
              <w:left w:val="single" w:sz="6" w:space="0" w:color="auto"/>
              <w:bottom w:val="single" w:sz="6" w:space="0" w:color="auto"/>
              <w:right w:val="single" w:sz="6" w:space="0" w:color="auto"/>
            </w:tcBorders>
            <w:vAlign w:val="bottom"/>
          </w:tcPr>
          <w:p w:rsidR="00B40966" w:rsidRDefault="00B40966">
            <w:pPr>
              <w:pStyle w:val="TableColHd"/>
              <w:jc w:val="center"/>
              <w:rPr>
                <w:sz w:val="16"/>
              </w:rPr>
            </w:pPr>
            <w:r>
              <w:rPr>
                <w:sz w:val="16"/>
              </w:rPr>
              <w:t xml:space="preserve">for periods of </w:t>
            </w:r>
            <w:r>
              <w:rPr>
                <w:position w:val="4"/>
                <w:sz w:val="16"/>
              </w:rPr>
              <w:t>3</w:t>
            </w:r>
            <w:r>
              <w:rPr>
                <w:sz w:val="16"/>
              </w:rPr>
              <w:t>/4h</w:t>
            </w:r>
          </w:p>
        </w:tc>
        <w:tc>
          <w:tcPr>
            <w:tcW w:w="860" w:type="dxa"/>
            <w:gridSpan w:val="6"/>
            <w:tcBorders>
              <w:bottom w:val="single" w:sz="6" w:space="0" w:color="auto"/>
            </w:tcBorders>
            <w:vAlign w:val="bottom"/>
          </w:tcPr>
          <w:p w:rsidR="00B40966" w:rsidRDefault="00B40966">
            <w:pPr>
              <w:pStyle w:val="TableColHd"/>
              <w:jc w:val="center"/>
              <w:rPr>
                <w:sz w:val="16"/>
              </w:rPr>
            </w:pPr>
            <w:r>
              <w:rPr>
                <w:sz w:val="16"/>
              </w:rPr>
              <w:t xml:space="preserve">for periods of </w:t>
            </w:r>
            <w:r>
              <w:rPr>
                <w:position w:val="4"/>
                <w:sz w:val="16"/>
              </w:rPr>
              <w:t>1</w:t>
            </w:r>
            <w:r>
              <w:rPr>
                <w:sz w:val="16"/>
              </w:rPr>
              <w:t>/2h</w:t>
            </w:r>
          </w:p>
        </w:tc>
      </w:tr>
      <w:tr w:rsidR="00B40966">
        <w:trPr>
          <w:gridAfter w:val="1"/>
          <w:wAfter w:w="20" w:type="dxa"/>
          <w:cantSplit/>
          <w:tblHeader/>
        </w:trPr>
        <w:tc>
          <w:tcPr>
            <w:tcW w:w="792" w:type="dxa"/>
            <w:gridSpan w:val="3"/>
            <w:vMerge/>
            <w:tcBorders>
              <w:bottom w:val="single" w:sz="6" w:space="0" w:color="auto"/>
              <w:right w:val="single" w:sz="6" w:space="0" w:color="auto"/>
            </w:tcBorders>
            <w:vAlign w:val="bottom"/>
          </w:tcPr>
          <w:p w:rsidR="00B40966" w:rsidRDefault="00B40966">
            <w:pPr>
              <w:pStyle w:val="TableColHd"/>
            </w:pPr>
          </w:p>
        </w:tc>
        <w:tc>
          <w:tcPr>
            <w:tcW w:w="600" w:type="dxa"/>
            <w:vMerge/>
            <w:tcBorders>
              <w:bottom w:val="single" w:sz="6" w:space="0" w:color="auto"/>
            </w:tcBorders>
            <w:vAlign w:val="bottom"/>
          </w:tcPr>
          <w:p w:rsidR="00B40966" w:rsidRDefault="00B40966">
            <w:pPr>
              <w:pStyle w:val="TableColHd"/>
            </w:pPr>
          </w:p>
        </w:tc>
        <w:tc>
          <w:tcPr>
            <w:tcW w:w="528" w:type="dxa"/>
            <w:gridSpan w:val="3"/>
            <w:vMerge/>
            <w:tcBorders>
              <w:left w:val="single" w:sz="6" w:space="0" w:color="auto"/>
              <w:bottom w:val="single" w:sz="6" w:space="0" w:color="auto"/>
              <w:right w:val="single" w:sz="6" w:space="0" w:color="auto"/>
            </w:tcBorders>
            <w:vAlign w:val="bottom"/>
          </w:tcPr>
          <w:p w:rsidR="00B40966" w:rsidRDefault="00B40966">
            <w:pPr>
              <w:pStyle w:val="TableColHd"/>
            </w:pPr>
          </w:p>
        </w:tc>
        <w:tc>
          <w:tcPr>
            <w:tcW w:w="420" w:type="dxa"/>
            <w:tcBorders>
              <w:bottom w:val="single" w:sz="6" w:space="0" w:color="auto"/>
            </w:tcBorders>
            <w:vAlign w:val="bottom"/>
          </w:tcPr>
          <w:p w:rsidR="00B40966" w:rsidRDefault="00B40966">
            <w:pPr>
              <w:pStyle w:val="TableColHd"/>
              <w:jc w:val="center"/>
              <w:rPr>
                <w:sz w:val="14"/>
              </w:rPr>
            </w:pPr>
            <w:r>
              <w:rPr>
                <w:sz w:val="14"/>
              </w:rPr>
              <w:t>time in min</w:t>
            </w:r>
          </w:p>
        </w:tc>
        <w:tc>
          <w:tcPr>
            <w:tcW w:w="468"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444" w:type="dxa"/>
            <w:gridSpan w:val="2"/>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92"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408"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516"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420"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68"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72"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504" w:type="dxa"/>
            <w:gridSpan w:val="2"/>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96" w:type="dxa"/>
            <w:gridSpan w:val="2"/>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516"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84"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72" w:type="dxa"/>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80" w:type="dxa"/>
            <w:gridSpan w:val="6"/>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72" w:type="dxa"/>
            <w:gridSpan w:val="2"/>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80" w:type="dxa"/>
            <w:gridSpan w:val="4"/>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60" w:type="dxa"/>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80"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min/lb</w:t>
            </w:r>
          </w:p>
        </w:tc>
        <w:tc>
          <w:tcPr>
            <w:tcW w:w="380" w:type="dxa"/>
            <w:gridSpan w:val="3"/>
            <w:tcBorders>
              <w:left w:val="single" w:sz="6" w:space="0" w:color="auto"/>
              <w:bottom w:val="single" w:sz="6" w:space="0" w:color="auto"/>
              <w:right w:val="single" w:sz="6" w:space="0" w:color="auto"/>
            </w:tcBorders>
            <w:vAlign w:val="bottom"/>
          </w:tcPr>
          <w:p w:rsidR="00B40966" w:rsidRDefault="00B40966">
            <w:pPr>
              <w:pStyle w:val="TableColHd"/>
              <w:jc w:val="center"/>
              <w:rPr>
                <w:sz w:val="14"/>
              </w:rPr>
            </w:pPr>
            <w:r>
              <w:rPr>
                <w:sz w:val="14"/>
              </w:rPr>
              <w:t>time in min</w:t>
            </w:r>
          </w:p>
        </w:tc>
        <w:tc>
          <w:tcPr>
            <w:tcW w:w="460" w:type="dxa"/>
            <w:gridSpan w:val="2"/>
            <w:tcBorders>
              <w:bottom w:val="single" w:sz="6" w:space="0" w:color="auto"/>
            </w:tcBorders>
            <w:vAlign w:val="bottom"/>
          </w:tcPr>
          <w:p w:rsidR="00B40966" w:rsidRDefault="00B40966">
            <w:pPr>
              <w:pStyle w:val="TableColHd"/>
              <w:jc w:val="center"/>
              <w:rPr>
                <w:sz w:val="14"/>
              </w:rPr>
            </w:pPr>
            <w:r>
              <w:rPr>
                <w:sz w:val="14"/>
              </w:rPr>
              <w:t>min/lb</w:t>
            </w:r>
          </w:p>
        </w:tc>
      </w:tr>
      <w:tr w:rsidR="00B40966">
        <w:trPr>
          <w:gridAfter w:val="1"/>
          <w:wAfter w:w="20" w:type="dxa"/>
        </w:trPr>
        <w:tc>
          <w:tcPr>
            <w:tcW w:w="792" w:type="dxa"/>
            <w:gridSpan w:val="3"/>
            <w:tcBorders>
              <w:top w:val="single" w:sz="6" w:space="0" w:color="auto"/>
              <w:right w:val="single" w:sz="6" w:space="0" w:color="auto"/>
            </w:tcBorders>
          </w:tcPr>
          <w:p w:rsidR="00B40966" w:rsidRDefault="00B40966">
            <w:pPr>
              <w:pStyle w:val="TableText"/>
              <w:rPr>
                <w:sz w:val="20"/>
              </w:rPr>
            </w:pPr>
            <w:r>
              <w:rPr>
                <w:sz w:val="20"/>
              </w:rPr>
              <w:t>18 or 19</w:t>
            </w:r>
            <w:r>
              <w:rPr>
                <w:sz w:val="20"/>
              </w:rPr>
              <w:tab/>
            </w:r>
          </w:p>
        </w:tc>
        <w:tc>
          <w:tcPr>
            <w:tcW w:w="600" w:type="dxa"/>
            <w:tcBorders>
              <w:top w:val="single" w:sz="6" w:space="0" w:color="auto"/>
            </w:tcBorders>
          </w:tcPr>
          <w:p w:rsidR="00B40966" w:rsidRDefault="00B40966">
            <w:pPr>
              <w:pStyle w:val="TableText"/>
              <w:rPr>
                <w:sz w:val="20"/>
              </w:rPr>
            </w:pPr>
            <w:r>
              <w:rPr>
                <w:sz w:val="20"/>
              </w:rPr>
              <w:t>2</w:t>
            </w:r>
          </w:p>
        </w:tc>
        <w:tc>
          <w:tcPr>
            <w:tcW w:w="528"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3</w:t>
            </w:r>
          </w:p>
        </w:tc>
        <w:tc>
          <w:tcPr>
            <w:tcW w:w="42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4</w:t>
            </w:r>
          </w:p>
        </w:tc>
        <w:tc>
          <w:tcPr>
            <w:tcW w:w="46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2.0</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3</w:t>
            </w:r>
          </w:p>
        </w:tc>
        <w:tc>
          <w:tcPr>
            <w:tcW w:w="49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1.5</w:t>
            </w:r>
          </w:p>
        </w:tc>
        <w:tc>
          <w:tcPr>
            <w:tcW w:w="40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3</w:t>
            </w:r>
          </w:p>
        </w:tc>
        <w:tc>
          <w:tcPr>
            <w:tcW w:w="516"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1.5</w:t>
            </w:r>
          </w:p>
        </w:tc>
        <w:tc>
          <w:tcPr>
            <w:tcW w:w="420"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tc>
        <w:tc>
          <w:tcPr>
            <w:tcW w:w="468"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tc>
        <w:tc>
          <w:tcPr>
            <w:tcW w:w="37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tc>
        <w:tc>
          <w:tcPr>
            <w:tcW w:w="50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tc>
        <w:tc>
          <w:tcPr>
            <w:tcW w:w="396"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tc>
        <w:tc>
          <w:tcPr>
            <w:tcW w:w="516"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tc>
        <w:tc>
          <w:tcPr>
            <w:tcW w:w="38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tc>
        <w:tc>
          <w:tcPr>
            <w:tcW w:w="48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0.5</w:t>
            </w:r>
          </w:p>
        </w:tc>
        <w:tc>
          <w:tcPr>
            <w:tcW w:w="368"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tc>
        <w:tc>
          <w:tcPr>
            <w:tcW w:w="468" w:type="dxa"/>
            <w:gridSpan w:val="5"/>
            <w:tcBorders>
              <w:top w:val="single" w:sz="6" w:space="0" w:color="auto"/>
              <w:left w:val="single" w:sz="6" w:space="0" w:color="auto"/>
              <w:right w:val="single" w:sz="6" w:space="0" w:color="auto"/>
            </w:tcBorders>
          </w:tcPr>
          <w:p w:rsidR="00B40966" w:rsidRDefault="00B40966">
            <w:pPr>
              <w:pStyle w:val="TableText"/>
              <w:rPr>
                <w:sz w:val="20"/>
              </w:rPr>
            </w:pPr>
            <w:r>
              <w:rPr>
                <w:sz w:val="20"/>
              </w:rPr>
              <w:t>0.5</w:t>
            </w:r>
          </w:p>
        </w:tc>
        <w:tc>
          <w:tcPr>
            <w:tcW w:w="396"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tc>
        <w:tc>
          <w:tcPr>
            <w:tcW w:w="468"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0.5</w:t>
            </w:r>
          </w:p>
        </w:tc>
        <w:tc>
          <w:tcPr>
            <w:tcW w:w="360"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0.5</w:t>
            </w:r>
          </w:p>
        </w:tc>
        <w:tc>
          <w:tcPr>
            <w:tcW w:w="3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tc>
        <w:tc>
          <w:tcPr>
            <w:tcW w:w="460" w:type="dxa"/>
            <w:gridSpan w:val="2"/>
            <w:tcBorders>
              <w:top w:val="single" w:sz="6" w:space="0" w:color="auto"/>
            </w:tcBorders>
          </w:tcPr>
          <w:p w:rsidR="00B40966" w:rsidRDefault="00B40966">
            <w:pPr>
              <w:pStyle w:val="TableText"/>
              <w:rPr>
                <w:sz w:val="20"/>
              </w:rPr>
            </w:pPr>
            <w:r>
              <w:rPr>
                <w:sz w:val="20"/>
              </w:rPr>
              <w:t>0.5</w:t>
            </w:r>
          </w:p>
        </w:tc>
      </w:tr>
      <w:tr w:rsidR="00B40966">
        <w:trPr>
          <w:gridAfter w:val="1"/>
          <w:wAfter w:w="12" w:type="dxa"/>
        </w:trPr>
        <w:tc>
          <w:tcPr>
            <w:tcW w:w="792" w:type="dxa"/>
            <w:gridSpan w:val="3"/>
            <w:tcBorders>
              <w:top w:val="single" w:sz="6" w:space="0" w:color="auto"/>
              <w:right w:val="single" w:sz="6" w:space="0" w:color="auto"/>
            </w:tcBorders>
          </w:tcPr>
          <w:p w:rsidR="00B40966" w:rsidRDefault="00B40966">
            <w:pPr>
              <w:pStyle w:val="TableText"/>
              <w:rPr>
                <w:sz w:val="20"/>
              </w:rPr>
            </w:pPr>
            <w:r>
              <w:rPr>
                <w:sz w:val="20"/>
              </w:rPr>
              <w:t>20 or 21</w:t>
            </w:r>
          </w:p>
          <w:p w:rsidR="00B40966" w:rsidRDefault="00B40966">
            <w:pPr>
              <w:pStyle w:val="TableText"/>
              <w:rPr>
                <w:sz w:val="20"/>
              </w:rPr>
            </w:pPr>
            <w:r>
              <w:rPr>
                <w:sz w:val="20"/>
              </w:rPr>
              <w:t>22 or 23</w:t>
            </w:r>
          </w:p>
          <w:p w:rsidR="00B40966" w:rsidRDefault="00B40966">
            <w:pPr>
              <w:pStyle w:val="TableText"/>
              <w:rPr>
                <w:sz w:val="20"/>
              </w:rPr>
            </w:pPr>
            <w:r>
              <w:rPr>
                <w:sz w:val="20"/>
              </w:rPr>
              <w:t>24 or 25</w:t>
            </w:r>
          </w:p>
          <w:p w:rsidR="00B40966" w:rsidRDefault="00B40966">
            <w:pPr>
              <w:pStyle w:val="TableText"/>
              <w:rPr>
                <w:sz w:val="20"/>
              </w:rPr>
            </w:pPr>
            <w:r>
              <w:rPr>
                <w:sz w:val="20"/>
              </w:rPr>
              <w:t>26 or 27</w:t>
            </w:r>
          </w:p>
          <w:p w:rsidR="00B40966" w:rsidRDefault="00B40966">
            <w:pPr>
              <w:pStyle w:val="TableText"/>
              <w:rPr>
                <w:sz w:val="20"/>
              </w:rPr>
            </w:pPr>
            <w:r>
              <w:rPr>
                <w:sz w:val="20"/>
              </w:rPr>
              <w:t>28 or 29</w:t>
            </w:r>
          </w:p>
        </w:tc>
        <w:tc>
          <w:tcPr>
            <w:tcW w:w="600" w:type="dxa"/>
            <w:tcBorders>
              <w:top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4</w:t>
            </w:r>
          </w:p>
          <w:p w:rsidR="00B40966" w:rsidRDefault="00B40966">
            <w:pPr>
              <w:pStyle w:val="TableText"/>
              <w:rPr>
                <w:sz w:val="20"/>
              </w:rPr>
            </w:pPr>
            <w:r>
              <w:rPr>
                <w:sz w:val="20"/>
              </w:rPr>
              <w:t>5</w:t>
            </w:r>
          </w:p>
          <w:p w:rsidR="00B40966" w:rsidRDefault="00B40966">
            <w:pPr>
              <w:pStyle w:val="TableText"/>
              <w:rPr>
                <w:sz w:val="20"/>
              </w:rPr>
            </w:pPr>
            <w:r>
              <w:rPr>
                <w:sz w:val="20"/>
              </w:rPr>
              <w:t>6</w:t>
            </w:r>
          </w:p>
          <w:p w:rsidR="00B40966" w:rsidRDefault="00B40966">
            <w:pPr>
              <w:pStyle w:val="TableText"/>
              <w:rPr>
                <w:sz w:val="20"/>
              </w:rPr>
            </w:pPr>
            <w:r>
              <w:rPr>
                <w:sz w:val="20"/>
              </w:rPr>
              <w:t>7</w:t>
            </w:r>
          </w:p>
        </w:tc>
        <w:tc>
          <w:tcPr>
            <w:tcW w:w="528"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4</w:t>
            </w:r>
          </w:p>
          <w:p w:rsidR="00B40966" w:rsidRDefault="00B40966">
            <w:pPr>
              <w:pStyle w:val="TableText"/>
              <w:rPr>
                <w:sz w:val="20"/>
              </w:rPr>
            </w:pPr>
            <w:r>
              <w:rPr>
                <w:sz w:val="20"/>
              </w:rPr>
              <w:t>4</w:t>
            </w:r>
          </w:p>
          <w:p w:rsidR="00B40966" w:rsidRDefault="00B40966">
            <w:pPr>
              <w:pStyle w:val="TableText"/>
              <w:rPr>
                <w:sz w:val="20"/>
              </w:rPr>
            </w:pPr>
            <w:r>
              <w:rPr>
                <w:sz w:val="20"/>
              </w:rPr>
              <w:t>4</w:t>
            </w:r>
          </w:p>
          <w:p w:rsidR="00B40966" w:rsidRDefault="00B40966">
            <w:pPr>
              <w:pStyle w:val="TableText"/>
              <w:rPr>
                <w:sz w:val="20"/>
              </w:rPr>
            </w:pPr>
            <w:r>
              <w:rPr>
                <w:sz w:val="20"/>
              </w:rPr>
              <w:t>4</w:t>
            </w:r>
          </w:p>
          <w:p w:rsidR="00B40966" w:rsidRDefault="00B40966">
            <w:pPr>
              <w:pStyle w:val="TableText"/>
              <w:rPr>
                <w:sz w:val="20"/>
              </w:rPr>
            </w:pPr>
            <w:r>
              <w:rPr>
                <w:sz w:val="20"/>
              </w:rPr>
              <w:t>4</w:t>
            </w:r>
          </w:p>
        </w:tc>
        <w:tc>
          <w:tcPr>
            <w:tcW w:w="44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12</w:t>
            </w:r>
          </w:p>
          <w:p w:rsidR="00B40966" w:rsidRDefault="00B40966">
            <w:pPr>
              <w:pStyle w:val="TableText"/>
              <w:rPr>
                <w:sz w:val="20"/>
              </w:rPr>
            </w:pPr>
            <w:r>
              <w:rPr>
                <w:sz w:val="20"/>
              </w:rPr>
              <w:t>23</w:t>
            </w:r>
          </w:p>
          <w:p w:rsidR="00B40966" w:rsidRDefault="00B40966">
            <w:pPr>
              <w:pStyle w:val="TableText"/>
              <w:rPr>
                <w:sz w:val="20"/>
              </w:rPr>
            </w:pPr>
            <w:r>
              <w:rPr>
                <w:sz w:val="20"/>
              </w:rPr>
              <w:t>34</w:t>
            </w:r>
          </w:p>
          <w:p w:rsidR="00B40966" w:rsidRDefault="00B40966">
            <w:pPr>
              <w:pStyle w:val="TableText"/>
              <w:rPr>
                <w:sz w:val="20"/>
              </w:rPr>
            </w:pPr>
            <w:r>
              <w:rPr>
                <w:sz w:val="20"/>
              </w:rPr>
              <w:t>45</w:t>
            </w:r>
          </w:p>
          <w:p w:rsidR="00B40966" w:rsidRDefault="00B40966">
            <w:pPr>
              <w:pStyle w:val="TableText"/>
              <w:rPr>
                <w:sz w:val="20"/>
              </w:rPr>
            </w:pPr>
            <w:r>
              <w:rPr>
                <w:sz w:val="20"/>
              </w:rPr>
              <w:t>55</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4.0</w:t>
            </w:r>
          </w:p>
          <w:p w:rsidR="00B40966" w:rsidRDefault="00B40966">
            <w:pPr>
              <w:pStyle w:val="TableText"/>
              <w:rPr>
                <w:sz w:val="20"/>
              </w:rPr>
            </w:pPr>
            <w:r>
              <w:rPr>
                <w:sz w:val="20"/>
              </w:rPr>
              <w:t>5.7</w:t>
            </w:r>
          </w:p>
          <w:p w:rsidR="00B40966" w:rsidRDefault="00B40966">
            <w:pPr>
              <w:pStyle w:val="TableText"/>
              <w:rPr>
                <w:sz w:val="20"/>
              </w:rPr>
            </w:pPr>
            <w:r>
              <w:rPr>
                <w:sz w:val="20"/>
              </w:rPr>
              <w:t>6.8</w:t>
            </w:r>
          </w:p>
          <w:p w:rsidR="00B40966" w:rsidRDefault="00B40966">
            <w:pPr>
              <w:pStyle w:val="TableText"/>
              <w:rPr>
                <w:sz w:val="20"/>
              </w:rPr>
            </w:pPr>
            <w:r>
              <w:rPr>
                <w:sz w:val="20"/>
              </w:rPr>
              <w:t>7.5</w:t>
            </w:r>
          </w:p>
          <w:p w:rsidR="00B40966" w:rsidRDefault="00B40966">
            <w:pPr>
              <w:pStyle w:val="TableText"/>
              <w:rPr>
                <w:sz w:val="20"/>
              </w:rPr>
            </w:pPr>
            <w:r>
              <w:rPr>
                <w:sz w:val="20"/>
              </w:rPr>
              <w:t>7.9</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15</w:t>
            </w:r>
          </w:p>
          <w:p w:rsidR="00B40966" w:rsidRDefault="00B40966">
            <w:pPr>
              <w:pStyle w:val="TableText"/>
              <w:rPr>
                <w:sz w:val="20"/>
              </w:rPr>
            </w:pPr>
            <w:r>
              <w:rPr>
                <w:sz w:val="20"/>
              </w:rPr>
              <w:t>25</w:t>
            </w:r>
          </w:p>
          <w:p w:rsidR="00B40966" w:rsidRDefault="00B40966">
            <w:pPr>
              <w:pStyle w:val="TableText"/>
              <w:rPr>
                <w:sz w:val="20"/>
              </w:rPr>
            </w:pPr>
            <w:r>
              <w:rPr>
                <w:sz w:val="20"/>
              </w:rPr>
              <w:t>36</w:t>
            </w:r>
          </w:p>
          <w:p w:rsidR="00B40966" w:rsidRDefault="00B40966">
            <w:pPr>
              <w:pStyle w:val="TableText"/>
              <w:rPr>
                <w:sz w:val="20"/>
              </w:rPr>
            </w:pPr>
            <w:r>
              <w:rPr>
                <w:sz w:val="20"/>
              </w:rPr>
              <w:t>46</w:t>
            </w:r>
          </w:p>
        </w:tc>
        <w:tc>
          <w:tcPr>
            <w:tcW w:w="476"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2.3</w:t>
            </w:r>
          </w:p>
          <w:p w:rsidR="00B40966" w:rsidRDefault="00B40966">
            <w:pPr>
              <w:pStyle w:val="TableText"/>
              <w:rPr>
                <w:sz w:val="20"/>
              </w:rPr>
            </w:pPr>
            <w:r>
              <w:rPr>
                <w:sz w:val="20"/>
              </w:rPr>
              <w:t>3.7</w:t>
            </w:r>
          </w:p>
          <w:p w:rsidR="00B40966" w:rsidRDefault="00B40966">
            <w:pPr>
              <w:pStyle w:val="TableText"/>
              <w:rPr>
                <w:sz w:val="20"/>
              </w:rPr>
            </w:pPr>
            <w:r>
              <w:rPr>
                <w:sz w:val="20"/>
              </w:rPr>
              <w:t>5.0</w:t>
            </w:r>
          </w:p>
          <w:p w:rsidR="00B40966" w:rsidRDefault="00B40966">
            <w:pPr>
              <w:pStyle w:val="TableText"/>
              <w:rPr>
                <w:sz w:val="20"/>
              </w:rPr>
            </w:pPr>
            <w:r>
              <w:rPr>
                <w:sz w:val="20"/>
              </w:rPr>
              <w:t>6.0</w:t>
            </w:r>
          </w:p>
          <w:p w:rsidR="00B40966" w:rsidRDefault="00B40966">
            <w:pPr>
              <w:pStyle w:val="TableText"/>
              <w:rPr>
                <w:sz w:val="20"/>
              </w:rPr>
            </w:pPr>
            <w:r>
              <w:rPr>
                <w:sz w:val="20"/>
              </w:rPr>
              <w:t>6.6</w:t>
            </w:r>
          </w:p>
        </w:tc>
        <w:tc>
          <w:tcPr>
            <w:tcW w:w="412"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6</w:t>
            </w:r>
          </w:p>
          <w:p w:rsidR="00B40966" w:rsidRDefault="00B40966">
            <w:pPr>
              <w:pStyle w:val="TableText"/>
              <w:rPr>
                <w:sz w:val="20"/>
              </w:rPr>
            </w:pPr>
            <w:r>
              <w:rPr>
                <w:sz w:val="20"/>
              </w:rPr>
              <w:t>12</w:t>
            </w:r>
          </w:p>
          <w:p w:rsidR="00B40966" w:rsidRDefault="00B40966">
            <w:pPr>
              <w:pStyle w:val="TableText"/>
              <w:rPr>
                <w:sz w:val="20"/>
              </w:rPr>
            </w:pPr>
            <w:r>
              <w:rPr>
                <w:sz w:val="20"/>
              </w:rPr>
              <w:t>19</w:t>
            </w:r>
          </w:p>
          <w:p w:rsidR="00B40966" w:rsidRDefault="00B40966">
            <w:pPr>
              <w:pStyle w:val="TableText"/>
              <w:rPr>
                <w:sz w:val="20"/>
              </w:rPr>
            </w:pPr>
            <w:r>
              <w:rPr>
                <w:sz w:val="20"/>
              </w:rPr>
              <w:t>27</w:t>
            </w:r>
          </w:p>
          <w:p w:rsidR="00B40966" w:rsidRDefault="00B40966">
            <w:pPr>
              <w:pStyle w:val="TableText"/>
              <w:rPr>
                <w:sz w:val="20"/>
              </w:rPr>
            </w:pPr>
            <w:r>
              <w:rPr>
                <w:sz w:val="20"/>
              </w:rPr>
              <w:t>35</w:t>
            </w:r>
          </w:p>
        </w:tc>
        <w:tc>
          <w:tcPr>
            <w:tcW w:w="51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2.0</w:t>
            </w:r>
          </w:p>
          <w:p w:rsidR="00B40966" w:rsidRDefault="00B40966">
            <w:pPr>
              <w:pStyle w:val="TableText"/>
              <w:rPr>
                <w:sz w:val="20"/>
              </w:rPr>
            </w:pPr>
            <w:r>
              <w:rPr>
                <w:sz w:val="20"/>
              </w:rPr>
              <w:t>3.0</w:t>
            </w:r>
          </w:p>
          <w:p w:rsidR="00B40966" w:rsidRDefault="00B40966">
            <w:pPr>
              <w:pStyle w:val="TableText"/>
              <w:rPr>
                <w:sz w:val="20"/>
              </w:rPr>
            </w:pPr>
            <w:r>
              <w:rPr>
                <w:sz w:val="20"/>
              </w:rPr>
              <w:t>3.8</w:t>
            </w:r>
          </w:p>
          <w:p w:rsidR="00B40966" w:rsidRDefault="00B40966">
            <w:pPr>
              <w:pStyle w:val="TableText"/>
              <w:rPr>
                <w:sz w:val="20"/>
              </w:rPr>
            </w:pPr>
            <w:r>
              <w:rPr>
                <w:sz w:val="20"/>
              </w:rPr>
              <w:t>4.5</w:t>
            </w:r>
          </w:p>
          <w:p w:rsidR="00B40966" w:rsidRDefault="00B40966">
            <w:pPr>
              <w:pStyle w:val="TableText"/>
              <w:rPr>
                <w:sz w:val="20"/>
              </w:rPr>
            </w:pPr>
            <w:r>
              <w:rPr>
                <w:sz w:val="20"/>
              </w:rPr>
              <w:t>5.0</w:t>
            </w:r>
          </w:p>
        </w:tc>
        <w:tc>
          <w:tcPr>
            <w:tcW w:w="42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9</w:t>
            </w:r>
          </w:p>
          <w:p w:rsidR="00B40966" w:rsidRDefault="00B40966">
            <w:pPr>
              <w:pStyle w:val="TableText"/>
              <w:rPr>
                <w:sz w:val="20"/>
              </w:rPr>
            </w:pPr>
            <w:r>
              <w:rPr>
                <w:sz w:val="20"/>
              </w:rPr>
              <w:t>14</w:t>
            </w:r>
          </w:p>
          <w:p w:rsidR="00B40966" w:rsidRDefault="00B40966">
            <w:pPr>
              <w:pStyle w:val="TableText"/>
              <w:rPr>
                <w:sz w:val="20"/>
              </w:rPr>
            </w:pPr>
            <w:r>
              <w:rPr>
                <w:sz w:val="20"/>
              </w:rPr>
              <w:t>20</w:t>
            </w:r>
          </w:p>
          <w:p w:rsidR="00B40966" w:rsidRDefault="00B40966">
            <w:pPr>
              <w:pStyle w:val="TableText"/>
              <w:rPr>
                <w:sz w:val="20"/>
              </w:rPr>
            </w:pPr>
            <w:r>
              <w:rPr>
                <w:sz w:val="20"/>
              </w:rPr>
              <w:t>26</w:t>
            </w:r>
          </w:p>
        </w:tc>
        <w:tc>
          <w:tcPr>
            <w:tcW w:w="46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1.7</w:t>
            </w:r>
          </w:p>
          <w:p w:rsidR="00B40966" w:rsidRDefault="00B40966">
            <w:pPr>
              <w:pStyle w:val="TableText"/>
              <w:rPr>
                <w:sz w:val="20"/>
              </w:rPr>
            </w:pPr>
            <w:r>
              <w:rPr>
                <w:sz w:val="20"/>
              </w:rPr>
              <w:t>2.2</w:t>
            </w:r>
          </w:p>
          <w:p w:rsidR="00B40966" w:rsidRDefault="00B40966">
            <w:pPr>
              <w:pStyle w:val="TableText"/>
              <w:rPr>
                <w:sz w:val="20"/>
              </w:rPr>
            </w:pPr>
            <w:r>
              <w:rPr>
                <w:sz w:val="20"/>
              </w:rPr>
              <w:t>2.8</w:t>
            </w:r>
          </w:p>
          <w:p w:rsidR="00B40966" w:rsidRDefault="00B40966">
            <w:pPr>
              <w:pStyle w:val="TableText"/>
              <w:rPr>
                <w:sz w:val="20"/>
              </w:rPr>
            </w:pPr>
            <w:r>
              <w:rPr>
                <w:sz w:val="20"/>
              </w:rPr>
              <w:t>3.3</w:t>
            </w:r>
          </w:p>
          <w:p w:rsidR="00B40966" w:rsidRDefault="00B40966">
            <w:pPr>
              <w:pStyle w:val="TableText"/>
              <w:rPr>
                <w:sz w:val="20"/>
              </w:rPr>
            </w:pPr>
            <w:r>
              <w:rPr>
                <w:sz w:val="20"/>
              </w:rPr>
              <w:t>3.7</w:t>
            </w:r>
          </w:p>
        </w:tc>
        <w:tc>
          <w:tcPr>
            <w:tcW w:w="384"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4</w:t>
            </w:r>
          </w:p>
          <w:p w:rsidR="00B40966" w:rsidRDefault="00B40966">
            <w:pPr>
              <w:pStyle w:val="TableText"/>
              <w:rPr>
                <w:sz w:val="20"/>
              </w:rPr>
            </w:pPr>
            <w:r>
              <w:rPr>
                <w:sz w:val="20"/>
              </w:rPr>
              <w:t>8</w:t>
            </w:r>
          </w:p>
          <w:p w:rsidR="00B40966" w:rsidRDefault="00B40966">
            <w:pPr>
              <w:pStyle w:val="TableText"/>
              <w:rPr>
                <w:sz w:val="20"/>
              </w:rPr>
            </w:pPr>
            <w:r>
              <w:rPr>
                <w:sz w:val="20"/>
              </w:rPr>
              <w:t>12</w:t>
            </w:r>
          </w:p>
          <w:p w:rsidR="00B40966" w:rsidRDefault="00B40966">
            <w:pPr>
              <w:pStyle w:val="TableText"/>
              <w:rPr>
                <w:sz w:val="20"/>
              </w:rPr>
            </w:pPr>
            <w:r>
              <w:rPr>
                <w:sz w:val="20"/>
              </w:rPr>
              <w:t>17</w:t>
            </w:r>
          </w:p>
          <w:p w:rsidR="00B40966" w:rsidRDefault="00B40966">
            <w:pPr>
              <w:pStyle w:val="TableText"/>
              <w:rPr>
                <w:sz w:val="20"/>
              </w:rPr>
            </w:pPr>
            <w:r>
              <w:rPr>
                <w:sz w:val="20"/>
              </w:rPr>
              <w:t>22</w:t>
            </w:r>
          </w:p>
        </w:tc>
        <w:tc>
          <w:tcPr>
            <w:tcW w:w="50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1.3</w:t>
            </w:r>
          </w:p>
          <w:p w:rsidR="00B40966" w:rsidRDefault="00B40966">
            <w:pPr>
              <w:pStyle w:val="TableText"/>
              <w:rPr>
                <w:sz w:val="20"/>
              </w:rPr>
            </w:pPr>
            <w:r>
              <w:rPr>
                <w:sz w:val="20"/>
              </w:rPr>
              <w:t>2.0</w:t>
            </w:r>
          </w:p>
          <w:p w:rsidR="00B40966" w:rsidRDefault="00B40966">
            <w:pPr>
              <w:pStyle w:val="TableText"/>
              <w:rPr>
                <w:sz w:val="20"/>
              </w:rPr>
            </w:pPr>
            <w:r>
              <w:rPr>
                <w:sz w:val="20"/>
              </w:rPr>
              <w:t>2.4</w:t>
            </w:r>
          </w:p>
          <w:p w:rsidR="00B40966" w:rsidRDefault="00B40966">
            <w:pPr>
              <w:pStyle w:val="TableText"/>
              <w:rPr>
                <w:sz w:val="20"/>
              </w:rPr>
            </w:pPr>
            <w:r>
              <w:rPr>
                <w:sz w:val="20"/>
              </w:rPr>
              <w:t>2.8</w:t>
            </w:r>
          </w:p>
          <w:p w:rsidR="00B40966" w:rsidRDefault="00B40966">
            <w:pPr>
              <w:pStyle w:val="TableText"/>
              <w:rPr>
                <w:sz w:val="20"/>
              </w:rPr>
            </w:pPr>
            <w:r>
              <w:rPr>
                <w:sz w:val="20"/>
              </w:rPr>
              <w:t>3.1</w:t>
            </w:r>
          </w:p>
        </w:tc>
        <w:tc>
          <w:tcPr>
            <w:tcW w:w="396"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10</w:t>
            </w:r>
          </w:p>
          <w:p w:rsidR="00B40966" w:rsidRDefault="00B40966">
            <w:pPr>
              <w:pStyle w:val="TableText"/>
              <w:rPr>
                <w:sz w:val="20"/>
              </w:rPr>
            </w:pPr>
            <w:r>
              <w:rPr>
                <w:sz w:val="20"/>
              </w:rPr>
              <w:t>14</w:t>
            </w:r>
          </w:p>
          <w:p w:rsidR="00B40966" w:rsidRDefault="00B40966">
            <w:pPr>
              <w:pStyle w:val="TableText"/>
              <w:rPr>
                <w:sz w:val="20"/>
              </w:rPr>
            </w:pPr>
            <w:r>
              <w:rPr>
                <w:sz w:val="20"/>
              </w:rPr>
              <w:t>19</w:t>
            </w:r>
          </w:p>
        </w:tc>
        <w:tc>
          <w:tcPr>
            <w:tcW w:w="50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2.0</w:t>
            </w:r>
          </w:p>
          <w:p w:rsidR="00B40966" w:rsidRDefault="00B40966">
            <w:pPr>
              <w:pStyle w:val="TableText"/>
              <w:rPr>
                <w:sz w:val="20"/>
              </w:rPr>
            </w:pPr>
            <w:r>
              <w:rPr>
                <w:sz w:val="20"/>
              </w:rPr>
              <w:t>2.3</w:t>
            </w:r>
          </w:p>
          <w:p w:rsidR="00B40966" w:rsidRDefault="00B40966">
            <w:pPr>
              <w:pStyle w:val="TableText"/>
              <w:rPr>
                <w:sz w:val="20"/>
              </w:rPr>
            </w:pPr>
            <w:r>
              <w:rPr>
                <w:sz w:val="20"/>
              </w:rPr>
              <w:t>2.7</w:t>
            </w:r>
          </w:p>
        </w:tc>
        <w:tc>
          <w:tcPr>
            <w:tcW w:w="38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3</w:t>
            </w:r>
          </w:p>
          <w:p w:rsidR="00B40966" w:rsidRDefault="00B40966">
            <w:pPr>
              <w:pStyle w:val="TableText"/>
              <w:rPr>
                <w:sz w:val="20"/>
              </w:rPr>
            </w:pPr>
            <w:r>
              <w:rPr>
                <w:sz w:val="20"/>
              </w:rPr>
              <w:t>6</w:t>
            </w:r>
          </w:p>
          <w:p w:rsidR="00B40966" w:rsidRDefault="00B40966">
            <w:pPr>
              <w:pStyle w:val="TableText"/>
              <w:rPr>
                <w:sz w:val="20"/>
              </w:rPr>
            </w:pPr>
            <w:r>
              <w:rPr>
                <w:sz w:val="20"/>
              </w:rPr>
              <w:t>9</w:t>
            </w:r>
          </w:p>
          <w:p w:rsidR="00B40966" w:rsidRDefault="00B40966">
            <w:pPr>
              <w:pStyle w:val="TableText"/>
              <w:rPr>
                <w:sz w:val="20"/>
              </w:rPr>
            </w:pPr>
            <w:r>
              <w:rPr>
                <w:sz w:val="20"/>
              </w:rPr>
              <w:t>13</w:t>
            </w:r>
          </w:p>
          <w:p w:rsidR="00B40966" w:rsidRDefault="00B40966">
            <w:pPr>
              <w:pStyle w:val="TableText"/>
              <w:rPr>
                <w:sz w:val="20"/>
              </w:rPr>
            </w:pPr>
            <w:r>
              <w:rPr>
                <w:sz w:val="20"/>
              </w:rPr>
              <w:t>17</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1.5</w:t>
            </w:r>
          </w:p>
          <w:p w:rsidR="00B40966" w:rsidRDefault="00B40966">
            <w:pPr>
              <w:pStyle w:val="TableText"/>
              <w:rPr>
                <w:sz w:val="20"/>
              </w:rPr>
            </w:pPr>
            <w:r>
              <w:rPr>
                <w:sz w:val="20"/>
              </w:rPr>
              <w:t>1.8</w:t>
            </w:r>
          </w:p>
          <w:p w:rsidR="00B40966" w:rsidRDefault="00B40966">
            <w:pPr>
              <w:pStyle w:val="TableText"/>
              <w:rPr>
                <w:sz w:val="20"/>
              </w:rPr>
            </w:pPr>
            <w:r>
              <w:rPr>
                <w:sz w:val="20"/>
              </w:rPr>
              <w:t>2.2</w:t>
            </w:r>
          </w:p>
          <w:p w:rsidR="00B40966" w:rsidRDefault="00B40966">
            <w:pPr>
              <w:pStyle w:val="TableText"/>
              <w:rPr>
                <w:sz w:val="20"/>
              </w:rPr>
            </w:pPr>
            <w:r>
              <w:rPr>
                <w:sz w:val="20"/>
              </w:rPr>
              <w:t>2.4</w:t>
            </w:r>
          </w:p>
        </w:tc>
        <w:tc>
          <w:tcPr>
            <w:tcW w:w="38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4</w:t>
            </w:r>
          </w:p>
          <w:p w:rsidR="00B40966" w:rsidRDefault="00B40966">
            <w:pPr>
              <w:pStyle w:val="TableText"/>
              <w:rPr>
                <w:sz w:val="20"/>
              </w:rPr>
            </w:pPr>
            <w:r>
              <w:rPr>
                <w:sz w:val="20"/>
              </w:rPr>
              <w:t>7</w:t>
            </w:r>
          </w:p>
          <w:p w:rsidR="00B40966" w:rsidRDefault="00B40966">
            <w:pPr>
              <w:pStyle w:val="TableText"/>
              <w:rPr>
                <w:sz w:val="20"/>
              </w:rPr>
            </w:pPr>
            <w:r>
              <w:rPr>
                <w:sz w:val="20"/>
              </w:rPr>
              <w:t>10</w:t>
            </w:r>
          </w:p>
          <w:p w:rsidR="00B40966" w:rsidRDefault="00B40966">
            <w:pPr>
              <w:pStyle w:val="TableText"/>
              <w:rPr>
                <w:sz w:val="20"/>
              </w:rPr>
            </w:pPr>
            <w:r>
              <w:rPr>
                <w:sz w:val="20"/>
              </w:rPr>
              <w:t>13</w:t>
            </w:r>
          </w:p>
        </w:tc>
        <w:tc>
          <w:tcPr>
            <w:tcW w:w="452"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0.7</w:t>
            </w:r>
          </w:p>
          <w:p w:rsidR="00B40966" w:rsidRDefault="00B40966">
            <w:pPr>
              <w:pStyle w:val="TableText"/>
              <w:rPr>
                <w:sz w:val="20"/>
              </w:rPr>
            </w:pPr>
            <w:r>
              <w:rPr>
                <w:sz w:val="20"/>
              </w:rPr>
              <w:t>1.0</w:t>
            </w:r>
          </w:p>
          <w:p w:rsidR="00B40966" w:rsidRDefault="00B40966">
            <w:pPr>
              <w:pStyle w:val="TableText"/>
              <w:rPr>
                <w:sz w:val="20"/>
              </w:rPr>
            </w:pPr>
            <w:r>
              <w:rPr>
                <w:sz w:val="20"/>
              </w:rPr>
              <w:t>1.4</w:t>
            </w:r>
          </w:p>
          <w:p w:rsidR="00B40966" w:rsidRDefault="00B40966">
            <w:pPr>
              <w:pStyle w:val="TableText"/>
              <w:rPr>
                <w:sz w:val="20"/>
              </w:rPr>
            </w:pPr>
            <w:r>
              <w:rPr>
                <w:sz w:val="20"/>
              </w:rPr>
              <w:t>1.7</w:t>
            </w:r>
          </w:p>
          <w:p w:rsidR="00B40966" w:rsidRDefault="00B40966">
            <w:pPr>
              <w:pStyle w:val="TableText"/>
              <w:rPr>
                <w:sz w:val="20"/>
              </w:rPr>
            </w:pPr>
            <w:r>
              <w:rPr>
                <w:sz w:val="20"/>
              </w:rPr>
              <w:t>1.9</w:t>
            </w:r>
          </w:p>
        </w:tc>
        <w:tc>
          <w:tcPr>
            <w:tcW w:w="408" w:type="dxa"/>
            <w:gridSpan w:val="5"/>
            <w:tcBorders>
              <w:top w:val="single" w:sz="6" w:space="0" w:color="auto"/>
              <w:left w:val="single" w:sz="6" w:space="0" w:color="auto"/>
              <w:right w:val="single" w:sz="6" w:space="0" w:color="auto"/>
            </w:tcBorders>
          </w:tcPr>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p w:rsidR="00B40966" w:rsidRDefault="00B40966">
            <w:pPr>
              <w:pStyle w:val="TableText"/>
              <w:rPr>
                <w:sz w:val="20"/>
              </w:rPr>
            </w:pPr>
            <w:r>
              <w:rPr>
                <w:sz w:val="20"/>
              </w:rPr>
              <w:t>8</w:t>
            </w:r>
          </w:p>
          <w:p w:rsidR="00B40966" w:rsidRDefault="00B40966">
            <w:pPr>
              <w:pStyle w:val="TableText"/>
              <w:rPr>
                <w:sz w:val="20"/>
              </w:rPr>
            </w:pPr>
            <w:r>
              <w:rPr>
                <w:sz w:val="20"/>
              </w:rPr>
              <w:t>11</w:t>
            </w:r>
          </w:p>
        </w:tc>
        <w:tc>
          <w:tcPr>
            <w:tcW w:w="47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0.7</w:t>
            </w:r>
          </w:p>
          <w:p w:rsidR="00B40966" w:rsidRDefault="00B40966">
            <w:pPr>
              <w:pStyle w:val="TableText"/>
              <w:rPr>
                <w:sz w:val="20"/>
              </w:rPr>
            </w:pPr>
            <w:r>
              <w:rPr>
                <w:sz w:val="20"/>
              </w:rPr>
              <w:t>0.7</w:t>
            </w:r>
          </w:p>
          <w:p w:rsidR="00B40966" w:rsidRDefault="00B40966">
            <w:pPr>
              <w:pStyle w:val="TableText"/>
              <w:rPr>
                <w:sz w:val="20"/>
              </w:rPr>
            </w:pPr>
            <w:r>
              <w:rPr>
                <w:sz w:val="20"/>
              </w:rPr>
              <w:t>1.0</w:t>
            </w:r>
          </w:p>
          <w:p w:rsidR="00B40966" w:rsidRDefault="00B40966">
            <w:pPr>
              <w:pStyle w:val="TableText"/>
              <w:rPr>
                <w:sz w:val="20"/>
              </w:rPr>
            </w:pPr>
            <w:r>
              <w:rPr>
                <w:sz w:val="20"/>
              </w:rPr>
              <w:t>1.3</w:t>
            </w:r>
          </w:p>
          <w:p w:rsidR="00B40966" w:rsidRDefault="00B40966">
            <w:pPr>
              <w:pStyle w:val="TableText"/>
              <w:rPr>
                <w:sz w:val="20"/>
              </w:rPr>
            </w:pPr>
            <w:r>
              <w:rPr>
                <w:sz w:val="20"/>
              </w:rPr>
              <w:t>1.6</w:t>
            </w:r>
          </w:p>
        </w:tc>
        <w:tc>
          <w:tcPr>
            <w:tcW w:w="36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p w:rsidR="00B40966" w:rsidRDefault="00B40966">
            <w:pPr>
              <w:pStyle w:val="TableText"/>
              <w:rPr>
                <w:sz w:val="20"/>
              </w:rPr>
            </w:pPr>
            <w:r>
              <w:rPr>
                <w:sz w:val="20"/>
              </w:rPr>
              <w:t>2</w:t>
            </w:r>
          </w:p>
          <w:p w:rsidR="00B40966" w:rsidRDefault="00B40966">
            <w:pPr>
              <w:pStyle w:val="TableText"/>
              <w:rPr>
                <w:sz w:val="20"/>
              </w:rPr>
            </w:pPr>
            <w:r>
              <w:rPr>
                <w:sz w:val="20"/>
              </w:rPr>
              <w:t>4</w:t>
            </w:r>
          </w:p>
          <w:p w:rsidR="00B40966" w:rsidRDefault="00B40966">
            <w:pPr>
              <w:pStyle w:val="TableText"/>
              <w:rPr>
                <w:sz w:val="20"/>
              </w:rPr>
            </w:pPr>
            <w:r>
              <w:rPr>
                <w:sz w:val="20"/>
              </w:rPr>
              <w:t>6</w:t>
            </w:r>
          </w:p>
          <w:p w:rsidR="00B40966" w:rsidRDefault="00B40966">
            <w:pPr>
              <w:pStyle w:val="TableText"/>
              <w:rPr>
                <w:sz w:val="20"/>
              </w:rPr>
            </w:pPr>
            <w:r>
              <w:rPr>
                <w:sz w:val="20"/>
              </w:rPr>
              <w:t>8</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0.3</w:t>
            </w:r>
          </w:p>
          <w:p w:rsidR="00B40966" w:rsidRDefault="00B40966">
            <w:pPr>
              <w:pStyle w:val="TableText"/>
              <w:rPr>
                <w:sz w:val="20"/>
              </w:rPr>
            </w:pPr>
            <w:r>
              <w:rPr>
                <w:sz w:val="20"/>
              </w:rPr>
              <w:t>0.5</w:t>
            </w:r>
          </w:p>
          <w:p w:rsidR="00B40966" w:rsidRDefault="00B40966">
            <w:pPr>
              <w:pStyle w:val="TableText"/>
              <w:rPr>
                <w:sz w:val="20"/>
              </w:rPr>
            </w:pPr>
            <w:r>
              <w:rPr>
                <w:sz w:val="20"/>
              </w:rPr>
              <w:t>0.8</w:t>
            </w:r>
          </w:p>
          <w:p w:rsidR="00B40966" w:rsidRDefault="00B40966">
            <w:pPr>
              <w:pStyle w:val="TableText"/>
              <w:rPr>
                <w:sz w:val="20"/>
              </w:rPr>
            </w:pPr>
            <w:r>
              <w:rPr>
                <w:sz w:val="20"/>
              </w:rPr>
              <w:t>1.0</w:t>
            </w:r>
          </w:p>
          <w:p w:rsidR="00B40966" w:rsidRDefault="00B40966">
            <w:pPr>
              <w:pStyle w:val="TableText"/>
              <w:rPr>
                <w:sz w:val="20"/>
              </w:rPr>
            </w:pPr>
            <w:r>
              <w:rPr>
                <w:sz w:val="20"/>
              </w:rPr>
              <w:t>1.1</w:t>
            </w:r>
          </w:p>
        </w:tc>
        <w:tc>
          <w:tcPr>
            <w:tcW w:w="36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w:t>
            </w:r>
          </w:p>
          <w:p w:rsidR="00B40966" w:rsidRDefault="00B40966">
            <w:pPr>
              <w:pStyle w:val="TableText"/>
              <w:rPr>
                <w:sz w:val="20"/>
              </w:rPr>
            </w:pPr>
            <w:r>
              <w:rPr>
                <w:sz w:val="20"/>
              </w:rPr>
              <w:t>1</w:t>
            </w:r>
          </w:p>
          <w:p w:rsidR="00B40966" w:rsidRDefault="00B40966">
            <w:pPr>
              <w:pStyle w:val="TableText"/>
              <w:rPr>
                <w:sz w:val="20"/>
              </w:rPr>
            </w:pPr>
            <w:r>
              <w:rPr>
                <w:sz w:val="20"/>
              </w:rPr>
              <w:t>2</w:t>
            </w:r>
          </w:p>
          <w:p w:rsidR="00B40966" w:rsidRDefault="00B40966">
            <w:pPr>
              <w:pStyle w:val="TableText"/>
              <w:rPr>
                <w:sz w:val="20"/>
              </w:rPr>
            </w:pPr>
            <w:r>
              <w:rPr>
                <w:sz w:val="20"/>
              </w:rPr>
              <w:t>3</w:t>
            </w:r>
          </w:p>
          <w:p w:rsidR="00B40966" w:rsidRDefault="00B40966">
            <w:pPr>
              <w:pStyle w:val="TableText"/>
              <w:rPr>
                <w:sz w:val="20"/>
              </w:rPr>
            </w:pPr>
            <w:r>
              <w:rPr>
                <w:sz w:val="20"/>
              </w:rPr>
              <w:t>5</w:t>
            </w:r>
          </w:p>
        </w:tc>
        <w:tc>
          <w:tcPr>
            <w:tcW w:w="480" w:type="dxa"/>
            <w:gridSpan w:val="2"/>
            <w:tcBorders>
              <w:top w:val="single" w:sz="6" w:space="0" w:color="auto"/>
            </w:tcBorders>
          </w:tcPr>
          <w:p w:rsidR="00B40966" w:rsidRDefault="00B40966">
            <w:pPr>
              <w:pStyle w:val="TableText"/>
              <w:rPr>
                <w:sz w:val="20"/>
              </w:rPr>
            </w:pPr>
            <w:r>
              <w:rPr>
                <w:sz w:val="20"/>
              </w:rPr>
              <w:t>0.3</w:t>
            </w:r>
          </w:p>
          <w:p w:rsidR="00B40966" w:rsidRDefault="00B40966">
            <w:pPr>
              <w:pStyle w:val="TableText"/>
              <w:rPr>
                <w:sz w:val="20"/>
              </w:rPr>
            </w:pPr>
            <w:r>
              <w:rPr>
                <w:sz w:val="20"/>
              </w:rPr>
              <w:t>0.2</w:t>
            </w:r>
          </w:p>
          <w:p w:rsidR="00B40966" w:rsidRDefault="00B40966">
            <w:pPr>
              <w:pStyle w:val="TableText"/>
              <w:rPr>
                <w:sz w:val="20"/>
              </w:rPr>
            </w:pPr>
            <w:r>
              <w:rPr>
                <w:sz w:val="20"/>
              </w:rPr>
              <w:t>0.4</w:t>
            </w:r>
          </w:p>
          <w:p w:rsidR="00B40966" w:rsidRDefault="00B40966">
            <w:pPr>
              <w:pStyle w:val="TableText"/>
              <w:rPr>
                <w:sz w:val="20"/>
              </w:rPr>
            </w:pPr>
            <w:r>
              <w:rPr>
                <w:sz w:val="20"/>
              </w:rPr>
              <w:t>0.5</w:t>
            </w:r>
          </w:p>
          <w:p w:rsidR="00B40966" w:rsidRDefault="00B40966">
            <w:pPr>
              <w:pStyle w:val="TableText"/>
              <w:rPr>
                <w:sz w:val="20"/>
              </w:rPr>
            </w:pPr>
            <w:r>
              <w:rPr>
                <w:sz w:val="20"/>
              </w:rPr>
              <w:t>0.7</w:t>
            </w:r>
          </w:p>
        </w:tc>
      </w:tr>
      <w:tr w:rsidR="00B40966">
        <w:trPr>
          <w:gridAfter w:val="1"/>
          <w:wAfter w:w="12" w:type="dxa"/>
        </w:trPr>
        <w:tc>
          <w:tcPr>
            <w:tcW w:w="792" w:type="dxa"/>
            <w:gridSpan w:val="3"/>
            <w:tcBorders>
              <w:top w:val="single" w:sz="6" w:space="0" w:color="auto"/>
              <w:right w:val="single" w:sz="6" w:space="0" w:color="auto"/>
            </w:tcBorders>
          </w:tcPr>
          <w:p w:rsidR="00B40966" w:rsidRDefault="00B40966">
            <w:pPr>
              <w:pStyle w:val="TableText"/>
              <w:rPr>
                <w:sz w:val="20"/>
              </w:rPr>
            </w:pPr>
            <w:r>
              <w:rPr>
                <w:sz w:val="20"/>
              </w:rPr>
              <w:t>30 or 31</w:t>
            </w:r>
          </w:p>
          <w:p w:rsidR="00B40966" w:rsidRDefault="00B40966">
            <w:pPr>
              <w:pStyle w:val="TableText"/>
              <w:rPr>
                <w:sz w:val="20"/>
              </w:rPr>
            </w:pPr>
            <w:r>
              <w:rPr>
                <w:sz w:val="20"/>
              </w:rPr>
              <w:t>32 or 33</w:t>
            </w:r>
          </w:p>
          <w:p w:rsidR="00B40966" w:rsidRDefault="00B40966">
            <w:pPr>
              <w:pStyle w:val="TableText"/>
              <w:rPr>
                <w:sz w:val="20"/>
              </w:rPr>
            </w:pPr>
            <w:r>
              <w:rPr>
                <w:sz w:val="20"/>
              </w:rPr>
              <w:t>34 or 35</w:t>
            </w:r>
          </w:p>
          <w:p w:rsidR="00B40966" w:rsidRDefault="00B40966">
            <w:pPr>
              <w:pStyle w:val="TableText"/>
              <w:rPr>
                <w:sz w:val="20"/>
              </w:rPr>
            </w:pPr>
            <w:r>
              <w:rPr>
                <w:sz w:val="20"/>
              </w:rPr>
              <w:t>36 or 37</w:t>
            </w:r>
          </w:p>
          <w:p w:rsidR="00B40966" w:rsidRDefault="00B40966">
            <w:pPr>
              <w:pStyle w:val="TableText"/>
              <w:rPr>
                <w:sz w:val="20"/>
              </w:rPr>
            </w:pPr>
            <w:r>
              <w:rPr>
                <w:sz w:val="20"/>
              </w:rPr>
              <w:t>38 or 39</w:t>
            </w:r>
          </w:p>
        </w:tc>
        <w:tc>
          <w:tcPr>
            <w:tcW w:w="600" w:type="dxa"/>
            <w:tcBorders>
              <w:top w:val="single" w:sz="6" w:space="0" w:color="auto"/>
            </w:tcBorders>
          </w:tcPr>
          <w:p w:rsidR="00B40966" w:rsidRDefault="00B40966">
            <w:pPr>
              <w:pStyle w:val="TableText"/>
              <w:rPr>
                <w:sz w:val="20"/>
              </w:rPr>
            </w:pPr>
            <w:r>
              <w:rPr>
                <w:sz w:val="20"/>
              </w:rPr>
              <w:t>8</w:t>
            </w:r>
          </w:p>
          <w:p w:rsidR="00B40966" w:rsidRDefault="00B40966">
            <w:pPr>
              <w:pStyle w:val="TableText"/>
              <w:rPr>
                <w:sz w:val="20"/>
              </w:rPr>
            </w:pPr>
            <w:r>
              <w:rPr>
                <w:sz w:val="20"/>
              </w:rPr>
              <w:t>9</w:t>
            </w:r>
          </w:p>
          <w:p w:rsidR="00B40966" w:rsidRDefault="00B40966">
            <w:pPr>
              <w:pStyle w:val="TableText"/>
              <w:rPr>
                <w:sz w:val="20"/>
              </w:rPr>
            </w:pPr>
            <w:r>
              <w:rPr>
                <w:sz w:val="20"/>
              </w:rPr>
              <w:t>10</w:t>
            </w:r>
          </w:p>
          <w:p w:rsidR="00B40966" w:rsidRDefault="00B40966">
            <w:pPr>
              <w:pStyle w:val="TableText"/>
              <w:rPr>
                <w:sz w:val="20"/>
              </w:rPr>
            </w:pPr>
            <w:r>
              <w:rPr>
                <w:sz w:val="20"/>
              </w:rPr>
              <w:t>11</w:t>
            </w:r>
          </w:p>
          <w:p w:rsidR="00B40966" w:rsidRDefault="00B40966">
            <w:pPr>
              <w:pStyle w:val="TableText"/>
              <w:rPr>
                <w:sz w:val="20"/>
              </w:rPr>
            </w:pPr>
            <w:r>
              <w:rPr>
                <w:sz w:val="20"/>
              </w:rPr>
              <w:t>12</w:t>
            </w:r>
          </w:p>
        </w:tc>
        <w:tc>
          <w:tcPr>
            <w:tcW w:w="528"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p w:rsidR="00B40966" w:rsidRDefault="00B40966">
            <w:pPr>
              <w:pStyle w:val="TableText"/>
              <w:rPr>
                <w:sz w:val="20"/>
              </w:rPr>
            </w:pPr>
            <w:r>
              <w:rPr>
                <w:sz w:val="20"/>
              </w:rPr>
              <w:t>5</w:t>
            </w:r>
          </w:p>
        </w:tc>
        <w:tc>
          <w:tcPr>
            <w:tcW w:w="44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64</w:t>
            </w:r>
          </w:p>
          <w:p w:rsidR="00B40966" w:rsidRDefault="00B40966">
            <w:pPr>
              <w:pStyle w:val="TableText"/>
              <w:rPr>
                <w:sz w:val="20"/>
              </w:rPr>
            </w:pPr>
            <w:r>
              <w:rPr>
                <w:sz w:val="20"/>
              </w:rPr>
              <w:t>73</w:t>
            </w:r>
          </w:p>
          <w:p w:rsidR="00B40966" w:rsidRDefault="00B40966">
            <w:pPr>
              <w:pStyle w:val="TableText"/>
              <w:rPr>
                <w:sz w:val="20"/>
              </w:rPr>
            </w:pPr>
            <w:r>
              <w:rPr>
                <w:sz w:val="20"/>
              </w:rPr>
              <w:t>82</w:t>
            </w:r>
          </w:p>
          <w:p w:rsidR="00B40966" w:rsidRDefault="00B40966">
            <w:pPr>
              <w:pStyle w:val="TableText"/>
              <w:rPr>
                <w:sz w:val="20"/>
              </w:rPr>
            </w:pPr>
            <w:r>
              <w:rPr>
                <w:sz w:val="20"/>
              </w:rPr>
              <w:t>90</w:t>
            </w:r>
          </w:p>
          <w:p w:rsidR="00B40966" w:rsidRDefault="00B40966">
            <w:pPr>
              <w:pStyle w:val="TableText"/>
              <w:rPr>
                <w:sz w:val="20"/>
              </w:rPr>
            </w:pPr>
            <w:r>
              <w:rPr>
                <w:sz w:val="20"/>
              </w:rPr>
              <w:t>99</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8.0</w:t>
            </w:r>
          </w:p>
          <w:p w:rsidR="00B40966" w:rsidRDefault="00B40966">
            <w:pPr>
              <w:pStyle w:val="TableText"/>
              <w:rPr>
                <w:sz w:val="20"/>
              </w:rPr>
            </w:pPr>
            <w:r>
              <w:rPr>
                <w:sz w:val="20"/>
              </w:rPr>
              <w:t>8.1</w:t>
            </w:r>
          </w:p>
          <w:p w:rsidR="00B40966" w:rsidRDefault="00B40966">
            <w:pPr>
              <w:pStyle w:val="TableText"/>
              <w:rPr>
                <w:sz w:val="20"/>
              </w:rPr>
            </w:pPr>
            <w:r>
              <w:rPr>
                <w:sz w:val="20"/>
              </w:rPr>
              <w:t>8.2</w:t>
            </w:r>
          </w:p>
          <w:p w:rsidR="00B40966" w:rsidRDefault="00B40966">
            <w:pPr>
              <w:pStyle w:val="TableText"/>
              <w:rPr>
                <w:sz w:val="20"/>
              </w:rPr>
            </w:pPr>
            <w:r>
              <w:rPr>
                <w:sz w:val="20"/>
              </w:rPr>
              <w:t>8.2</w:t>
            </w:r>
          </w:p>
          <w:p w:rsidR="00B40966" w:rsidRDefault="00B40966">
            <w:pPr>
              <w:pStyle w:val="TableText"/>
              <w:rPr>
                <w:sz w:val="20"/>
              </w:rPr>
            </w:pPr>
            <w:r>
              <w:rPr>
                <w:sz w:val="20"/>
              </w:rPr>
              <w:t>8.2</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54</w:t>
            </w:r>
          </w:p>
          <w:p w:rsidR="00B40966" w:rsidRDefault="00B40966">
            <w:pPr>
              <w:pStyle w:val="TableText"/>
              <w:rPr>
                <w:sz w:val="20"/>
              </w:rPr>
            </w:pPr>
            <w:r>
              <w:rPr>
                <w:sz w:val="20"/>
              </w:rPr>
              <w:t>63</w:t>
            </w:r>
          </w:p>
          <w:p w:rsidR="00B40966" w:rsidRDefault="00B40966">
            <w:pPr>
              <w:pStyle w:val="TableText"/>
              <w:rPr>
                <w:sz w:val="20"/>
              </w:rPr>
            </w:pPr>
            <w:r>
              <w:rPr>
                <w:sz w:val="20"/>
              </w:rPr>
              <w:t>72</w:t>
            </w:r>
          </w:p>
          <w:p w:rsidR="00B40966" w:rsidRDefault="00B40966">
            <w:pPr>
              <w:pStyle w:val="TableText"/>
              <w:rPr>
                <w:sz w:val="20"/>
              </w:rPr>
            </w:pPr>
            <w:r>
              <w:rPr>
                <w:sz w:val="20"/>
              </w:rPr>
              <w:t>82</w:t>
            </w:r>
          </w:p>
          <w:p w:rsidR="00B40966" w:rsidRDefault="00B40966">
            <w:pPr>
              <w:pStyle w:val="TableText"/>
              <w:rPr>
                <w:sz w:val="20"/>
              </w:rPr>
            </w:pPr>
            <w:r>
              <w:rPr>
                <w:sz w:val="20"/>
              </w:rPr>
              <w:t>91</w:t>
            </w:r>
          </w:p>
        </w:tc>
        <w:tc>
          <w:tcPr>
            <w:tcW w:w="476"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6.8</w:t>
            </w:r>
          </w:p>
          <w:p w:rsidR="00B40966" w:rsidRDefault="00B40966">
            <w:pPr>
              <w:pStyle w:val="TableText"/>
              <w:rPr>
                <w:sz w:val="20"/>
              </w:rPr>
            </w:pPr>
            <w:r>
              <w:rPr>
                <w:sz w:val="20"/>
              </w:rPr>
              <w:t>7.0</w:t>
            </w:r>
          </w:p>
          <w:p w:rsidR="00B40966" w:rsidRDefault="00B40966">
            <w:pPr>
              <w:pStyle w:val="TableText"/>
              <w:rPr>
                <w:sz w:val="20"/>
              </w:rPr>
            </w:pPr>
            <w:r>
              <w:rPr>
                <w:sz w:val="20"/>
              </w:rPr>
              <w:t>7.2</w:t>
            </w:r>
          </w:p>
          <w:p w:rsidR="00B40966" w:rsidRDefault="00B40966">
            <w:pPr>
              <w:pStyle w:val="TableText"/>
              <w:rPr>
                <w:sz w:val="20"/>
              </w:rPr>
            </w:pPr>
            <w:r>
              <w:rPr>
                <w:sz w:val="20"/>
              </w:rPr>
              <w:t>7.4</w:t>
            </w:r>
          </w:p>
          <w:p w:rsidR="00B40966" w:rsidRDefault="00B40966">
            <w:pPr>
              <w:pStyle w:val="TableText"/>
              <w:rPr>
                <w:sz w:val="20"/>
              </w:rPr>
            </w:pPr>
            <w:r>
              <w:rPr>
                <w:sz w:val="20"/>
              </w:rPr>
              <w:t>7.6</w:t>
            </w:r>
          </w:p>
        </w:tc>
        <w:tc>
          <w:tcPr>
            <w:tcW w:w="412"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43</w:t>
            </w:r>
          </w:p>
          <w:p w:rsidR="00B40966" w:rsidRDefault="00B40966">
            <w:pPr>
              <w:pStyle w:val="TableText"/>
              <w:rPr>
                <w:sz w:val="20"/>
              </w:rPr>
            </w:pPr>
            <w:r>
              <w:rPr>
                <w:sz w:val="20"/>
              </w:rPr>
              <w:t>52</w:t>
            </w:r>
          </w:p>
          <w:p w:rsidR="00B40966" w:rsidRDefault="00B40966">
            <w:pPr>
              <w:pStyle w:val="TableText"/>
              <w:rPr>
                <w:sz w:val="20"/>
              </w:rPr>
            </w:pPr>
            <w:r>
              <w:rPr>
                <w:sz w:val="20"/>
              </w:rPr>
              <w:t>61</w:t>
            </w:r>
          </w:p>
          <w:p w:rsidR="00B40966" w:rsidRDefault="00B40966">
            <w:pPr>
              <w:pStyle w:val="TableText"/>
              <w:rPr>
                <w:sz w:val="20"/>
              </w:rPr>
            </w:pPr>
            <w:r>
              <w:rPr>
                <w:sz w:val="20"/>
              </w:rPr>
              <w:t>70</w:t>
            </w:r>
          </w:p>
          <w:p w:rsidR="00B40966" w:rsidRDefault="00B40966">
            <w:pPr>
              <w:pStyle w:val="TableText"/>
              <w:rPr>
                <w:sz w:val="20"/>
              </w:rPr>
            </w:pPr>
            <w:r>
              <w:rPr>
                <w:sz w:val="20"/>
              </w:rPr>
              <w:t>79</w:t>
            </w:r>
          </w:p>
        </w:tc>
        <w:tc>
          <w:tcPr>
            <w:tcW w:w="51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5.4</w:t>
            </w:r>
          </w:p>
          <w:p w:rsidR="00B40966" w:rsidRDefault="00B40966">
            <w:pPr>
              <w:pStyle w:val="TableText"/>
              <w:rPr>
                <w:sz w:val="20"/>
              </w:rPr>
            </w:pPr>
            <w:r>
              <w:rPr>
                <w:sz w:val="20"/>
              </w:rPr>
              <w:t>5.8</w:t>
            </w:r>
          </w:p>
          <w:p w:rsidR="00B40966" w:rsidRDefault="00B40966">
            <w:pPr>
              <w:pStyle w:val="TableText"/>
              <w:rPr>
                <w:sz w:val="20"/>
              </w:rPr>
            </w:pPr>
            <w:r>
              <w:rPr>
                <w:sz w:val="20"/>
              </w:rPr>
              <w:t>6.1</w:t>
            </w:r>
          </w:p>
          <w:p w:rsidR="00B40966" w:rsidRDefault="00B40966">
            <w:pPr>
              <w:pStyle w:val="TableText"/>
              <w:rPr>
                <w:sz w:val="20"/>
              </w:rPr>
            </w:pPr>
            <w:r>
              <w:rPr>
                <w:sz w:val="20"/>
              </w:rPr>
              <w:t>6.4</w:t>
            </w:r>
          </w:p>
          <w:p w:rsidR="00B40966" w:rsidRDefault="00B40966">
            <w:pPr>
              <w:pStyle w:val="TableText"/>
              <w:rPr>
                <w:sz w:val="20"/>
              </w:rPr>
            </w:pPr>
            <w:r>
              <w:rPr>
                <w:sz w:val="20"/>
              </w:rPr>
              <w:t>6.6</w:t>
            </w:r>
          </w:p>
        </w:tc>
        <w:tc>
          <w:tcPr>
            <w:tcW w:w="42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32</w:t>
            </w:r>
          </w:p>
          <w:p w:rsidR="00B40966" w:rsidRDefault="00B40966">
            <w:pPr>
              <w:pStyle w:val="TableText"/>
              <w:rPr>
                <w:sz w:val="20"/>
              </w:rPr>
            </w:pPr>
            <w:r>
              <w:rPr>
                <w:sz w:val="20"/>
              </w:rPr>
              <w:t>39</w:t>
            </w:r>
          </w:p>
          <w:p w:rsidR="00B40966" w:rsidRDefault="00B40966">
            <w:pPr>
              <w:pStyle w:val="TableText"/>
              <w:rPr>
                <w:sz w:val="20"/>
              </w:rPr>
            </w:pPr>
            <w:r>
              <w:rPr>
                <w:sz w:val="20"/>
              </w:rPr>
              <w:t>46</w:t>
            </w:r>
          </w:p>
          <w:p w:rsidR="00B40966" w:rsidRDefault="00B40966">
            <w:pPr>
              <w:pStyle w:val="TableText"/>
              <w:rPr>
                <w:sz w:val="20"/>
              </w:rPr>
            </w:pPr>
            <w:r>
              <w:rPr>
                <w:sz w:val="20"/>
              </w:rPr>
              <w:t>54</w:t>
            </w:r>
          </w:p>
          <w:p w:rsidR="00B40966" w:rsidRDefault="00B40966">
            <w:pPr>
              <w:pStyle w:val="TableText"/>
              <w:rPr>
                <w:sz w:val="20"/>
              </w:rPr>
            </w:pPr>
            <w:r>
              <w:rPr>
                <w:sz w:val="20"/>
              </w:rPr>
              <w:t>63</w:t>
            </w:r>
          </w:p>
        </w:tc>
        <w:tc>
          <w:tcPr>
            <w:tcW w:w="46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4.0</w:t>
            </w:r>
          </w:p>
          <w:p w:rsidR="00B40966" w:rsidRDefault="00B40966">
            <w:pPr>
              <w:pStyle w:val="TableText"/>
              <w:rPr>
                <w:sz w:val="20"/>
              </w:rPr>
            </w:pPr>
            <w:r>
              <w:rPr>
                <w:sz w:val="20"/>
              </w:rPr>
              <w:t>4.3</w:t>
            </w:r>
          </w:p>
          <w:p w:rsidR="00B40966" w:rsidRDefault="00B40966">
            <w:pPr>
              <w:pStyle w:val="TableText"/>
              <w:rPr>
                <w:sz w:val="20"/>
              </w:rPr>
            </w:pPr>
            <w:r>
              <w:rPr>
                <w:sz w:val="20"/>
              </w:rPr>
              <w:t>4.6</w:t>
            </w:r>
          </w:p>
          <w:p w:rsidR="00B40966" w:rsidRDefault="00B40966">
            <w:pPr>
              <w:pStyle w:val="TableText"/>
              <w:rPr>
                <w:sz w:val="20"/>
              </w:rPr>
            </w:pPr>
            <w:r>
              <w:rPr>
                <w:sz w:val="20"/>
              </w:rPr>
              <w:t>4.9</w:t>
            </w:r>
          </w:p>
          <w:p w:rsidR="00B40966" w:rsidRDefault="00B40966">
            <w:pPr>
              <w:pStyle w:val="TableText"/>
              <w:rPr>
                <w:sz w:val="20"/>
              </w:rPr>
            </w:pPr>
            <w:r>
              <w:rPr>
                <w:sz w:val="20"/>
              </w:rPr>
              <w:t>5.2</w:t>
            </w:r>
          </w:p>
        </w:tc>
        <w:tc>
          <w:tcPr>
            <w:tcW w:w="384"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27</w:t>
            </w:r>
          </w:p>
          <w:p w:rsidR="00B40966" w:rsidRDefault="00B40966">
            <w:pPr>
              <w:pStyle w:val="TableText"/>
              <w:rPr>
                <w:sz w:val="20"/>
              </w:rPr>
            </w:pPr>
            <w:r>
              <w:rPr>
                <w:sz w:val="20"/>
              </w:rPr>
              <w:t>34</w:t>
            </w:r>
          </w:p>
          <w:p w:rsidR="00B40966" w:rsidRDefault="00B40966">
            <w:pPr>
              <w:pStyle w:val="TableText"/>
              <w:rPr>
                <w:sz w:val="20"/>
              </w:rPr>
            </w:pPr>
            <w:r>
              <w:rPr>
                <w:sz w:val="20"/>
              </w:rPr>
              <w:t>41</w:t>
            </w:r>
          </w:p>
          <w:p w:rsidR="00B40966" w:rsidRDefault="00B40966">
            <w:pPr>
              <w:pStyle w:val="TableText"/>
              <w:rPr>
                <w:sz w:val="20"/>
              </w:rPr>
            </w:pPr>
            <w:r>
              <w:rPr>
                <w:sz w:val="20"/>
              </w:rPr>
              <w:t>48</w:t>
            </w:r>
          </w:p>
          <w:p w:rsidR="00B40966" w:rsidRDefault="00B40966">
            <w:pPr>
              <w:pStyle w:val="TableText"/>
              <w:rPr>
                <w:sz w:val="20"/>
              </w:rPr>
            </w:pPr>
            <w:r>
              <w:rPr>
                <w:sz w:val="20"/>
              </w:rPr>
              <w:t>56</w:t>
            </w:r>
          </w:p>
        </w:tc>
        <w:tc>
          <w:tcPr>
            <w:tcW w:w="50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3.4</w:t>
            </w:r>
          </w:p>
          <w:p w:rsidR="00B40966" w:rsidRDefault="00B40966">
            <w:pPr>
              <w:pStyle w:val="TableText"/>
              <w:rPr>
                <w:sz w:val="20"/>
              </w:rPr>
            </w:pPr>
            <w:r>
              <w:rPr>
                <w:sz w:val="20"/>
              </w:rPr>
              <w:t>3.8</w:t>
            </w:r>
          </w:p>
          <w:p w:rsidR="00B40966" w:rsidRDefault="00B40966">
            <w:pPr>
              <w:pStyle w:val="TableText"/>
              <w:rPr>
                <w:sz w:val="20"/>
              </w:rPr>
            </w:pPr>
            <w:r>
              <w:rPr>
                <w:sz w:val="20"/>
              </w:rPr>
              <w:t>4.1</w:t>
            </w:r>
          </w:p>
          <w:p w:rsidR="00B40966" w:rsidRDefault="00B40966">
            <w:pPr>
              <w:pStyle w:val="TableText"/>
              <w:rPr>
                <w:sz w:val="20"/>
              </w:rPr>
            </w:pPr>
            <w:r>
              <w:rPr>
                <w:sz w:val="20"/>
              </w:rPr>
              <w:t>4.4</w:t>
            </w:r>
          </w:p>
          <w:p w:rsidR="00B40966" w:rsidRDefault="00B40966">
            <w:pPr>
              <w:pStyle w:val="TableText"/>
              <w:rPr>
                <w:sz w:val="20"/>
              </w:rPr>
            </w:pPr>
            <w:r>
              <w:rPr>
                <w:sz w:val="20"/>
              </w:rPr>
              <w:t>4.7</w:t>
            </w:r>
          </w:p>
        </w:tc>
        <w:tc>
          <w:tcPr>
            <w:tcW w:w="396"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24</w:t>
            </w:r>
          </w:p>
          <w:p w:rsidR="00B40966" w:rsidRDefault="00B40966">
            <w:pPr>
              <w:pStyle w:val="TableText"/>
              <w:rPr>
                <w:sz w:val="20"/>
              </w:rPr>
            </w:pPr>
            <w:r>
              <w:rPr>
                <w:sz w:val="20"/>
              </w:rPr>
              <w:t>30</w:t>
            </w:r>
          </w:p>
          <w:p w:rsidR="00B40966" w:rsidRDefault="00B40966">
            <w:pPr>
              <w:pStyle w:val="TableText"/>
              <w:rPr>
                <w:sz w:val="20"/>
              </w:rPr>
            </w:pPr>
            <w:r>
              <w:rPr>
                <w:sz w:val="20"/>
              </w:rPr>
              <w:t>36</w:t>
            </w:r>
          </w:p>
          <w:p w:rsidR="00B40966" w:rsidRDefault="00B40966">
            <w:pPr>
              <w:pStyle w:val="TableText"/>
              <w:rPr>
                <w:sz w:val="20"/>
              </w:rPr>
            </w:pPr>
            <w:r>
              <w:rPr>
                <w:sz w:val="20"/>
              </w:rPr>
              <w:t>42</w:t>
            </w:r>
          </w:p>
          <w:p w:rsidR="00B40966" w:rsidRDefault="00B40966">
            <w:pPr>
              <w:pStyle w:val="TableText"/>
              <w:rPr>
                <w:sz w:val="20"/>
              </w:rPr>
            </w:pPr>
            <w:r>
              <w:rPr>
                <w:sz w:val="20"/>
              </w:rPr>
              <w:t>49</w:t>
            </w:r>
          </w:p>
        </w:tc>
        <w:tc>
          <w:tcPr>
            <w:tcW w:w="50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3.0</w:t>
            </w:r>
          </w:p>
          <w:p w:rsidR="00B40966" w:rsidRDefault="00B40966">
            <w:pPr>
              <w:pStyle w:val="TableText"/>
              <w:rPr>
                <w:sz w:val="20"/>
              </w:rPr>
            </w:pPr>
            <w:r>
              <w:rPr>
                <w:sz w:val="20"/>
              </w:rPr>
              <w:t>3.3</w:t>
            </w:r>
          </w:p>
          <w:p w:rsidR="00B40966" w:rsidRDefault="00B40966">
            <w:pPr>
              <w:pStyle w:val="TableText"/>
              <w:rPr>
                <w:sz w:val="20"/>
              </w:rPr>
            </w:pPr>
            <w:r>
              <w:rPr>
                <w:sz w:val="20"/>
              </w:rPr>
              <w:t>3.6</w:t>
            </w:r>
          </w:p>
          <w:p w:rsidR="00B40966" w:rsidRDefault="00B40966">
            <w:pPr>
              <w:pStyle w:val="TableText"/>
              <w:rPr>
                <w:sz w:val="20"/>
              </w:rPr>
            </w:pPr>
            <w:r>
              <w:rPr>
                <w:sz w:val="20"/>
              </w:rPr>
              <w:t>3.8</w:t>
            </w:r>
          </w:p>
          <w:p w:rsidR="00B40966" w:rsidRDefault="00B40966">
            <w:pPr>
              <w:pStyle w:val="TableText"/>
              <w:rPr>
                <w:sz w:val="20"/>
              </w:rPr>
            </w:pPr>
            <w:r>
              <w:rPr>
                <w:sz w:val="20"/>
              </w:rPr>
              <w:t>4.1</w:t>
            </w:r>
          </w:p>
        </w:tc>
        <w:tc>
          <w:tcPr>
            <w:tcW w:w="384"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21</w:t>
            </w:r>
          </w:p>
          <w:p w:rsidR="00B40966" w:rsidRDefault="00B40966">
            <w:pPr>
              <w:pStyle w:val="TableText"/>
              <w:rPr>
                <w:sz w:val="20"/>
              </w:rPr>
            </w:pPr>
            <w:r>
              <w:rPr>
                <w:sz w:val="20"/>
              </w:rPr>
              <w:t>26</w:t>
            </w:r>
          </w:p>
          <w:p w:rsidR="00B40966" w:rsidRDefault="00B40966">
            <w:pPr>
              <w:pStyle w:val="TableText"/>
              <w:rPr>
                <w:sz w:val="20"/>
              </w:rPr>
            </w:pPr>
            <w:r>
              <w:rPr>
                <w:sz w:val="20"/>
              </w:rPr>
              <w:t>31</w:t>
            </w:r>
          </w:p>
          <w:p w:rsidR="00B40966" w:rsidRDefault="00B40966">
            <w:pPr>
              <w:pStyle w:val="TableText"/>
              <w:rPr>
                <w:sz w:val="20"/>
              </w:rPr>
            </w:pPr>
            <w:r>
              <w:rPr>
                <w:sz w:val="20"/>
              </w:rPr>
              <w:t>37</w:t>
            </w:r>
          </w:p>
          <w:p w:rsidR="00B40966" w:rsidRDefault="00B40966">
            <w:pPr>
              <w:pStyle w:val="TableText"/>
              <w:rPr>
                <w:sz w:val="20"/>
              </w:rPr>
            </w:pPr>
            <w:r>
              <w:rPr>
                <w:sz w:val="20"/>
              </w:rPr>
              <w:t>43</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2.6</w:t>
            </w:r>
          </w:p>
          <w:p w:rsidR="00B40966" w:rsidRDefault="00B40966">
            <w:pPr>
              <w:pStyle w:val="TableText"/>
              <w:rPr>
                <w:sz w:val="20"/>
              </w:rPr>
            </w:pPr>
            <w:r>
              <w:rPr>
                <w:sz w:val="20"/>
              </w:rPr>
              <w:t>2.9</w:t>
            </w:r>
          </w:p>
          <w:p w:rsidR="00B40966" w:rsidRDefault="00B40966">
            <w:pPr>
              <w:pStyle w:val="TableText"/>
              <w:rPr>
                <w:sz w:val="20"/>
              </w:rPr>
            </w:pPr>
            <w:r>
              <w:rPr>
                <w:sz w:val="20"/>
              </w:rPr>
              <w:t>3.1</w:t>
            </w:r>
          </w:p>
          <w:p w:rsidR="00B40966" w:rsidRDefault="00B40966">
            <w:pPr>
              <w:pStyle w:val="TableText"/>
              <w:rPr>
                <w:sz w:val="20"/>
              </w:rPr>
            </w:pPr>
            <w:r>
              <w:rPr>
                <w:sz w:val="20"/>
              </w:rPr>
              <w:t>3.4</w:t>
            </w:r>
          </w:p>
          <w:p w:rsidR="00B40966" w:rsidRDefault="00B40966">
            <w:pPr>
              <w:pStyle w:val="TableText"/>
              <w:rPr>
                <w:sz w:val="20"/>
              </w:rPr>
            </w:pPr>
            <w:r>
              <w:rPr>
                <w:sz w:val="20"/>
              </w:rPr>
              <w:t>3.6</w:t>
            </w:r>
          </w:p>
        </w:tc>
        <w:tc>
          <w:tcPr>
            <w:tcW w:w="38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17</w:t>
            </w:r>
          </w:p>
          <w:p w:rsidR="00B40966" w:rsidRDefault="00B40966">
            <w:pPr>
              <w:pStyle w:val="TableText"/>
              <w:rPr>
                <w:sz w:val="20"/>
              </w:rPr>
            </w:pPr>
            <w:r>
              <w:rPr>
                <w:sz w:val="20"/>
              </w:rPr>
              <w:t>21</w:t>
            </w:r>
          </w:p>
          <w:p w:rsidR="00B40966" w:rsidRDefault="00B40966">
            <w:pPr>
              <w:pStyle w:val="TableText"/>
              <w:rPr>
                <w:sz w:val="20"/>
              </w:rPr>
            </w:pPr>
            <w:r>
              <w:rPr>
                <w:sz w:val="20"/>
              </w:rPr>
              <w:t>26</w:t>
            </w:r>
          </w:p>
          <w:p w:rsidR="00B40966" w:rsidRDefault="00B40966">
            <w:pPr>
              <w:pStyle w:val="TableText"/>
              <w:rPr>
                <w:sz w:val="20"/>
              </w:rPr>
            </w:pPr>
            <w:r>
              <w:rPr>
                <w:sz w:val="20"/>
              </w:rPr>
              <w:t>31</w:t>
            </w:r>
          </w:p>
          <w:p w:rsidR="00B40966" w:rsidRDefault="00B40966">
            <w:pPr>
              <w:pStyle w:val="TableText"/>
              <w:rPr>
                <w:sz w:val="20"/>
              </w:rPr>
            </w:pPr>
            <w:r>
              <w:rPr>
                <w:sz w:val="20"/>
              </w:rPr>
              <w:t>36</w:t>
            </w:r>
          </w:p>
        </w:tc>
        <w:tc>
          <w:tcPr>
            <w:tcW w:w="452"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2.1</w:t>
            </w:r>
          </w:p>
          <w:p w:rsidR="00B40966" w:rsidRDefault="00B40966">
            <w:pPr>
              <w:pStyle w:val="TableText"/>
              <w:rPr>
                <w:sz w:val="20"/>
              </w:rPr>
            </w:pPr>
            <w:r>
              <w:rPr>
                <w:sz w:val="20"/>
              </w:rPr>
              <w:t>2.3</w:t>
            </w:r>
          </w:p>
          <w:p w:rsidR="00B40966" w:rsidRDefault="00B40966">
            <w:pPr>
              <w:pStyle w:val="TableText"/>
              <w:rPr>
                <w:sz w:val="20"/>
              </w:rPr>
            </w:pPr>
            <w:r>
              <w:rPr>
                <w:sz w:val="20"/>
              </w:rPr>
              <w:t>2.6</w:t>
            </w:r>
          </w:p>
          <w:p w:rsidR="00B40966" w:rsidRDefault="00B40966">
            <w:pPr>
              <w:pStyle w:val="TableText"/>
              <w:rPr>
                <w:sz w:val="20"/>
              </w:rPr>
            </w:pPr>
            <w:r>
              <w:rPr>
                <w:sz w:val="20"/>
              </w:rPr>
              <w:t>2.8</w:t>
            </w:r>
          </w:p>
          <w:p w:rsidR="00B40966" w:rsidRDefault="00B40966">
            <w:pPr>
              <w:pStyle w:val="TableText"/>
              <w:rPr>
                <w:sz w:val="20"/>
              </w:rPr>
            </w:pPr>
            <w:r>
              <w:rPr>
                <w:sz w:val="20"/>
              </w:rPr>
              <w:t>3.0</w:t>
            </w:r>
          </w:p>
        </w:tc>
        <w:tc>
          <w:tcPr>
            <w:tcW w:w="408" w:type="dxa"/>
            <w:gridSpan w:val="5"/>
            <w:tcBorders>
              <w:top w:val="single" w:sz="6" w:space="0" w:color="auto"/>
              <w:left w:val="single" w:sz="6" w:space="0" w:color="auto"/>
              <w:right w:val="single" w:sz="6" w:space="0" w:color="auto"/>
            </w:tcBorders>
          </w:tcPr>
          <w:p w:rsidR="00B40966" w:rsidRDefault="00B40966">
            <w:pPr>
              <w:pStyle w:val="TableText"/>
              <w:rPr>
                <w:sz w:val="20"/>
              </w:rPr>
            </w:pPr>
            <w:r>
              <w:rPr>
                <w:sz w:val="20"/>
              </w:rPr>
              <w:t>14</w:t>
            </w:r>
          </w:p>
          <w:p w:rsidR="00B40966" w:rsidRDefault="00B40966">
            <w:pPr>
              <w:pStyle w:val="TableText"/>
              <w:rPr>
                <w:sz w:val="20"/>
              </w:rPr>
            </w:pPr>
            <w:r>
              <w:rPr>
                <w:sz w:val="20"/>
              </w:rPr>
              <w:t>17</w:t>
            </w:r>
          </w:p>
          <w:p w:rsidR="00B40966" w:rsidRDefault="00B40966">
            <w:pPr>
              <w:pStyle w:val="TableText"/>
              <w:rPr>
                <w:sz w:val="20"/>
              </w:rPr>
            </w:pPr>
            <w:r>
              <w:rPr>
                <w:sz w:val="20"/>
              </w:rPr>
              <w:t>21</w:t>
            </w:r>
          </w:p>
          <w:p w:rsidR="00B40966" w:rsidRDefault="00B40966">
            <w:pPr>
              <w:pStyle w:val="TableText"/>
              <w:rPr>
                <w:sz w:val="20"/>
              </w:rPr>
            </w:pPr>
            <w:r>
              <w:rPr>
                <w:sz w:val="20"/>
              </w:rPr>
              <w:t>25</w:t>
            </w:r>
          </w:p>
          <w:p w:rsidR="00B40966" w:rsidRDefault="00B40966">
            <w:pPr>
              <w:pStyle w:val="TableText"/>
              <w:rPr>
                <w:sz w:val="20"/>
              </w:rPr>
            </w:pPr>
            <w:r>
              <w:rPr>
                <w:sz w:val="20"/>
              </w:rPr>
              <w:t>29</w:t>
            </w:r>
          </w:p>
        </w:tc>
        <w:tc>
          <w:tcPr>
            <w:tcW w:w="472"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1.7</w:t>
            </w:r>
          </w:p>
          <w:p w:rsidR="00B40966" w:rsidRDefault="00B40966">
            <w:pPr>
              <w:pStyle w:val="TableText"/>
              <w:rPr>
                <w:sz w:val="20"/>
              </w:rPr>
            </w:pPr>
            <w:r>
              <w:rPr>
                <w:sz w:val="20"/>
              </w:rPr>
              <w:t>1.9</w:t>
            </w:r>
          </w:p>
          <w:p w:rsidR="00B40966" w:rsidRDefault="00B40966">
            <w:pPr>
              <w:pStyle w:val="TableText"/>
              <w:rPr>
                <w:sz w:val="20"/>
              </w:rPr>
            </w:pPr>
            <w:r>
              <w:rPr>
                <w:sz w:val="20"/>
              </w:rPr>
              <w:t>2.1</w:t>
            </w:r>
          </w:p>
          <w:p w:rsidR="00B40966" w:rsidRDefault="00B40966">
            <w:pPr>
              <w:pStyle w:val="TableText"/>
              <w:rPr>
                <w:sz w:val="20"/>
              </w:rPr>
            </w:pPr>
            <w:r>
              <w:rPr>
                <w:sz w:val="20"/>
              </w:rPr>
              <w:t>2.3</w:t>
            </w:r>
          </w:p>
          <w:p w:rsidR="00B40966" w:rsidRDefault="00B40966">
            <w:pPr>
              <w:pStyle w:val="TableText"/>
              <w:rPr>
                <w:sz w:val="20"/>
              </w:rPr>
            </w:pPr>
            <w:r>
              <w:rPr>
                <w:sz w:val="20"/>
              </w:rPr>
              <w:t>2.4</w:t>
            </w:r>
          </w:p>
        </w:tc>
        <w:tc>
          <w:tcPr>
            <w:tcW w:w="36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10</w:t>
            </w:r>
          </w:p>
          <w:p w:rsidR="00B40966" w:rsidRDefault="00B40966">
            <w:pPr>
              <w:pStyle w:val="TableText"/>
              <w:rPr>
                <w:sz w:val="20"/>
              </w:rPr>
            </w:pPr>
            <w:r>
              <w:rPr>
                <w:sz w:val="20"/>
              </w:rPr>
              <w:t>12</w:t>
            </w:r>
          </w:p>
          <w:p w:rsidR="00B40966" w:rsidRDefault="00B40966">
            <w:pPr>
              <w:pStyle w:val="TableText"/>
              <w:rPr>
                <w:sz w:val="20"/>
              </w:rPr>
            </w:pPr>
            <w:r>
              <w:rPr>
                <w:sz w:val="20"/>
              </w:rPr>
              <w:t>15</w:t>
            </w:r>
          </w:p>
          <w:p w:rsidR="00B40966" w:rsidRDefault="00B40966">
            <w:pPr>
              <w:pStyle w:val="TableText"/>
              <w:rPr>
                <w:sz w:val="20"/>
              </w:rPr>
            </w:pPr>
            <w:r>
              <w:rPr>
                <w:sz w:val="20"/>
              </w:rPr>
              <w:t>19</w:t>
            </w:r>
          </w:p>
          <w:p w:rsidR="00B40966" w:rsidRDefault="00B40966">
            <w:pPr>
              <w:pStyle w:val="TableText"/>
              <w:rPr>
                <w:sz w:val="20"/>
              </w:rPr>
            </w:pPr>
            <w:r>
              <w:rPr>
                <w:sz w:val="20"/>
              </w:rPr>
              <w:t>22</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1.2</w:t>
            </w:r>
          </w:p>
          <w:p w:rsidR="00B40966" w:rsidRDefault="00B40966">
            <w:pPr>
              <w:pStyle w:val="TableText"/>
              <w:rPr>
                <w:sz w:val="20"/>
              </w:rPr>
            </w:pPr>
            <w:r>
              <w:rPr>
                <w:sz w:val="20"/>
              </w:rPr>
              <w:t>1.3</w:t>
            </w:r>
          </w:p>
          <w:p w:rsidR="00B40966" w:rsidRDefault="00B40966">
            <w:pPr>
              <w:pStyle w:val="TableText"/>
              <w:rPr>
                <w:sz w:val="20"/>
              </w:rPr>
            </w:pPr>
            <w:r>
              <w:rPr>
                <w:sz w:val="20"/>
              </w:rPr>
              <w:t>1.5</w:t>
            </w:r>
          </w:p>
          <w:p w:rsidR="00B40966" w:rsidRDefault="00B40966">
            <w:pPr>
              <w:pStyle w:val="TableText"/>
              <w:rPr>
                <w:sz w:val="20"/>
              </w:rPr>
            </w:pPr>
            <w:r>
              <w:rPr>
                <w:sz w:val="20"/>
              </w:rPr>
              <w:t>1.7</w:t>
            </w:r>
          </w:p>
          <w:p w:rsidR="00B40966" w:rsidRDefault="00B40966">
            <w:pPr>
              <w:pStyle w:val="TableText"/>
              <w:rPr>
                <w:sz w:val="20"/>
              </w:rPr>
            </w:pPr>
            <w:r>
              <w:rPr>
                <w:sz w:val="20"/>
              </w:rPr>
              <w:t>1.8</w:t>
            </w:r>
          </w:p>
        </w:tc>
        <w:tc>
          <w:tcPr>
            <w:tcW w:w="36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6</w:t>
            </w:r>
          </w:p>
          <w:p w:rsidR="00B40966" w:rsidRDefault="00B40966">
            <w:pPr>
              <w:pStyle w:val="TableText"/>
              <w:rPr>
                <w:sz w:val="20"/>
              </w:rPr>
            </w:pPr>
            <w:r>
              <w:rPr>
                <w:sz w:val="20"/>
              </w:rPr>
              <w:t>8</w:t>
            </w:r>
          </w:p>
          <w:p w:rsidR="00B40966" w:rsidRDefault="00B40966">
            <w:pPr>
              <w:pStyle w:val="TableText"/>
              <w:rPr>
                <w:sz w:val="20"/>
              </w:rPr>
            </w:pPr>
            <w:r>
              <w:rPr>
                <w:sz w:val="20"/>
              </w:rPr>
              <w:t>10</w:t>
            </w:r>
          </w:p>
          <w:p w:rsidR="00B40966" w:rsidRDefault="00B40966">
            <w:pPr>
              <w:pStyle w:val="TableText"/>
              <w:rPr>
                <w:sz w:val="20"/>
              </w:rPr>
            </w:pPr>
            <w:r>
              <w:rPr>
                <w:sz w:val="20"/>
              </w:rPr>
              <w:t>12</w:t>
            </w:r>
          </w:p>
          <w:p w:rsidR="00B40966" w:rsidRDefault="00B40966">
            <w:pPr>
              <w:pStyle w:val="TableText"/>
              <w:rPr>
                <w:sz w:val="20"/>
              </w:rPr>
            </w:pPr>
            <w:r>
              <w:rPr>
                <w:sz w:val="20"/>
              </w:rPr>
              <w:t>14</w:t>
            </w:r>
          </w:p>
        </w:tc>
        <w:tc>
          <w:tcPr>
            <w:tcW w:w="480" w:type="dxa"/>
            <w:gridSpan w:val="2"/>
            <w:tcBorders>
              <w:top w:val="single" w:sz="6" w:space="0" w:color="auto"/>
            </w:tcBorders>
          </w:tcPr>
          <w:p w:rsidR="00B40966" w:rsidRDefault="00B40966">
            <w:pPr>
              <w:pStyle w:val="TableText"/>
              <w:rPr>
                <w:sz w:val="20"/>
              </w:rPr>
            </w:pPr>
            <w:r>
              <w:rPr>
                <w:sz w:val="20"/>
              </w:rPr>
              <w:t>0.8</w:t>
            </w:r>
          </w:p>
          <w:p w:rsidR="00B40966" w:rsidRDefault="00B40966">
            <w:pPr>
              <w:pStyle w:val="TableText"/>
              <w:rPr>
                <w:sz w:val="20"/>
              </w:rPr>
            </w:pPr>
            <w:r>
              <w:rPr>
                <w:sz w:val="20"/>
              </w:rPr>
              <w:t>0.9</w:t>
            </w:r>
          </w:p>
          <w:p w:rsidR="00B40966" w:rsidRDefault="00B40966">
            <w:pPr>
              <w:pStyle w:val="TableText"/>
              <w:rPr>
                <w:sz w:val="20"/>
              </w:rPr>
            </w:pPr>
            <w:r>
              <w:rPr>
                <w:sz w:val="20"/>
              </w:rPr>
              <w:t>1.0</w:t>
            </w:r>
          </w:p>
          <w:p w:rsidR="00B40966" w:rsidRDefault="00B40966">
            <w:pPr>
              <w:pStyle w:val="TableText"/>
              <w:rPr>
                <w:sz w:val="20"/>
              </w:rPr>
            </w:pPr>
            <w:r>
              <w:rPr>
                <w:sz w:val="20"/>
              </w:rPr>
              <w:t>1.1</w:t>
            </w:r>
          </w:p>
          <w:p w:rsidR="00B40966" w:rsidRDefault="00B40966">
            <w:pPr>
              <w:pStyle w:val="TableText"/>
              <w:rPr>
                <w:sz w:val="20"/>
              </w:rPr>
            </w:pPr>
            <w:r>
              <w:rPr>
                <w:sz w:val="20"/>
              </w:rPr>
              <w:t>1.2</w:t>
            </w:r>
          </w:p>
        </w:tc>
      </w:tr>
      <w:tr w:rsidR="00B40966">
        <w:trPr>
          <w:gridAfter w:val="1"/>
          <w:wAfter w:w="12" w:type="dxa"/>
        </w:trPr>
        <w:tc>
          <w:tcPr>
            <w:tcW w:w="792" w:type="dxa"/>
            <w:gridSpan w:val="3"/>
            <w:tcBorders>
              <w:top w:val="single" w:sz="6" w:space="0" w:color="auto"/>
              <w:right w:val="single" w:sz="6" w:space="0" w:color="auto"/>
            </w:tcBorders>
          </w:tcPr>
          <w:p w:rsidR="00B40966" w:rsidRDefault="00B40966">
            <w:pPr>
              <w:pStyle w:val="TableText"/>
              <w:keepNext/>
              <w:rPr>
                <w:sz w:val="20"/>
              </w:rPr>
            </w:pPr>
            <w:r>
              <w:rPr>
                <w:sz w:val="20"/>
              </w:rPr>
              <w:t>40 to 41</w:t>
            </w:r>
          </w:p>
          <w:p w:rsidR="00B40966" w:rsidRDefault="00B40966">
            <w:pPr>
              <w:pStyle w:val="TableText"/>
              <w:keepNext/>
              <w:rPr>
                <w:sz w:val="20"/>
              </w:rPr>
            </w:pPr>
            <w:r>
              <w:rPr>
                <w:sz w:val="20"/>
              </w:rPr>
              <w:t>42 or 43</w:t>
            </w:r>
          </w:p>
          <w:p w:rsidR="00B40966" w:rsidRDefault="00B40966">
            <w:pPr>
              <w:pStyle w:val="TableText"/>
              <w:keepNext/>
              <w:rPr>
                <w:sz w:val="20"/>
              </w:rPr>
            </w:pPr>
            <w:r>
              <w:rPr>
                <w:sz w:val="20"/>
              </w:rPr>
              <w:t>44 or 45</w:t>
            </w:r>
          </w:p>
          <w:p w:rsidR="00B40966" w:rsidRDefault="00B40966">
            <w:pPr>
              <w:pStyle w:val="TableText"/>
              <w:keepNext/>
              <w:rPr>
                <w:sz w:val="20"/>
              </w:rPr>
            </w:pPr>
            <w:r>
              <w:rPr>
                <w:sz w:val="20"/>
              </w:rPr>
              <w:t>46 or 47</w:t>
            </w:r>
          </w:p>
          <w:p w:rsidR="00B40966" w:rsidRDefault="00B40966">
            <w:pPr>
              <w:pStyle w:val="TableText"/>
              <w:keepNext/>
              <w:rPr>
                <w:sz w:val="20"/>
              </w:rPr>
            </w:pPr>
            <w:r>
              <w:rPr>
                <w:sz w:val="20"/>
              </w:rPr>
              <w:t>48 or 49</w:t>
            </w:r>
          </w:p>
        </w:tc>
        <w:tc>
          <w:tcPr>
            <w:tcW w:w="600" w:type="dxa"/>
            <w:tcBorders>
              <w:top w:val="single" w:sz="6" w:space="0" w:color="auto"/>
            </w:tcBorders>
          </w:tcPr>
          <w:p w:rsidR="00B40966" w:rsidRDefault="00B40966">
            <w:pPr>
              <w:pStyle w:val="TableText"/>
              <w:keepNext/>
              <w:rPr>
                <w:sz w:val="20"/>
              </w:rPr>
            </w:pPr>
            <w:r>
              <w:rPr>
                <w:sz w:val="20"/>
              </w:rPr>
              <w:t>13</w:t>
            </w:r>
          </w:p>
          <w:p w:rsidR="00B40966" w:rsidRDefault="00B40966">
            <w:pPr>
              <w:pStyle w:val="TableText"/>
              <w:keepNext/>
              <w:rPr>
                <w:sz w:val="20"/>
              </w:rPr>
            </w:pPr>
            <w:r>
              <w:rPr>
                <w:sz w:val="20"/>
              </w:rPr>
              <w:t>14</w:t>
            </w:r>
          </w:p>
          <w:p w:rsidR="00B40966" w:rsidRDefault="00B40966">
            <w:pPr>
              <w:pStyle w:val="TableText"/>
              <w:keepNext/>
              <w:rPr>
                <w:sz w:val="20"/>
              </w:rPr>
            </w:pPr>
            <w:r>
              <w:rPr>
                <w:sz w:val="20"/>
              </w:rPr>
              <w:t>15</w:t>
            </w:r>
          </w:p>
          <w:p w:rsidR="00B40966" w:rsidRDefault="00B40966">
            <w:pPr>
              <w:pStyle w:val="TableText"/>
              <w:keepNext/>
              <w:rPr>
                <w:sz w:val="20"/>
              </w:rPr>
            </w:pPr>
            <w:r>
              <w:rPr>
                <w:sz w:val="20"/>
              </w:rPr>
              <w:t>16</w:t>
            </w:r>
          </w:p>
          <w:p w:rsidR="00B40966" w:rsidRDefault="00B40966">
            <w:pPr>
              <w:pStyle w:val="TableText"/>
              <w:keepNext/>
              <w:rPr>
                <w:sz w:val="20"/>
              </w:rPr>
            </w:pPr>
            <w:r>
              <w:rPr>
                <w:sz w:val="20"/>
              </w:rPr>
              <w:t>17</w:t>
            </w:r>
          </w:p>
        </w:tc>
        <w:tc>
          <w:tcPr>
            <w:tcW w:w="528"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6</w:t>
            </w:r>
          </w:p>
          <w:p w:rsidR="00B40966" w:rsidRDefault="00B40966">
            <w:pPr>
              <w:pStyle w:val="TableText"/>
              <w:keepNext/>
              <w:rPr>
                <w:sz w:val="20"/>
              </w:rPr>
            </w:pPr>
            <w:r>
              <w:rPr>
                <w:sz w:val="20"/>
              </w:rPr>
              <w:t>6</w:t>
            </w:r>
          </w:p>
          <w:p w:rsidR="00B40966" w:rsidRDefault="00B40966">
            <w:pPr>
              <w:pStyle w:val="TableText"/>
              <w:keepNext/>
              <w:rPr>
                <w:sz w:val="20"/>
              </w:rPr>
            </w:pPr>
            <w:r>
              <w:rPr>
                <w:sz w:val="20"/>
              </w:rPr>
              <w:t>6</w:t>
            </w:r>
          </w:p>
          <w:p w:rsidR="00B40966" w:rsidRDefault="00B40966">
            <w:pPr>
              <w:pStyle w:val="TableText"/>
              <w:keepNext/>
              <w:rPr>
                <w:sz w:val="20"/>
              </w:rPr>
            </w:pPr>
            <w:r>
              <w:rPr>
                <w:sz w:val="20"/>
              </w:rPr>
              <w:t>6</w:t>
            </w:r>
          </w:p>
          <w:p w:rsidR="00B40966" w:rsidRDefault="00B40966">
            <w:pPr>
              <w:pStyle w:val="TableText"/>
              <w:keepNext/>
              <w:rPr>
                <w:sz w:val="20"/>
              </w:rPr>
            </w:pPr>
            <w:r>
              <w:rPr>
                <w:sz w:val="20"/>
              </w:rPr>
              <w:t>6</w:t>
            </w:r>
          </w:p>
        </w:tc>
        <w:tc>
          <w:tcPr>
            <w:tcW w:w="444"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106</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8.2</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p w:rsidR="00B40966" w:rsidRDefault="00B40966">
            <w:pPr>
              <w:pStyle w:val="TableText"/>
              <w:keepNext/>
              <w:rPr>
                <w:sz w:val="20"/>
              </w:rPr>
            </w:pPr>
            <w:r>
              <w:rPr>
                <w:sz w:val="20"/>
              </w:rPr>
              <w:t>...</w:t>
            </w:r>
          </w:p>
        </w:tc>
        <w:tc>
          <w:tcPr>
            <w:tcW w:w="444"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98</w:t>
            </w:r>
          </w:p>
          <w:p w:rsidR="00B40966" w:rsidRDefault="00B40966">
            <w:pPr>
              <w:pStyle w:val="TableText"/>
              <w:keepNext/>
              <w:rPr>
                <w:sz w:val="20"/>
              </w:rPr>
            </w:pPr>
            <w:r>
              <w:rPr>
                <w:sz w:val="20"/>
              </w:rPr>
              <w:t>106</w:t>
            </w:r>
          </w:p>
          <w:p w:rsidR="00B40966" w:rsidRDefault="00B40966">
            <w:pPr>
              <w:pStyle w:val="TableText"/>
              <w:keepNext/>
              <w:rPr>
                <w:sz w:val="20"/>
              </w:rPr>
            </w:pPr>
            <w:r>
              <w:rPr>
                <w:sz w:val="20"/>
              </w:rPr>
              <w:t>114</w:t>
            </w:r>
          </w:p>
          <w:p w:rsidR="00B40966" w:rsidRDefault="00B40966">
            <w:pPr>
              <w:pStyle w:val="TableText"/>
              <w:keepNext/>
              <w:rPr>
                <w:sz w:val="20"/>
              </w:rPr>
            </w:pPr>
            <w:r>
              <w:rPr>
                <w:sz w:val="20"/>
              </w:rPr>
              <w:t>121</w:t>
            </w:r>
          </w:p>
          <w:p w:rsidR="00B40966" w:rsidRDefault="00B40966">
            <w:pPr>
              <w:pStyle w:val="TableText"/>
              <w:keepNext/>
              <w:rPr>
                <w:sz w:val="20"/>
              </w:rPr>
            </w:pPr>
            <w:r>
              <w:rPr>
                <w:sz w:val="20"/>
              </w:rPr>
              <w:t>129</w:t>
            </w:r>
          </w:p>
        </w:tc>
        <w:tc>
          <w:tcPr>
            <w:tcW w:w="476"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7.6</w:t>
            </w:r>
          </w:p>
          <w:p w:rsidR="00B40966" w:rsidRDefault="00B40966">
            <w:pPr>
              <w:pStyle w:val="TableText"/>
              <w:keepNext/>
              <w:rPr>
                <w:sz w:val="20"/>
              </w:rPr>
            </w:pPr>
            <w:r>
              <w:rPr>
                <w:sz w:val="20"/>
              </w:rPr>
              <w:t>7.6</w:t>
            </w:r>
          </w:p>
          <w:p w:rsidR="00B40966" w:rsidRDefault="00B40966">
            <w:pPr>
              <w:pStyle w:val="TableText"/>
              <w:keepNext/>
              <w:rPr>
                <w:sz w:val="20"/>
              </w:rPr>
            </w:pPr>
            <w:r>
              <w:rPr>
                <w:sz w:val="20"/>
              </w:rPr>
              <w:t>7.6</w:t>
            </w:r>
          </w:p>
          <w:p w:rsidR="00B40966" w:rsidRDefault="00B40966">
            <w:pPr>
              <w:pStyle w:val="TableText"/>
              <w:keepNext/>
              <w:rPr>
                <w:sz w:val="20"/>
              </w:rPr>
            </w:pPr>
            <w:r>
              <w:rPr>
                <w:sz w:val="20"/>
              </w:rPr>
              <w:t>7.6</w:t>
            </w:r>
          </w:p>
          <w:p w:rsidR="00B40966" w:rsidRDefault="00B40966">
            <w:pPr>
              <w:pStyle w:val="TableText"/>
              <w:keepNext/>
              <w:rPr>
                <w:sz w:val="20"/>
              </w:rPr>
            </w:pPr>
            <w:r>
              <w:rPr>
                <w:sz w:val="20"/>
              </w:rPr>
              <w:t>7.6</w:t>
            </w:r>
          </w:p>
        </w:tc>
        <w:tc>
          <w:tcPr>
            <w:tcW w:w="412" w:type="dxa"/>
            <w:gridSpan w:val="4"/>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87</w:t>
            </w:r>
          </w:p>
          <w:p w:rsidR="00B40966" w:rsidRDefault="00B40966">
            <w:pPr>
              <w:pStyle w:val="TableText"/>
              <w:keepNext/>
              <w:rPr>
                <w:sz w:val="20"/>
              </w:rPr>
            </w:pPr>
            <w:r>
              <w:rPr>
                <w:sz w:val="20"/>
              </w:rPr>
              <w:t>94</w:t>
            </w:r>
          </w:p>
          <w:p w:rsidR="00B40966" w:rsidRDefault="00B40966">
            <w:pPr>
              <w:pStyle w:val="TableText"/>
              <w:keepNext/>
              <w:rPr>
                <w:sz w:val="20"/>
              </w:rPr>
            </w:pPr>
            <w:r>
              <w:rPr>
                <w:sz w:val="20"/>
              </w:rPr>
              <w:t>102</w:t>
            </w:r>
          </w:p>
          <w:p w:rsidR="00B40966" w:rsidRDefault="00B40966">
            <w:pPr>
              <w:pStyle w:val="TableText"/>
              <w:keepNext/>
              <w:rPr>
                <w:sz w:val="20"/>
              </w:rPr>
            </w:pPr>
            <w:r>
              <w:rPr>
                <w:sz w:val="20"/>
              </w:rPr>
              <w:t>110</w:t>
            </w:r>
          </w:p>
          <w:p w:rsidR="00B40966" w:rsidRDefault="00B40966">
            <w:pPr>
              <w:pStyle w:val="TableText"/>
              <w:keepNext/>
              <w:rPr>
                <w:sz w:val="20"/>
              </w:rPr>
            </w:pPr>
            <w:r>
              <w:rPr>
                <w:sz w:val="20"/>
              </w:rPr>
              <w:t>117</w:t>
            </w:r>
          </w:p>
        </w:tc>
        <w:tc>
          <w:tcPr>
            <w:tcW w:w="512"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6.7</w:t>
            </w:r>
          </w:p>
          <w:p w:rsidR="00B40966" w:rsidRDefault="00B40966">
            <w:pPr>
              <w:pStyle w:val="TableText"/>
              <w:keepNext/>
              <w:rPr>
                <w:sz w:val="20"/>
              </w:rPr>
            </w:pPr>
            <w:r>
              <w:rPr>
                <w:sz w:val="20"/>
              </w:rPr>
              <w:t>6.7</w:t>
            </w:r>
          </w:p>
          <w:p w:rsidR="00B40966" w:rsidRDefault="00B40966">
            <w:pPr>
              <w:pStyle w:val="TableText"/>
              <w:keepNext/>
              <w:rPr>
                <w:sz w:val="20"/>
              </w:rPr>
            </w:pPr>
            <w:r>
              <w:rPr>
                <w:sz w:val="20"/>
              </w:rPr>
              <w:t>6.8</w:t>
            </w:r>
          </w:p>
          <w:p w:rsidR="00B40966" w:rsidRDefault="00B40966">
            <w:pPr>
              <w:pStyle w:val="TableText"/>
              <w:keepNext/>
              <w:rPr>
                <w:sz w:val="20"/>
              </w:rPr>
            </w:pPr>
            <w:r>
              <w:rPr>
                <w:sz w:val="20"/>
              </w:rPr>
              <w:t>6.9</w:t>
            </w:r>
          </w:p>
          <w:p w:rsidR="00B40966" w:rsidRDefault="00B40966">
            <w:pPr>
              <w:pStyle w:val="TableText"/>
              <w:keepNext/>
              <w:rPr>
                <w:sz w:val="20"/>
              </w:rPr>
            </w:pPr>
            <w:r>
              <w:rPr>
                <w:sz w:val="20"/>
              </w:rPr>
              <w:t>6.9</w:t>
            </w:r>
          </w:p>
        </w:tc>
        <w:tc>
          <w:tcPr>
            <w:tcW w:w="420"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71</w:t>
            </w:r>
          </w:p>
          <w:p w:rsidR="00B40966" w:rsidRDefault="00B40966">
            <w:pPr>
              <w:pStyle w:val="TableText"/>
              <w:keepNext/>
              <w:rPr>
                <w:sz w:val="20"/>
              </w:rPr>
            </w:pPr>
            <w:r>
              <w:rPr>
                <w:sz w:val="20"/>
              </w:rPr>
              <w:t>80</w:t>
            </w:r>
          </w:p>
          <w:p w:rsidR="00B40966" w:rsidRDefault="00B40966">
            <w:pPr>
              <w:pStyle w:val="TableText"/>
              <w:keepNext/>
              <w:rPr>
                <w:sz w:val="20"/>
              </w:rPr>
            </w:pPr>
            <w:r>
              <w:rPr>
                <w:sz w:val="20"/>
              </w:rPr>
              <w:t>89</w:t>
            </w:r>
          </w:p>
          <w:p w:rsidR="00B40966" w:rsidRDefault="00B40966">
            <w:pPr>
              <w:pStyle w:val="TableText"/>
              <w:keepNext/>
              <w:rPr>
                <w:sz w:val="20"/>
              </w:rPr>
            </w:pPr>
            <w:r>
              <w:rPr>
                <w:sz w:val="20"/>
              </w:rPr>
              <w:t>97</w:t>
            </w:r>
          </w:p>
          <w:p w:rsidR="00B40966" w:rsidRDefault="00B40966">
            <w:pPr>
              <w:pStyle w:val="TableText"/>
              <w:keepNext/>
              <w:rPr>
                <w:sz w:val="20"/>
              </w:rPr>
            </w:pPr>
            <w:r>
              <w:rPr>
                <w:sz w:val="20"/>
              </w:rPr>
              <w:t>105</w:t>
            </w:r>
          </w:p>
        </w:tc>
        <w:tc>
          <w:tcPr>
            <w:tcW w:w="468" w:type="dxa"/>
            <w:gridSpan w:val="4"/>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5.5</w:t>
            </w:r>
          </w:p>
          <w:p w:rsidR="00B40966" w:rsidRDefault="00B40966">
            <w:pPr>
              <w:pStyle w:val="TableText"/>
              <w:keepNext/>
              <w:rPr>
                <w:sz w:val="20"/>
              </w:rPr>
            </w:pPr>
            <w:r>
              <w:rPr>
                <w:sz w:val="20"/>
              </w:rPr>
              <w:t>5.7</w:t>
            </w:r>
          </w:p>
          <w:p w:rsidR="00B40966" w:rsidRDefault="00B40966">
            <w:pPr>
              <w:pStyle w:val="TableText"/>
              <w:keepNext/>
              <w:rPr>
                <w:sz w:val="20"/>
              </w:rPr>
            </w:pPr>
            <w:r>
              <w:rPr>
                <w:sz w:val="20"/>
              </w:rPr>
              <w:t>5.9</w:t>
            </w:r>
          </w:p>
          <w:p w:rsidR="00B40966" w:rsidRDefault="00B40966">
            <w:pPr>
              <w:pStyle w:val="TableText"/>
              <w:keepNext/>
              <w:rPr>
                <w:sz w:val="20"/>
              </w:rPr>
            </w:pPr>
            <w:r>
              <w:rPr>
                <w:sz w:val="20"/>
              </w:rPr>
              <w:t>6.1</w:t>
            </w:r>
          </w:p>
          <w:p w:rsidR="00B40966" w:rsidRDefault="00B40966">
            <w:pPr>
              <w:pStyle w:val="TableText"/>
              <w:keepNext/>
              <w:rPr>
                <w:sz w:val="20"/>
              </w:rPr>
            </w:pPr>
            <w:r>
              <w:rPr>
                <w:sz w:val="20"/>
              </w:rPr>
              <w:t>6.2</w:t>
            </w:r>
          </w:p>
        </w:tc>
        <w:tc>
          <w:tcPr>
            <w:tcW w:w="384" w:type="dxa"/>
            <w:gridSpan w:val="4"/>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64</w:t>
            </w:r>
          </w:p>
          <w:p w:rsidR="00B40966" w:rsidRDefault="00B40966">
            <w:pPr>
              <w:pStyle w:val="TableText"/>
              <w:keepNext/>
              <w:rPr>
                <w:sz w:val="20"/>
              </w:rPr>
            </w:pPr>
            <w:r>
              <w:rPr>
                <w:sz w:val="20"/>
              </w:rPr>
              <w:t>73</w:t>
            </w:r>
          </w:p>
          <w:p w:rsidR="00B40966" w:rsidRDefault="00B40966">
            <w:pPr>
              <w:pStyle w:val="TableText"/>
              <w:keepNext/>
              <w:rPr>
                <w:sz w:val="20"/>
              </w:rPr>
            </w:pPr>
            <w:r>
              <w:rPr>
                <w:sz w:val="20"/>
              </w:rPr>
              <w:t>81</w:t>
            </w:r>
          </w:p>
          <w:p w:rsidR="00B40966" w:rsidRDefault="00B40966">
            <w:pPr>
              <w:pStyle w:val="TableText"/>
              <w:keepNext/>
              <w:rPr>
                <w:sz w:val="20"/>
              </w:rPr>
            </w:pPr>
            <w:r>
              <w:rPr>
                <w:sz w:val="20"/>
              </w:rPr>
              <w:t>90</w:t>
            </w:r>
          </w:p>
          <w:p w:rsidR="00B40966" w:rsidRDefault="00B40966">
            <w:pPr>
              <w:pStyle w:val="TableText"/>
              <w:keepNext/>
              <w:rPr>
                <w:sz w:val="20"/>
              </w:rPr>
            </w:pPr>
            <w:r>
              <w:rPr>
                <w:sz w:val="20"/>
              </w:rPr>
              <w:t>98</w:t>
            </w:r>
          </w:p>
        </w:tc>
        <w:tc>
          <w:tcPr>
            <w:tcW w:w="504"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4.9</w:t>
            </w:r>
          </w:p>
          <w:p w:rsidR="00B40966" w:rsidRDefault="00B40966">
            <w:pPr>
              <w:pStyle w:val="TableText"/>
              <w:keepNext/>
              <w:rPr>
                <w:sz w:val="20"/>
              </w:rPr>
            </w:pPr>
            <w:r>
              <w:rPr>
                <w:sz w:val="20"/>
              </w:rPr>
              <w:t>5.2</w:t>
            </w:r>
          </w:p>
          <w:p w:rsidR="00B40966" w:rsidRDefault="00B40966">
            <w:pPr>
              <w:pStyle w:val="TableText"/>
              <w:keepNext/>
              <w:rPr>
                <w:sz w:val="20"/>
              </w:rPr>
            </w:pPr>
            <w:r>
              <w:rPr>
                <w:sz w:val="20"/>
              </w:rPr>
              <w:t>5.4</w:t>
            </w:r>
          </w:p>
          <w:p w:rsidR="00B40966" w:rsidRDefault="00B40966">
            <w:pPr>
              <w:pStyle w:val="TableText"/>
              <w:keepNext/>
              <w:rPr>
                <w:sz w:val="20"/>
              </w:rPr>
            </w:pPr>
            <w:r>
              <w:rPr>
                <w:sz w:val="20"/>
              </w:rPr>
              <w:t>5.6</w:t>
            </w:r>
          </w:p>
          <w:p w:rsidR="00B40966" w:rsidRDefault="00B40966">
            <w:pPr>
              <w:pStyle w:val="TableText"/>
              <w:keepNext/>
              <w:rPr>
                <w:sz w:val="20"/>
              </w:rPr>
            </w:pPr>
            <w:r>
              <w:rPr>
                <w:sz w:val="20"/>
              </w:rPr>
              <w:t>5.8</w:t>
            </w:r>
          </w:p>
        </w:tc>
        <w:tc>
          <w:tcPr>
            <w:tcW w:w="396"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56</w:t>
            </w:r>
          </w:p>
          <w:p w:rsidR="00B40966" w:rsidRDefault="00B40966">
            <w:pPr>
              <w:pStyle w:val="TableText"/>
              <w:keepNext/>
              <w:rPr>
                <w:sz w:val="20"/>
              </w:rPr>
            </w:pPr>
            <w:r>
              <w:rPr>
                <w:sz w:val="20"/>
              </w:rPr>
              <w:t>64</w:t>
            </w:r>
          </w:p>
          <w:p w:rsidR="00B40966" w:rsidRDefault="00B40966">
            <w:pPr>
              <w:pStyle w:val="TableText"/>
              <w:keepNext/>
              <w:rPr>
                <w:sz w:val="20"/>
              </w:rPr>
            </w:pPr>
            <w:r>
              <w:rPr>
                <w:sz w:val="20"/>
              </w:rPr>
              <w:t>72</w:t>
            </w:r>
          </w:p>
          <w:p w:rsidR="00B40966" w:rsidRDefault="00B40966">
            <w:pPr>
              <w:pStyle w:val="TableText"/>
              <w:keepNext/>
              <w:rPr>
                <w:sz w:val="20"/>
              </w:rPr>
            </w:pPr>
            <w:r>
              <w:rPr>
                <w:sz w:val="20"/>
              </w:rPr>
              <w:t>80</w:t>
            </w:r>
          </w:p>
          <w:p w:rsidR="00B40966" w:rsidRDefault="00B40966">
            <w:pPr>
              <w:pStyle w:val="TableText"/>
              <w:keepNext/>
              <w:rPr>
                <w:sz w:val="20"/>
              </w:rPr>
            </w:pPr>
            <w:r>
              <w:rPr>
                <w:sz w:val="20"/>
              </w:rPr>
              <w:t>88</w:t>
            </w:r>
          </w:p>
        </w:tc>
        <w:tc>
          <w:tcPr>
            <w:tcW w:w="504"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4.3</w:t>
            </w:r>
          </w:p>
          <w:p w:rsidR="00B40966" w:rsidRDefault="00B40966">
            <w:pPr>
              <w:pStyle w:val="TableText"/>
              <w:keepNext/>
              <w:rPr>
                <w:sz w:val="20"/>
              </w:rPr>
            </w:pPr>
            <w:r>
              <w:rPr>
                <w:sz w:val="20"/>
              </w:rPr>
              <w:t>4.6</w:t>
            </w:r>
          </w:p>
          <w:p w:rsidR="00B40966" w:rsidRDefault="00B40966">
            <w:pPr>
              <w:pStyle w:val="TableText"/>
              <w:keepNext/>
              <w:rPr>
                <w:sz w:val="20"/>
              </w:rPr>
            </w:pPr>
            <w:r>
              <w:rPr>
                <w:sz w:val="20"/>
              </w:rPr>
              <w:t>4.8</w:t>
            </w:r>
          </w:p>
          <w:p w:rsidR="00B40966" w:rsidRDefault="00B40966">
            <w:pPr>
              <w:pStyle w:val="TableText"/>
              <w:keepNext/>
              <w:rPr>
                <w:sz w:val="20"/>
              </w:rPr>
            </w:pPr>
            <w:r>
              <w:rPr>
                <w:sz w:val="20"/>
              </w:rPr>
              <w:t>5.0</w:t>
            </w:r>
          </w:p>
          <w:p w:rsidR="00B40966" w:rsidRDefault="00B40966">
            <w:pPr>
              <w:pStyle w:val="TableText"/>
              <w:keepNext/>
              <w:rPr>
                <w:sz w:val="20"/>
              </w:rPr>
            </w:pPr>
            <w:r>
              <w:rPr>
                <w:sz w:val="20"/>
              </w:rPr>
              <w:t>5.2</w:t>
            </w:r>
          </w:p>
        </w:tc>
        <w:tc>
          <w:tcPr>
            <w:tcW w:w="384"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48</w:t>
            </w:r>
          </w:p>
          <w:p w:rsidR="00B40966" w:rsidRDefault="00B40966">
            <w:pPr>
              <w:pStyle w:val="TableText"/>
              <w:keepNext/>
              <w:rPr>
                <w:sz w:val="20"/>
              </w:rPr>
            </w:pPr>
            <w:r>
              <w:rPr>
                <w:sz w:val="20"/>
              </w:rPr>
              <w:t>55</w:t>
            </w:r>
          </w:p>
          <w:p w:rsidR="00B40966" w:rsidRDefault="00B40966">
            <w:pPr>
              <w:pStyle w:val="TableText"/>
              <w:keepNext/>
              <w:rPr>
                <w:sz w:val="20"/>
              </w:rPr>
            </w:pPr>
            <w:r>
              <w:rPr>
                <w:sz w:val="20"/>
              </w:rPr>
              <w:t>62</w:t>
            </w:r>
          </w:p>
          <w:p w:rsidR="00B40966" w:rsidRDefault="00B40966">
            <w:pPr>
              <w:pStyle w:val="TableText"/>
              <w:keepNext/>
              <w:rPr>
                <w:sz w:val="20"/>
              </w:rPr>
            </w:pPr>
            <w:r>
              <w:rPr>
                <w:sz w:val="20"/>
              </w:rPr>
              <w:t>69</w:t>
            </w:r>
          </w:p>
          <w:p w:rsidR="00B40966" w:rsidRDefault="00B40966">
            <w:pPr>
              <w:pStyle w:val="TableText"/>
              <w:keepNext/>
              <w:rPr>
                <w:sz w:val="20"/>
              </w:rPr>
            </w:pPr>
            <w:r>
              <w:rPr>
                <w:sz w:val="20"/>
              </w:rPr>
              <w:t>76</w:t>
            </w:r>
          </w:p>
        </w:tc>
        <w:tc>
          <w:tcPr>
            <w:tcW w:w="480"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3.7</w:t>
            </w:r>
          </w:p>
          <w:p w:rsidR="00B40966" w:rsidRDefault="00B40966">
            <w:pPr>
              <w:pStyle w:val="TableText"/>
              <w:keepNext/>
              <w:rPr>
                <w:sz w:val="20"/>
              </w:rPr>
            </w:pPr>
            <w:r>
              <w:rPr>
                <w:sz w:val="20"/>
              </w:rPr>
              <w:t>3.9</w:t>
            </w:r>
          </w:p>
          <w:p w:rsidR="00B40966" w:rsidRDefault="00B40966">
            <w:pPr>
              <w:pStyle w:val="TableText"/>
              <w:keepNext/>
              <w:rPr>
                <w:sz w:val="20"/>
              </w:rPr>
            </w:pPr>
            <w:r>
              <w:rPr>
                <w:sz w:val="20"/>
              </w:rPr>
              <w:t>4.1</w:t>
            </w:r>
          </w:p>
          <w:p w:rsidR="00B40966" w:rsidRDefault="00B40966">
            <w:pPr>
              <w:pStyle w:val="TableText"/>
              <w:keepNext/>
              <w:rPr>
                <w:sz w:val="20"/>
              </w:rPr>
            </w:pPr>
            <w:r>
              <w:rPr>
                <w:sz w:val="20"/>
              </w:rPr>
              <w:t>4.3</w:t>
            </w:r>
          </w:p>
          <w:p w:rsidR="00B40966" w:rsidRDefault="00B40966">
            <w:pPr>
              <w:pStyle w:val="TableText"/>
              <w:keepNext/>
              <w:rPr>
                <w:sz w:val="20"/>
              </w:rPr>
            </w:pPr>
            <w:r>
              <w:rPr>
                <w:sz w:val="20"/>
              </w:rPr>
              <w:t>4.5</w:t>
            </w:r>
          </w:p>
        </w:tc>
        <w:tc>
          <w:tcPr>
            <w:tcW w:w="388"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40</w:t>
            </w:r>
          </w:p>
          <w:p w:rsidR="00B40966" w:rsidRDefault="00B40966">
            <w:pPr>
              <w:pStyle w:val="TableText"/>
              <w:keepNext/>
              <w:rPr>
                <w:sz w:val="20"/>
              </w:rPr>
            </w:pPr>
            <w:r>
              <w:rPr>
                <w:sz w:val="20"/>
              </w:rPr>
              <w:t>45</w:t>
            </w:r>
          </w:p>
          <w:p w:rsidR="00B40966" w:rsidRDefault="00B40966">
            <w:pPr>
              <w:pStyle w:val="TableText"/>
              <w:keepNext/>
              <w:rPr>
                <w:sz w:val="20"/>
              </w:rPr>
            </w:pPr>
            <w:r>
              <w:rPr>
                <w:sz w:val="20"/>
              </w:rPr>
              <w:t>50</w:t>
            </w:r>
          </w:p>
          <w:p w:rsidR="00B40966" w:rsidRDefault="00B40966">
            <w:pPr>
              <w:pStyle w:val="TableText"/>
              <w:keepNext/>
              <w:rPr>
                <w:sz w:val="20"/>
              </w:rPr>
            </w:pPr>
            <w:r>
              <w:rPr>
                <w:sz w:val="20"/>
              </w:rPr>
              <w:t>56</w:t>
            </w:r>
          </w:p>
          <w:p w:rsidR="00B40966" w:rsidRDefault="00B40966">
            <w:pPr>
              <w:pStyle w:val="TableText"/>
              <w:keepNext/>
              <w:rPr>
                <w:sz w:val="20"/>
              </w:rPr>
            </w:pPr>
            <w:r>
              <w:rPr>
                <w:sz w:val="20"/>
              </w:rPr>
              <w:t>63</w:t>
            </w:r>
          </w:p>
        </w:tc>
        <w:tc>
          <w:tcPr>
            <w:tcW w:w="452" w:type="dxa"/>
            <w:gridSpan w:val="4"/>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3.1</w:t>
            </w:r>
          </w:p>
          <w:p w:rsidR="00B40966" w:rsidRDefault="00B40966">
            <w:pPr>
              <w:pStyle w:val="TableText"/>
              <w:keepNext/>
              <w:rPr>
                <w:sz w:val="20"/>
              </w:rPr>
            </w:pPr>
            <w:r>
              <w:rPr>
                <w:sz w:val="20"/>
              </w:rPr>
              <w:t>3.2</w:t>
            </w:r>
          </w:p>
          <w:p w:rsidR="00B40966" w:rsidRDefault="00B40966">
            <w:pPr>
              <w:pStyle w:val="TableText"/>
              <w:keepNext/>
              <w:rPr>
                <w:sz w:val="20"/>
              </w:rPr>
            </w:pPr>
            <w:r>
              <w:rPr>
                <w:sz w:val="20"/>
              </w:rPr>
              <w:t>3.3</w:t>
            </w:r>
          </w:p>
          <w:p w:rsidR="00B40966" w:rsidRDefault="00B40966">
            <w:pPr>
              <w:pStyle w:val="TableText"/>
              <w:keepNext/>
              <w:rPr>
                <w:sz w:val="20"/>
              </w:rPr>
            </w:pPr>
            <w:r>
              <w:rPr>
                <w:sz w:val="20"/>
              </w:rPr>
              <w:t>3.5</w:t>
            </w:r>
          </w:p>
          <w:p w:rsidR="00B40966" w:rsidRDefault="00B40966">
            <w:pPr>
              <w:pStyle w:val="TableText"/>
              <w:keepNext/>
              <w:rPr>
                <w:sz w:val="20"/>
              </w:rPr>
            </w:pPr>
            <w:r>
              <w:rPr>
                <w:sz w:val="20"/>
              </w:rPr>
              <w:t>3.7</w:t>
            </w:r>
          </w:p>
        </w:tc>
        <w:tc>
          <w:tcPr>
            <w:tcW w:w="408" w:type="dxa"/>
            <w:gridSpan w:val="5"/>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32</w:t>
            </w:r>
          </w:p>
          <w:p w:rsidR="00B40966" w:rsidRDefault="00B40966">
            <w:pPr>
              <w:pStyle w:val="TableText"/>
              <w:keepNext/>
              <w:rPr>
                <w:sz w:val="20"/>
              </w:rPr>
            </w:pPr>
            <w:r>
              <w:rPr>
                <w:sz w:val="20"/>
              </w:rPr>
              <w:t>37</w:t>
            </w:r>
          </w:p>
          <w:p w:rsidR="00B40966" w:rsidRDefault="00B40966">
            <w:pPr>
              <w:pStyle w:val="TableText"/>
              <w:keepNext/>
              <w:rPr>
                <w:sz w:val="20"/>
              </w:rPr>
            </w:pPr>
            <w:r>
              <w:rPr>
                <w:sz w:val="20"/>
              </w:rPr>
              <w:t>42</w:t>
            </w:r>
          </w:p>
          <w:p w:rsidR="00B40966" w:rsidRDefault="00B40966">
            <w:pPr>
              <w:pStyle w:val="TableText"/>
              <w:keepNext/>
              <w:rPr>
                <w:sz w:val="20"/>
              </w:rPr>
            </w:pPr>
            <w:r>
              <w:rPr>
                <w:sz w:val="20"/>
              </w:rPr>
              <w:t>47</w:t>
            </w:r>
          </w:p>
          <w:p w:rsidR="00B40966" w:rsidRDefault="00B40966">
            <w:pPr>
              <w:pStyle w:val="TableText"/>
              <w:keepNext/>
              <w:rPr>
                <w:sz w:val="20"/>
              </w:rPr>
            </w:pPr>
            <w:r>
              <w:rPr>
                <w:sz w:val="20"/>
              </w:rPr>
              <w:t>52</w:t>
            </w:r>
          </w:p>
        </w:tc>
        <w:tc>
          <w:tcPr>
            <w:tcW w:w="472"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2.5</w:t>
            </w:r>
          </w:p>
          <w:p w:rsidR="00B40966" w:rsidRDefault="00B40966">
            <w:pPr>
              <w:pStyle w:val="TableText"/>
              <w:keepNext/>
              <w:rPr>
                <w:sz w:val="20"/>
              </w:rPr>
            </w:pPr>
            <w:r>
              <w:rPr>
                <w:sz w:val="20"/>
              </w:rPr>
              <w:t>2.6</w:t>
            </w:r>
          </w:p>
          <w:p w:rsidR="00B40966" w:rsidRDefault="00B40966">
            <w:pPr>
              <w:pStyle w:val="TableText"/>
              <w:keepNext/>
              <w:rPr>
                <w:sz w:val="20"/>
              </w:rPr>
            </w:pPr>
            <w:r>
              <w:rPr>
                <w:sz w:val="20"/>
              </w:rPr>
              <w:t>2.8</w:t>
            </w:r>
          </w:p>
          <w:p w:rsidR="00B40966" w:rsidRDefault="00B40966">
            <w:pPr>
              <w:pStyle w:val="TableText"/>
              <w:keepNext/>
              <w:rPr>
                <w:sz w:val="20"/>
              </w:rPr>
            </w:pPr>
            <w:r>
              <w:rPr>
                <w:sz w:val="20"/>
              </w:rPr>
              <w:t>2.9</w:t>
            </w:r>
          </w:p>
          <w:p w:rsidR="00B40966" w:rsidRDefault="00B40966">
            <w:pPr>
              <w:pStyle w:val="TableText"/>
              <w:keepNext/>
              <w:rPr>
                <w:sz w:val="20"/>
              </w:rPr>
            </w:pPr>
            <w:r>
              <w:rPr>
                <w:sz w:val="20"/>
              </w:rPr>
              <w:t>3.1</w:t>
            </w:r>
          </w:p>
        </w:tc>
        <w:tc>
          <w:tcPr>
            <w:tcW w:w="368"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25</w:t>
            </w:r>
          </w:p>
          <w:p w:rsidR="00B40966" w:rsidRDefault="00B40966">
            <w:pPr>
              <w:pStyle w:val="TableText"/>
              <w:keepNext/>
              <w:rPr>
                <w:sz w:val="20"/>
              </w:rPr>
            </w:pPr>
            <w:r>
              <w:rPr>
                <w:sz w:val="20"/>
              </w:rPr>
              <w:t>29</w:t>
            </w:r>
          </w:p>
          <w:p w:rsidR="00B40966" w:rsidRDefault="00B40966">
            <w:pPr>
              <w:pStyle w:val="TableText"/>
              <w:keepNext/>
              <w:rPr>
                <w:sz w:val="20"/>
              </w:rPr>
            </w:pPr>
            <w:r>
              <w:rPr>
                <w:sz w:val="20"/>
              </w:rPr>
              <w:t>33</w:t>
            </w:r>
          </w:p>
          <w:p w:rsidR="00B40966" w:rsidRDefault="00B40966">
            <w:pPr>
              <w:pStyle w:val="TableText"/>
              <w:keepNext/>
              <w:rPr>
                <w:sz w:val="20"/>
              </w:rPr>
            </w:pPr>
            <w:r>
              <w:rPr>
                <w:sz w:val="20"/>
              </w:rPr>
              <w:t>37</w:t>
            </w:r>
          </w:p>
          <w:p w:rsidR="00B40966" w:rsidRDefault="00B40966">
            <w:pPr>
              <w:pStyle w:val="TableText"/>
              <w:keepNext/>
              <w:rPr>
                <w:sz w:val="20"/>
              </w:rPr>
            </w:pPr>
            <w:r>
              <w:rPr>
                <w:sz w:val="20"/>
              </w:rPr>
              <w:t>41</w:t>
            </w:r>
          </w:p>
        </w:tc>
        <w:tc>
          <w:tcPr>
            <w:tcW w:w="480" w:type="dxa"/>
            <w:gridSpan w:val="3"/>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1.9</w:t>
            </w:r>
          </w:p>
          <w:p w:rsidR="00B40966" w:rsidRDefault="00B40966">
            <w:pPr>
              <w:pStyle w:val="TableText"/>
              <w:keepNext/>
              <w:rPr>
                <w:sz w:val="20"/>
              </w:rPr>
            </w:pPr>
            <w:r>
              <w:rPr>
                <w:sz w:val="20"/>
              </w:rPr>
              <w:t>2.1</w:t>
            </w:r>
          </w:p>
          <w:p w:rsidR="00B40966" w:rsidRDefault="00B40966">
            <w:pPr>
              <w:pStyle w:val="TableText"/>
              <w:keepNext/>
              <w:rPr>
                <w:sz w:val="20"/>
              </w:rPr>
            </w:pPr>
            <w:r>
              <w:rPr>
                <w:sz w:val="20"/>
              </w:rPr>
              <w:t>2.2</w:t>
            </w:r>
          </w:p>
          <w:p w:rsidR="00B40966" w:rsidRDefault="00B40966">
            <w:pPr>
              <w:pStyle w:val="TableText"/>
              <w:keepNext/>
              <w:rPr>
                <w:sz w:val="20"/>
              </w:rPr>
            </w:pPr>
            <w:r>
              <w:rPr>
                <w:sz w:val="20"/>
              </w:rPr>
              <w:t>2.3</w:t>
            </w:r>
          </w:p>
          <w:p w:rsidR="00B40966" w:rsidRDefault="00B40966">
            <w:pPr>
              <w:pStyle w:val="TableText"/>
              <w:keepNext/>
              <w:rPr>
                <w:sz w:val="20"/>
              </w:rPr>
            </w:pPr>
            <w:r>
              <w:rPr>
                <w:sz w:val="20"/>
              </w:rPr>
              <w:t>2.4</w:t>
            </w:r>
          </w:p>
        </w:tc>
        <w:tc>
          <w:tcPr>
            <w:tcW w:w="360" w:type="dxa"/>
            <w:gridSpan w:val="2"/>
            <w:tcBorders>
              <w:top w:val="single" w:sz="6" w:space="0" w:color="auto"/>
              <w:left w:val="single" w:sz="6" w:space="0" w:color="auto"/>
              <w:right w:val="single" w:sz="6" w:space="0" w:color="auto"/>
            </w:tcBorders>
          </w:tcPr>
          <w:p w:rsidR="00B40966" w:rsidRDefault="00B40966">
            <w:pPr>
              <w:pStyle w:val="TableText"/>
              <w:keepNext/>
              <w:rPr>
                <w:sz w:val="20"/>
              </w:rPr>
            </w:pPr>
            <w:r>
              <w:rPr>
                <w:sz w:val="20"/>
              </w:rPr>
              <w:t>16</w:t>
            </w:r>
          </w:p>
          <w:p w:rsidR="00B40966" w:rsidRDefault="00B40966">
            <w:pPr>
              <w:pStyle w:val="TableText"/>
              <w:keepNext/>
              <w:rPr>
                <w:sz w:val="20"/>
              </w:rPr>
            </w:pPr>
            <w:r>
              <w:rPr>
                <w:sz w:val="20"/>
              </w:rPr>
              <w:t>18</w:t>
            </w:r>
          </w:p>
          <w:p w:rsidR="00B40966" w:rsidRDefault="00B40966">
            <w:pPr>
              <w:pStyle w:val="TableText"/>
              <w:keepNext/>
              <w:rPr>
                <w:sz w:val="20"/>
              </w:rPr>
            </w:pPr>
            <w:r>
              <w:rPr>
                <w:sz w:val="20"/>
              </w:rPr>
              <w:t>21</w:t>
            </w:r>
          </w:p>
          <w:p w:rsidR="00B40966" w:rsidRDefault="00B40966">
            <w:pPr>
              <w:pStyle w:val="TableText"/>
              <w:keepNext/>
              <w:rPr>
                <w:sz w:val="20"/>
              </w:rPr>
            </w:pPr>
            <w:r>
              <w:rPr>
                <w:sz w:val="20"/>
              </w:rPr>
              <w:t>24</w:t>
            </w:r>
          </w:p>
          <w:p w:rsidR="00B40966" w:rsidRDefault="00B40966">
            <w:pPr>
              <w:pStyle w:val="TableText"/>
              <w:keepNext/>
              <w:rPr>
                <w:sz w:val="20"/>
              </w:rPr>
            </w:pPr>
            <w:r>
              <w:rPr>
                <w:sz w:val="20"/>
              </w:rPr>
              <w:t>28</w:t>
            </w:r>
          </w:p>
        </w:tc>
        <w:tc>
          <w:tcPr>
            <w:tcW w:w="480" w:type="dxa"/>
            <w:gridSpan w:val="2"/>
            <w:tcBorders>
              <w:top w:val="single" w:sz="6" w:space="0" w:color="auto"/>
            </w:tcBorders>
          </w:tcPr>
          <w:p w:rsidR="00B40966" w:rsidRDefault="00B40966">
            <w:pPr>
              <w:pStyle w:val="TableText"/>
              <w:keepNext/>
              <w:rPr>
                <w:sz w:val="20"/>
              </w:rPr>
            </w:pPr>
            <w:r>
              <w:rPr>
                <w:sz w:val="20"/>
              </w:rPr>
              <w:t>1.2</w:t>
            </w:r>
          </w:p>
          <w:p w:rsidR="00B40966" w:rsidRDefault="00B40966">
            <w:pPr>
              <w:pStyle w:val="TableText"/>
              <w:keepNext/>
              <w:rPr>
                <w:sz w:val="20"/>
              </w:rPr>
            </w:pPr>
            <w:r>
              <w:rPr>
                <w:sz w:val="20"/>
              </w:rPr>
              <w:t>1.3</w:t>
            </w:r>
          </w:p>
          <w:p w:rsidR="00B40966" w:rsidRDefault="00B40966">
            <w:pPr>
              <w:pStyle w:val="TableText"/>
              <w:keepNext/>
              <w:rPr>
                <w:sz w:val="20"/>
              </w:rPr>
            </w:pPr>
            <w:r>
              <w:rPr>
                <w:sz w:val="20"/>
              </w:rPr>
              <w:t>1.4</w:t>
            </w:r>
          </w:p>
          <w:p w:rsidR="00B40966" w:rsidRDefault="00B40966">
            <w:pPr>
              <w:pStyle w:val="TableText"/>
              <w:keepNext/>
              <w:rPr>
                <w:sz w:val="20"/>
              </w:rPr>
            </w:pPr>
            <w:r>
              <w:rPr>
                <w:sz w:val="20"/>
              </w:rPr>
              <w:t>1.5</w:t>
            </w:r>
          </w:p>
          <w:p w:rsidR="00B40966" w:rsidRDefault="00B40966">
            <w:pPr>
              <w:pStyle w:val="TableText"/>
              <w:keepNext/>
              <w:rPr>
                <w:sz w:val="20"/>
              </w:rPr>
            </w:pPr>
            <w:r>
              <w:rPr>
                <w:sz w:val="20"/>
              </w:rPr>
              <w:t>1.6</w:t>
            </w:r>
          </w:p>
        </w:tc>
      </w:tr>
      <w:tr w:rsidR="00B40966">
        <w:tblPrEx>
          <w:tblInd w:w="56" w:type="dxa"/>
        </w:tblPrEx>
        <w:trPr>
          <w:gridBefore w:val="1"/>
          <w:gridAfter w:val="2"/>
        </w:trPr>
        <w:tc>
          <w:tcPr>
            <w:tcW w:w="780" w:type="dxa"/>
            <w:tcBorders>
              <w:top w:val="single" w:sz="6" w:space="0" w:color="auto"/>
              <w:right w:val="single" w:sz="6" w:space="0" w:color="auto"/>
            </w:tcBorders>
          </w:tcPr>
          <w:p w:rsidR="00B40966" w:rsidRDefault="00B40966">
            <w:pPr>
              <w:pStyle w:val="TableText"/>
              <w:rPr>
                <w:sz w:val="20"/>
              </w:rPr>
            </w:pPr>
            <w:r>
              <w:rPr>
                <w:sz w:val="20"/>
              </w:rPr>
              <w:t>50 or 51</w:t>
            </w:r>
            <w:r>
              <w:rPr>
                <w:sz w:val="20"/>
              </w:rPr>
              <w:tab/>
            </w:r>
          </w:p>
          <w:p w:rsidR="00B40966" w:rsidRDefault="00B40966">
            <w:pPr>
              <w:pStyle w:val="TableText"/>
              <w:rPr>
                <w:sz w:val="20"/>
              </w:rPr>
            </w:pPr>
            <w:r>
              <w:rPr>
                <w:sz w:val="20"/>
              </w:rPr>
              <w:t>52 or 53</w:t>
            </w:r>
            <w:r>
              <w:rPr>
                <w:sz w:val="20"/>
              </w:rPr>
              <w:tab/>
            </w:r>
          </w:p>
          <w:p w:rsidR="00B40966" w:rsidRDefault="00B40966">
            <w:pPr>
              <w:pStyle w:val="TableText"/>
              <w:rPr>
                <w:sz w:val="20"/>
              </w:rPr>
            </w:pPr>
            <w:r>
              <w:rPr>
                <w:sz w:val="20"/>
              </w:rPr>
              <w:t>54 or 55</w:t>
            </w:r>
            <w:r>
              <w:rPr>
                <w:sz w:val="20"/>
              </w:rPr>
              <w:tab/>
            </w:r>
          </w:p>
          <w:p w:rsidR="00B40966" w:rsidRDefault="00B40966">
            <w:pPr>
              <w:pStyle w:val="TableText"/>
              <w:rPr>
                <w:sz w:val="20"/>
              </w:rPr>
            </w:pPr>
            <w:r>
              <w:rPr>
                <w:sz w:val="20"/>
              </w:rPr>
              <w:t>56 or 57</w:t>
            </w:r>
            <w:r>
              <w:rPr>
                <w:sz w:val="20"/>
              </w:rPr>
              <w:tab/>
            </w:r>
          </w:p>
          <w:p w:rsidR="00B40966" w:rsidRDefault="00B40966">
            <w:pPr>
              <w:pStyle w:val="TableText"/>
              <w:rPr>
                <w:sz w:val="20"/>
              </w:rPr>
            </w:pPr>
            <w:r>
              <w:rPr>
                <w:sz w:val="20"/>
              </w:rPr>
              <w:t>58 or 59</w:t>
            </w:r>
            <w:r>
              <w:rPr>
                <w:sz w:val="20"/>
              </w:rPr>
              <w:tab/>
            </w:r>
          </w:p>
        </w:tc>
        <w:tc>
          <w:tcPr>
            <w:tcW w:w="612" w:type="dxa"/>
            <w:gridSpan w:val="3"/>
            <w:tcBorders>
              <w:top w:val="single" w:sz="6" w:space="0" w:color="auto"/>
            </w:tcBorders>
          </w:tcPr>
          <w:p w:rsidR="00B40966" w:rsidRDefault="00B40966">
            <w:pPr>
              <w:pStyle w:val="TableText"/>
              <w:rPr>
                <w:sz w:val="20"/>
              </w:rPr>
            </w:pPr>
            <w:r>
              <w:rPr>
                <w:sz w:val="20"/>
              </w:rPr>
              <w:t>18</w:t>
            </w:r>
          </w:p>
          <w:p w:rsidR="00B40966" w:rsidRDefault="00B40966">
            <w:pPr>
              <w:pStyle w:val="TableText"/>
              <w:rPr>
                <w:sz w:val="20"/>
              </w:rPr>
            </w:pPr>
            <w:r>
              <w:rPr>
                <w:sz w:val="20"/>
              </w:rPr>
              <w:t>19</w:t>
            </w:r>
          </w:p>
          <w:p w:rsidR="00B40966" w:rsidRDefault="00B40966">
            <w:pPr>
              <w:pStyle w:val="TableText"/>
              <w:rPr>
                <w:sz w:val="20"/>
              </w:rPr>
            </w:pPr>
            <w:r>
              <w:rPr>
                <w:sz w:val="20"/>
              </w:rPr>
              <w:t>20</w:t>
            </w:r>
          </w:p>
          <w:p w:rsidR="00B40966" w:rsidRDefault="00B40966">
            <w:pPr>
              <w:pStyle w:val="TableText"/>
              <w:rPr>
                <w:sz w:val="20"/>
              </w:rPr>
            </w:pPr>
            <w:r>
              <w:rPr>
                <w:sz w:val="20"/>
              </w:rPr>
              <w:t>21</w:t>
            </w:r>
          </w:p>
          <w:p w:rsidR="00B40966" w:rsidRDefault="00B40966">
            <w:pPr>
              <w:pStyle w:val="TableText"/>
              <w:rPr>
                <w:sz w:val="20"/>
              </w:rPr>
            </w:pPr>
            <w:r>
              <w:rPr>
                <w:sz w:val="20"/>
              </w:rPr>
              <w:t>22</w:t>
            </w:r>
          </w:p>
        </w:tc>
        <w:tc>
          <w:tcPr>
            <w:tcW w:w="504"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7</w:t>
            </w:r>
          </w:p>
          <w:p w:rsidR="00B40966" w:rsidRDefault="00B40966">
            <w:pPr>
              <w:pStyle w:val="TableText"/>
              <w:rPr>
                <w:sz w:val="20"/>
              </w:rPr>
            </w:pPr>
            <w:r>
              <w:rPr>
                <w:sz w:val="20"/>
              </w:rPr>
              <w:t>7</w:t>
            </w:r>
          </w:p>
          <w:p w:rsidR="00B40966" w:rsidRDefault="00B40966">
            <w:pPr>
              <w:pStyle w:val="TableText"/>
              <w:rPr>
                <w:sz w:val="20"/>
              </w:rPr>
            </w:pPr>
            <w:r>
              <w:rPr>
                <w:sz w:val="20"/>
              </w:rPr>
              <w:t>7</w:t>
            </w:r>
          </w:p>
          <w:p w:rsidR="00B40966" w:rsidRDefault="00B40966">
            <w:pPr>
              <w:pStyle w:val="TableText"/>
              <w:rPr>
                <w:sz w:val="20"/>
              </w:rPr>
            </w:pPr>
            <w:r>
              <w:rPr>
                <w:sz w:val="20"/>
              </w:rPr>
              <w:t>7</w:t>
            </w:r>
          </w:p>
          <w:p w:rsidR="00B40966" w:rsidRDefault="00B40966">
            <w:pPr>
              <w:pStyle w:val="TableText"/>
              <w:rPr>
                <w:sz w:val="20"/>
              </w:rPr>
            </w:pPr>
            <w:r>
              <w:rPr>
                <w:sz w:val="20"/>
              </w:rPr>
              <w:t>7</w:t>
            </w:r>
          </w:p>
        </w:tc>
        <w:tc>
          <w:tcPr>
            <w:tcW w:w="456"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432"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46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136</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468" w:type="dxa"/>
            <w:tcBorders>
              <w:top w:val="single" w:sz="6" w:space="0" w:color="auto"/>
              <w:left w:val="single" w:sz="6" w:space="0" w:color="auto"/>
              <w:right w:val="single" w:sz="6" w:space="0" w:color="auto"/>
            </w:tcBorders>
          </w:tcPr>
          <w:p w:rsidR="00B40966" w:rsidRDefault="00B40966">
            <w:pPr>
              <w:pStyle w:val="TableText"/>
              <w:rPr>
                <w:sz w:val="20"/>
              </w:rPr>
            </w:pPr>
            <w:r>
              <w:rPr>
                <w:sz w:val="20"/>
              </w:rPr>
              <w:t>7.6</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396"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124</w:t>
            </w:r>
          </w:p>
          <w:p w:rsidR="00B40966" w:rsidRDefault="00B40966">
            <w:pPr>
              <w:pStyle w:val="TableText"/>
              <w:rPr>
                <w:sz w:val="20"/>
              </w:rPr>
            </w:pPr>
            <w:r>
              <w:rPr>
                <w:sz w:val="20"/>
              </w:rPr>
              <w:t>131</w:t>
            </w:r>
          </w:p>
          <w:p w:rsidR="00B40966" w:rsidRDefault="00B40966">
            <w:pPr>
              <w:pStyle w:val="TableText"/>
              <w:rPr>
                <w:sz w:val="20"/>
              </w:rPr>
            </w:pPr>
            <w:r>
              <w:rPr>
                <w:sz w:val="20"/>
              </w:rPr>
              <w:t>138</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516"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6.9</w:t>
            </w:r>
          </w:p>
          <w:p w:rsidR="00B40966" w:rsidRDefault="00B40966">
            <w:pPr>
              <w:pStyle w:val="TableText"/>
              <w:rPr>
                <w:sz w:val="20"/>
              </w:rPr>
            </w:pPr>
            <w:r>
              <w:rPr>
                <w:sz w:val="20"/>
              </w:rPr>
              <w:t>6.9</w:t>
            </w:r>
          </w:p>
          <w:p w:rsidR="00B40966" w:rsidRDefault="00B40966">
            <w:pPr>
              <w:pStyle w:val="TableText"/>
              <w:rPr>
                <w:sz w:val="20"/>
              </w:rPr>
            </w:pPr>
            <w:r>
              <w:rPr>
                <w:sz w:val="20"/>
              </w:rPr>
              <w:t>6.9</w:t>
            </w:r>
          </w:p>
          <w:p w:rsidR="00B40966" w:rsidRDefault="00B40966">
            <w:pPr>
              <w:pStyle w:val="TableText"/>
              <w:rPr>
                <w:sz w:val="20"/>
              </w:rPr>
            </w:pPr>
            <w:r>
              <w:rPr>
                <w:sz w:val="20"/>
              </w:rPr>
              <w:t>...</w:t>
            </w:r>
          </w:p>
          <w:p w:rsidR="00B40966" w:rsidRDefault="00B40966">
            <w:pPr>
              <w:pStyle w:val="TableText"/>
              <w:rPr>
                <w:sz w:val="20"/>
              </w:rPr>
            </w:pPr>
            <w:r>
              <w:rPr>
                <w:sz w:val="20"/>
              </w:rPr>
              <w:t>...</w:t>
            </w:r>
          </w:p>
        </w:tc>
        <w:tc>
          <w:tcPr>
            <w:tcW w:w="444" w:type="dxa"/>
            <w:gridSpan w:val="5"/>
            <w:tcBorders>
              <w:top w:val="single" w:sz="6" w:space="0" w:color="auto"/>
              <w:left w:val="single" w:sz="6" w:space="0" w:color="auto"/>
              <w:right w:val="single" w:sz="6" w:space="0" w:color="auto"/>
            </w:tcBorders>
          </w:tcPr>
          <w:p w:rsidR="00B40966" w:rsidRDefault="00B40966">
            <w:pPr>
              <w:pStyle w:val="TableText"/>
              <w:rPr>
                <w:sz w:val="20"/>
              </w:rPr>
            </w:pPr>
            <w:r>
              <w:rPr>
                <w:sz w:val="20"/>
              </w:rPr>
              <w:t>112</w:t>
            </w:r>
          </w:p>
          <w:p w:rsidR="00B40966" w:rsidRDefault="00B40966">
            <w:pPr>
              <w:pStyle w:val="TableText"/>
              <w:rPr>
                <w:sz w:val="20"/>
              </w:rPr>
            </w:pPr>
            <w:r>
              <w:rPr>
                <w:sz w:val="20"/>
              </w:rPr>
              <w:t>119</w:t>
            </w:r>
          </w:p>
          <w:p w:rsidR="00B40966" w:rsidRDefault="00B40966">
            <w:pPr>
              <w:pStyle w:val="TableText"/>
              <w:rPr>
                <w:sz w:val="20"/>
              </w:rPr>
            </w:pPr>
            <w:r>
              <w:rPr>
                <w:sz w:val="20"/>
              </w:rPr>
              <w:t>127</w:t>
            </w:r>
          </w:p>
          <w:p w:rsidR="00B40966" w:rsidRDefault="00B40966">
            <w:pPr>
              <w:pStyle w:val="TableText"/>
              <w:rPr>
                <w:sz w:val="20"/>
              </w:rPr>
            </w:pPr>
            <w:r>
              <w:rPr>
                <w:sz w:val="20"/>
              </w:rPr>
              <w:t>134</w:t>
            </w:r>
          </w:p>
          <w:p w:rsidR="00B40966" w:rsidRDefault="00B40966">
            <w:pPr>
              <w:pStyle w:val="TableText"/>
              <w:rPr>
                <w:sz w:val="20"/>
              </w:rPr>
            </w:pPr>
            <w:r>
              <w:rPr>
                <w:sz w:val="20"/>
              </w:rPr>
              <w:t>140</w:t>
            </w:r>
          </w:p>
        </w:tc>
        <w:tc>
          <w:tcPr>
            <w:tcW w:w="444"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6.2</w:t>
            </w:r>
          </w:p>
          <w:p w:rsidR="00B40966" w:rsidRDefault="00B40966">
            <w:pPr>
              <w:pStyle w:val="TableText"/>
              <w:rPr>
                <w:sz w:val="20"/>
              </w:rPr>
            </w:pPr>
            <w:r>
              <w:rPr>
                <w:sz w:val="20"/>
              </w:rPr>
              <w:t>6.3</w:t>
            </w:r>
          </w:p>
          <w:p w:rsidR="00B40966" w:rsidRDefault="00B40966">
            <w:pPr>
              <w:pStyle w:val="TableText"/>
              <w:rPr>
                <w:sz w:val="20"/>
              </w:rPr>
            </w:pPr>
            <w:r>
              <w:rPr>
                <w:sz w:val="20"/>
              </w:rPr>
              <w:t>6.3</w:t>
            </w:r>
          </w:p>
          <w:p w:rsidR="00B40966" w:rsidRDefault="00B40966">
            <w:pPr>
              <w:pStyle w:val="TableText"/>
              <w:rPr>
                <w:sz w:val="20"/>
              </w:rPr>
            </w:pPr>
            <w:r>
              <w:rPr>
                <w:sz w:val="20"/>
              </w:rPr>
              <w:t>6.4</w:t>
            </w:r>
          </w:p>
          <w:p w:rsidR="00B40966" w:rsidRDefault="00B40966">
            <w:pPr>
              <w:pStyle w:val="TableText"/>
              <w:rPr>
                <w:sz w:val="20"/>
              </w:rPr>
            </w:pPr>
            <w:r>
              <w:rPr>
                <w:sz w:val="20"/>
              </w:rPr>
              <w:t>6.4</w:t>
            </w:r>
          </w:p>
        </w:tc>
        <w:tc>
          <w:tcPr>
            <w:tcW w:w="384"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106</w:t>
            </w:r>
          </w:p>
          <w:p w:rsidR="00B40966" w:rsidRDefault="00B40966">
            <w:pPr>
              <w:pStyle w:val="TableText"/>
              <w:rPr>
                <w:sz w:val="20"/>
              </w:rPr>
            </w:pPr>
            <w:r>
              <w:rPr>
                <w:sz w:val="20"/>
              </w:rPr>
              <w:t>114</w:t>
            </w:r>
          </w:p>
          <w:p w:rsidR="00B40966" w:rsidRDefault="00B40966">
            <w:pPr>
              <w:pStyle w:val="TableText"/>
              <w:rPr>
                <w:sz w:val="20"/>
              </w:rPr>
            </w:pPr>
            <w:r>
              <w:rPr>
                <w:sz w:val="20"/>
              </w:rPr>
              <w:t>120</w:t>
            </w:r>
          </w:p>
          <w:p w:rsidR="00B40966" w:rsidRDefault="00B40966">
            <w:pPr>
              <w:pStyle w:val="TableText"/>
              <w:rPr>
                <w:sz w:val="20"/>
              </w:rPr>
            </w:pPr>
            <w:r>
              <w:rPr>
                <w:sz w:val="20"/>
              </w:rPr>
              <w:t>128</w:t>
            </w:r>
          </w:p>
          <w:p w:rsidR="00B40966" w:rsidRDefault="00B40966">
            <w:pPr>
              <w:pStyle w:val="TableText"/>
              <w:rPr>
                <w:sz w:val="20"/>
              </w:rPr>
            </w:pPr>
            <w:r>
              <w:rPr>
                <w:sz w:val="20"/>
              </w:rPr>
              <w:t>135</w:t>
            </w:r>
          </w:p>
        </w:tc>
        <w:tc>
          <w:tcPr>
            <w:tcW w:w="492"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5.9</w:t>
            </w:r>
          </w:p>
          <w:p w:rsidR="00B40966" w:rsidRDefault="00B40966">
            <w:pPr>
              <w:pStyle w:val="TableText"/>
              <w:rPr>
                <w:sz w:val="20"/>
              </w:rPr>
            </w:pPr>
            <w:r>
              <w:rPr>
                <w:sz w:val="20"/>
              </w:rPr>
              <w:t>6.0</w:t>
            </w:r>
          </w:p>
          <w:p w:rsidR="00B40966" w:rsidRDefault="00B40966">
            <w:pPr>
              <w:pStyle w:val="TableText"/>
              <w:rPr>
                <w:sz w:val="20"/>
              </w:rPr>
            </w:pPr>
            <w:r>
              <w:rPr>
                <w:sz w:val="20"/>
              </w:rPr>
              <w:t>6.0</w:t>
            </w:r>
          </w:p>
          <w:p w:rsidR="00B40966" w:rsidRDefault="00B40966">
            <w:pPr>
              <w:pStyle w:val="TableText"/>
              <w:rPr>
                <w:sz w:val="20"/>
              </w:rPr>
            </w:pPr>
            <w:r>
              <w:rPr>
                <w:sz w:val="20"/>
              </w:rPr>
              <w:t>6.1</w:t>
            </w:r>
          </w:p>
          <w:p w:rsidR="00B40966" w:rsidRDefault="00B40966">
            <w:pPr>
              <w:pStyle w:val="TableText"/>
              <w:rPr>
                <w:sz w:val="20"/>
              </w:rPr>
            </w:pPr>
            <w:r>
              <w:rPr>
                <w:sz w:val="20"/>
              </w:rPr>
              <w:t>6.1</w:t>
            </w:r>
          </w:p>
        </w:tc>
        <w:tc>
          <w:tcPr>
            <w:tcW w:w="420"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95</w:t>
            </w:r>
          </w:p>
          <w:p w:rsidR="00B40966" w:rsidRDefault="00B40966">
            <w:pPr>
              <w:pStyle w:val="TableText"/>
              <w:rPr>
                <w:sz w:val="20"/>
              </w:rPr>
            </w:pPr>
            <w:r>
              <w:rPr>
                <w:sz w:val="20"/>
              </w:rPr>
              <w:t>103</w:t>
            </w:r>
          </w:p>
          <w:p w:rsidR="00B40966" w:rsidRDefault="00B40966">
            <w:pPr>
              <w:pStyle w:val="TableText"/>
              <w:rPr>
                <w:sz w:val="20"/>
              </w:rPr>
            </w:pPr>
            <w:r>
              <w:rPr>
                <w:sz w:val="20"/>
              </w:rPr>
              <w:t>110</w:t>
            </w:r>
          </w:p>
          <w:p w:rsidR="00B40966" w:rsidRDefault="00B40966">
            <w:pPr>
              <w:pStyle w:val="TableText"/>
              <w:rPr>
                <w:sz w:val="20"/>
              </w:rPr>
            </w:pPr>
            <w:r>
              <w:rPr>
                <w:sz w:val="20"/>
              </w:rPr>
              <w:t>118</w:t>
            </w:r>
          </w:p>
          <w:p w:rsidR="00B40966" w:rsidRDefault="00B40966">
            <w:pPr>
              <w:pStyle w:val="TableText"/>
              <w:rPr>
                <w:sz w:val="20"/>
              </w:rPr>
            </w:pPr>
            <w:r>
              <w:rPr>
                <w:sz w:val="20"/>
              </w:rPr>
              <w:t>126</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5.3</w:t>
            </w:r>
          </w:p>
          <w:p w:rsidR="00B40966" w:rsidRDefault="00B40966">
            <w:pPr>
              <w:pStyle w:val="TableText"/>
              <w:rPr>
                <w:sz w:val="20"/>
              </w:rPr>
            </w:pPr>
            <w:r>
              <w:rPr>
                <w:sz w:val="20"/>
              </w:rPr>
              <w:t>5.4</w:t>
            </w:r>
          </w:p>
          <w:p w:rsidR="00B40966" w:rsidRDefault="00B40966">
            <w:pPr>
              <w:pStyle w:val="TableText"/>
              <w:rPr>
                <w:sz w:val="20"/>
              </w:rPr>
            </w:pPr>
            <w:r>
              <w:rPr>
                <w:sz w:val="20"/>
              </w:rPr>
              <w:t>5.5</w:t>
            </w:r>
          </w:p>
          <w:p w:rsidR="00B40966" w:rsidRDefault="00B40966">
            <w:pPr>
              <w:pStyle w:val="TableText"/>
              <w:rPr>
                <w:sz w:val="20"/>
              </w:rPr>
            </w:pPr>
            <w:r>
              <w:rPr>
                <w:sz w:val="20"/>
              </w:rPr>
              <w:t>5.6</w:t>
            </w:r>
          </w:p>
          <w:p w:rsidR="00B40966" w:rsidRDefault="00B40966">
            <w:pPr>
              <w:pStyle w:val="TableText"/>
              <w:rPr>
                <w:sz w:val="20"/>
              </w:rPr>
            </w:pPr>
            <w:r>
              <w:rPr>
                <w:sz w:val="20"/>
              </w:rPr>
              <w:t>5.7</w:t>
            </w:r>
          </w:p>
        </w:tc>
        <w:tc>
          <w:tcPr>
            <w:tcW w:w="396"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83</w:t>
            </w:r>
          </w:p>
          <w:p w:rsidR="00B40966" w:rsidRDefault="00B40966">
            <w:pPr>
              <w:pStyle w:val="TableText"/>
              <w:rPr>
                <w:sz w:val="20"/>
              </w:rPr>
            </w:pPr>
            <w:r>
              <w:rPr>
                <w:sz w:val="20"/>
              </w:rPr>
              <w:t>92</w:t>
            </w:r>
          </w:p>
          <w:p w:rsidR="00B40966" w:rsidRDefault="00B40966">
            <w:pPr>
              <w:pStyle w:val="TableText"/>
              <w:rPr>
                <w:sz w:val="20"/>
              </w:rPr>
            </w:pPr>
            <w:r>
              <w:rPr>
                <w:sz w:val="20"/>
              </w:rPr>
              <w:t>100</w:t>
            </w:r>
          </w:p>
          <w:p w:rsidR="00B40966" w:rsidRDefault="00B40966">
            <w:pPr>
              <w:pStyle w:val="TableText"/>
              <w:rPr>
                <w:sz w:val="20"/>
              </w:rPr>
            </w:pPr>
            <w:r>
              <w:rPr>
                <w:sz w:val="20"/>
              </w:rPr>
              <w:t>109</w:t>
            </w:r>
          </w:p>
          <w:p w:rsidR="00B40966" w:rsidRDefault="00B40966">
            <w:pPr>
              <w:pStyle w:val="TableText"/>
              <w:rPr>
                <w:sz w:val="20"/>
              </w:rPr>
            </w:pPr>
            <w:r>
              <w:rPr>
                <w:sz w:val="20"/>
              </w:rPr>
              <w:t>117</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4.6</w:t>
            </w:r>
          </w:p>
          <w:p w:rsidR="00B40966" w:rsidRDefault="00B40966">
            <w:pPr>
              <w:pStyle w:val="TableText"/>
              <w:rPr>
                <w:sz w:val="20"/>
              </w:rPr>
            </w:pPr>
            <w:r>
              <w:rPr>
                <w:sz w:val="20"/>
              </w:rPr>
              <w:t>4.8</w:t>
            </w:r>
          </w:p>
          <w:p w:rsidR="00B40966" w:rsidRDefault="00B40966">
            <w:pPr>
              <w:pStyle w:val="TableText"/>
              <w:rPr>
                <w:sz w:val="20"/>
              </w:rPr>
            </w:pPr>
            <w:r>
              <w:rPr>
                <w:sz w:val="20"/>
              </w:rPr>
              <w:t>5.0</w:t>
            </w:r>
          </w:p>
          <w:p w:rsidR="00B40966" w:rsidRDefault="00B40966">
            <w:pPr>
              <w:pStyle w:val="TableText"/>
              <w:rPr>
                <w:sz w:val="20"/>
              </w:rPr>
            </w:pPr>
            <w:r>
              <w:rPr>
                <w:sz w:val="20"/>
              </w:rPr>
              <w:t>5.2</w:t>
            </w:r>
          </w:p>
          <w:p w:rsidR="00B40966" w:rsidRDefault="00B40966">
            <w:pPr>
              <w:pStyle w:val="TableText"/>
              <w:rPr>
                <w:sz w:val="20"/>
              </w:rPr>
            </w:pPr>
            <w:r>
              <w:rPr>
                <w:sz w:val="20"/>
              </w:rPr>
              <w:t>5.3</w:t>
            </w:r>
          </w:p>
        </w:tc>
        <w:tc>
          <w:tcPr>
            <w:tcW w:w="40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70</w:t>
            </w:r>
          </w:p>
          <w:p w:rsidR="00B40966" w:rsidRDefault="00B40966">
            <w:pPr>
              <w:pStyle w:val="TableText"/>
              <w:rPr>
                <w:sz w:val="20"/>
              </w:rPr>
            </w:pPr>
            <w:r>
              <w:rPr>
                <w:sz w:val="20"/>
              </w:rPr>
              <w:t>78</w:t>
            </w:r>
          </w:p>
          <w:p w:rsidR="00B40966" w:rsidRDefault="00B40966">
            <w:pPr>
              <w:pStyle w:val="TableText"/>
              <w:rPr>
                <w:sz w:val="20"/>
              </w:rPr>
            </w:pPr>
            <w:r>
              <w:rPr>
                <w:sz w:val="20"/>
              </w:rPr>
              <w:t>87</w:t>
            </w:r>
          </w:p>
          <w:p w:rsidR="00B40966" w:rsidRDefault="00B40966">
            <w:pPr>
              <w:pStyle w:val="TableText"/>
              <w:rPr>
                <w:sz w:val="20"/>
              </w:rPr>
            </w:pPr>
            <w:r>
              <w:rPr>
                <w:sz w:val="20"/>
              </w:rPr>
              <w:t>96</w:t>
            </w:r>
          </w:p>
          <w:p w:rsidR="00B40966" w:rsidRDefault="00B40966">
            <w:pPr>
              <w:pStyle w:val="TableText"/>
              <w:rPr>
                <w:sz w:val="20"/>
              </w:rPr>
            </w:pPr>
            <w:r>
              <w:rPr>
                <w:sz w:val="20"/>
              </w:rPr>
              <w:t>104</w:t>
            </w:r>
          </w:p>
        </w:tc>
        <w:tc>
          <w:tcPr>
            <w:tcW w:w="432"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3.9</w:t>
            </w:r>
          </w:p>
          <w:p w:rsidR="00B40966" w:rsidRDefault="00B40966">
            <w:pPr>
              <w:pStyle w:val="TableText"/>
              <w:rPr>
                <w:sz w:val="20"/>
              </w:rPr>
            </w:pPr>
            <w:r>
              <w:rPr>
                <w:sz w:val="20"/>
              </w:rPr>
              <w:t>4.1</w:t>
            </w:r>
          </w:p>
          <w:p w:rsidR="00B40966" w:rsidRDefault="00B40966">
            <w:pPr>
              <w:pStyle w:val="TableText"/>
              <w:rPr>
                <w:sz w:val="20"/>
              </w:rPr>
            </w:pPr>
            <w:r>
              <w:rPr>
                <w:sz w:val="20"/>
              </w:rPr>
              <w:t>4.3</w:t>
            </w:r>
          </w:p>
          <w:p w:rsidR="00B40966" w:rsidRDefault="00B40966">
            <w:pPr>
              <w:pStyle w:val="TableText"/>
              <w:rPr>
                <w:sz w:val="20"/>
              </w:rPr>
            </w:pPr>
            <w:r>
              <w:rPr>
                <w:sz w:val="20"/>
              </w:rPr>
              <w:t>4.6</w:t>
            </w:r>
          </w:p>
          <w:p w:rsidR="00B40966" w:rsidRDefault="00B40966">
            <w:pPr>
              <w:pStyle w:val="TableText"/>
              <w:rPr>
                <w:sz w:val="20"/>
              </w:rPr>
            </w:pPr>
            <w:r>
              <w:rPr>
                <w:sz w:val="20"/>
              </w:rPr>
              <w:t>4.7</w:t>
            </w:r>
          </w:p>
        </w:tc>
        <w:tc>
          <w:tcPr>
            <w:tcW w:w="408"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57</w:t>
            </w:r>
          </w:p>
          <w:p w:rsidR="00B40966" w:rsidRDefault="00B40966">
            <w:pPr>
              <w:pStyle w:val="TableText"/>
              <w:rPr>
                <w:sz w:val="20"/>
              </w:rPr>
            </w:pPr>
            <w:r>
              <w:rPr>
                <w:sz w:val="20"/>
              </w:rPr>
              <w:t>62</w:t>
            </w:r>
          </w:p>
          <w:p w:rsidR="00B40966" w:rsidRDefault="00B40966">
            <w:pPr>
              <w:pStyle w:val="TableText"/>
              <w:rPr>
                <w:sz w:val="20"/>
              </w:rPr>
            </w:pPr>
            <w:r>
              <w:rPr>
                <w:sz w:val="20"/>
              </w:rPr>
              <w:t>68</w:t>
            </w:r>
          </w:p>
          <w:p w:rsidR="00B40966" w:rsidRDefault="00B40966">
            <w:pPr>
              <w:pStyle w:val="TableText"/>
              <w:rPr>
                <w:sz w:val="20"/>
              </w:rPr>
            </w:pPr>
            <w:r>
              <w:rPr>
                <w:sz w:val="20"/>
              </w:rPr>
              <w:t>75</w:t>
            </w:r>
          </w:p>
          <w:p w:rsidR="00B40966" w:rsidRDefault="00B40966">
            <w:pPr>
              <w:pStyle w:val="TableText"/>
              <w:rPr>
                <w:sz w:val="20"/>
              </w:rPr>
            </w:pPr>
            <w:r>
              <w:rPr>
                <w:sz w:val="20"/>
              </w:rPr>
              <w:t>83</w:t>
            </w:r>
          </w:p>
        </w:tc>
        <w:tc>
          <w:tcPr>
            <w:tcW w:w="480" w:type="dxa"/>
            <w:gridSpan w:val="4"/>
            <w:tcBorders>
              <w:top w:val="single" w:sz="6" w:space="0" w:color="auto"/>
              <w:left w:val="single" w:sz="6" w:space="0" w:color="auto"/>
              <w:right w:val="single" w:sz="6" w:space="0" w:color="auto"/>
            </w:tcBorders>
          </w:tcPr>
          <w:p w:rsidR="00B40966" w:rsidRDefault="00B40966">
            <w:pPr>
              <w:pStyle w:val="TableText"/>
              <w:rPr>
                <w:sz w:val="20"/>
              </w:rPr>
            </w:pPr>
            <w:r>
              <w:rPr>
                <w:sz w:val="20"/>
              </w:rPr>
              <w:t>3.2</w:t>
            </w:r>
          </w:p>
          <w:p w:rsidR="00B40966" w:rsidRDefault="00B40966">
            <w:pPr>
              <w:pStyle w:val="TableText"/>
              <w:rPr>
                <w:sz w:val="20"/>
              </w:rPr>
            </w:pPr>
            <w:r>
              <w:rPr>
                <w:sz w:val="20"/>
              </w:rPr>
              <w:t>3.3</w:t>
            </w:r>
          </w:p>
          <w:p w:rsidR="00B40966" w:rsidRDefault="00B40966">
            <w:pPr>
              <w:pStyle w:val="TableText"/>
              <w:rPr>
                <w:sz w:val="20"/>
              </w:rPr>
            </w:pPr>
            <w:r>
              <w:rPr>
                <w:sz w:val="20"/>
              </w:rPr>
              <w:t>3.4</w:t>
            </w:r>
          </w:p>
          <w:p w:rsidR="00B40966" w:rsidRDefault="00B40966">
            <w:pPr>
              <w:pStyle w:val="TableText"/>
              <w:rPr>
                <w:sz w:val="20"/>
              </w:rPr>
            </w:pPr>
            <w:r>
              <w:rPr>
                <w:sz w:val="20"/>
              </w:rPr>
              <w:t>3.6</w:t>
            </w:r>
          </w:p>
          <w:p w:rsidR="00B40966" w:rsidRDefault="00B40966">
            <w:pPr>
              <w:pStyle w:val="TableText"/>
              <w:rPr>
                <w:sz w:val="20"/>
              </w:rPr>
            </w:pPr>
            <w:r>
              <w:rPr>
                <w:sz w:val="20"/>
              </w:rPr>
              <w:t>3.8</w:t>
            </w:r>
          </w:p>
        </w:tc>
        <w:tc>
          <w:tcPr>
            <w:tcW w:w="372"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45</w:t>
            </w:r>
          </w:p>
          <w:p w:rsidR="00B40966" w:rsidRDefault="00B40966">
            <w:pPr>
              <w:pStyle w:val="TableText"/>
              <w:rPr>
                <w:sz w:val="20"/>
              </w:rPr>
            </w:pPr>
            <w:r>
              <w:rPr>
                <w:sz w:val="20"/>
              </w:rPr>
              <w:t>49</w:t>
            </w:r>
          </w:p>
          <w:p w:rsidR="00B40966" w:rsidRDefault="00B40966">
            <w:pPr>
              <w:pStyle w:val="TableText"/>
              <w:rPr>
                <w:sz w:val="20"/>
              </w:rPr>
            </w:pPr>
            <w:r>
              <w:rPr>
                <w:sz w:val="20"/>
              </w:rPr>
              <w:t>54</w:t>
            </w:r>
          </w:p>
          <w:p w:rsidR="00B40966" w:rsidRDefault="00B40966">
            <w:pPr>
              <w:pStyle w:val="TableText"/>
              <w:rPr>
                <w:sz w:val="20"/>
              </w:rPr>
            </w:pPr>
            <w:r>
              <w:rPr>
                <w:sz w:val="20"/>
              </w:rPr>
              <w:t>58</w:t>
            </w:r>
          </w:p>
          <w:p w:rsidR="00B40966" w:rsidRDefault="00B40966">
            <w:pPr>
              <w:pStyle w:val="TableText"/>
              <w:rPr>
                <w:sz w:val="20"/>
              </w:rPr>
            </w:pPr>
            <w:r>
              <w:rPr>
                <w:sz w:val="20"/>
              </w:rPr>
              <w:t>63</w:t>
            </w:r>
          </w:p>
        </w:tc>
        <w:tc>
          <w:tcPr>
            <w:tcW w:w="480" w:type="dxa"/>
            <w:gridSpan w:val="3"/>
            <w:tcBorders>
              <w:top w:val="single" w:sz="6" w:space="0" w:color="auto"/>
              <w:left w:val="single" w:sz="6" w:space="0" w:color="auto"/>
              <w:right w:val="single" w:sz="6" w:space="0" w:color="auto"/>
            </w:tcBorders>
          </w:tcPr>
          <w:p w:rsidR="00B40966" w:rsidRDefault="00B40966">
            <w:pPr>
              <w:pStyle w:val="TableText"/>
              <w:rPr>
                <w:sz w:val="20"/>
              </w:rPr>
            </w:pPr>
            <w:r>
              <w:rPr>
                <w:sz w:val="20"/>
              </w:rPr>
              <w:t>2.5</w:t>
            </w:r>
          </w:p>
          <w:p w:rsidR="00B40966" w:rsidRDefault="00B40966">
            <w:pPr>
              <w:pStyle w:val="TableText"/>
              <w:rPr>
                <w:sz w:val="20"/>
              </w:rPr>
            </w:pPr>
            <w:r>
              <w:rPr>
                <w:sz w:val="20"/>
              </w:rPr>
              <w:t>2.6</w:t>
            </w:r>
          </w:p>
          <w:p w:rsidR="00B40966" w:rsidRDefault="00B40966">
            <w:pPr>
              <w:pStyle w:val="TableText"/>
              <w:rPr>
                <w:sz w:val="20"/>
              </w:rPr>
            </w:pPr>
            <w:r>
              <w:rPr>
                <w:sz w:val="20"/>
              </w:rPr>
              <w:t>2.7</w:t>
            </w:r>
          </w:p>
          <w:p w:rsidR="00B40966" w:rsidRDefault="00B40966">
            <w:pPr>
              <w:pStyle w:val="TableText"/>
              <w:rPr>
                <w:sz w:val="20"/>
              </w:rPr>
            </w:pPr>
            <w:r>
              <w:rPr>
                <w:sz w:val="20"/>
              </w:rPr>
              <w:t>2.8</w:t>
            </w:r>
          </w:p>
          <w:p w:rsidR="00B40966" w:rsidRDefault="00B40966">
            <w:pPr>
              <w:pStyle w:val="TableText"/>
              <w:rPr>
                <w:sz w:val="20"/>
              </w:rPr>
            </w:pPr>
            <w:r>
              <w:rPr>
                <w:sz w:val="20"/>
              </w:rPr>
              <w:t>2.9</w:t>
            </w:r>
          </w:p>
        </w:tc>
        <w:tc>
          <w:tcPr>
            <w:tcW w:w="348" w:type="dxa"/>
            <w:gridSpan w:val="2"/>
            <w:tcBorders>
              <w:top w:val="single" w:sz="6" w:space="0" w:color="auto"/>
              <w:left w:val="single" w:sz="6" w:space="0" w:color="auto"/>
              <w:right w:val="single" w:sz="6" w:space="0" w:color="auto"/>
            </w:tcBorders>
          </w:tcPr>
          <w:p w:rsidR="00B40966" w:rsidRDefault="00B40966">
            <w:pPr>
              <w:pStyle w:val="TableText"/>
              <w:rPr>
                <w:sz w:val="20"/>
              </w:rPr>
            </w:pPr>
            <w:r>
              <w:rPr>
                <w:sz w:val="20"/>
              </w:rPr>
              <w:t>30</w:t>
            </w:r>
          </w:p>
          <w:p w:rsidR="00B40966" w:rsidRDefault="00B40966">
            <w:pPr>
              <w:pStyle w:val="TableText"/>
              <w:rPr>
                <w:sz w:val="20"/>
              </w:rPr>
            </w:pPr>
            <w:r>
              <w:rPr>
                <w:sz w:val="20"/>
              </w:rPr>
              <w:t>34</w:t>
            </w:r>
          </w:p>
          <w:p w:rsidR="00B40966" w:rsidRDefault="00B40966">
            <w:pPr>
              <w:pStyle w:val="TableText"/>
              <w:rPr>
                <w:sz w:val="20"/>
              </w:rPr>
            </w:pPr>
            <w:r>
              <w:rPr>
                <w:sz w:val="20"/>
              </w:rPr>
              <w:t>38</w:t>
            </w:r>
          </w:p>
          <w:p w:rsidR="00B40966" w:rsidRDefault="00B40966">
            <w:pPr>
              <w:pStyle w:val="TableText"/>
              <w:rPr>
                <w:sz w:val="20"/>
              </w:rPr>
            </w:pPr>
            <w:r>
              <w:rPr>
                <w:sz w:val="20"/>
              </w:rPr>
              <w:t>43</w:t>
            </w:r>
          </w:p>
          <w:p w:rsidR="00B40966" w:rsidRDefault="00B40966">
            <w:pPr>
              <w:pStyle w:val="TableText"/>
              <w:rPr>
                <w:sz w:val="20"/>
              </w:rPr>
            </w:pPr>
            <w:r>
              <w:rPr>
                <w:sz w:val="20"/>
              </w:rPr>
              <w:t>47</w:t>
            </w:r>
          </w:p>
        </w:tc>
        <w:tc>
          <w:tcPr>
            <w:tcW w:w="456" w:type="dxa"/>
            <w:gridSpan w:val="2"/>
            <w:tcBorders>
              <w:top w:val="single" w:sz="6" w:space="0" w:color="auto"/>
            </w:tcBorders>
          </w:tcPr>
          <w:p w:rsidR="00B40966" w:rsidRDefault="00B40966">
            <w:pPr>
              <w:pStyle w:val="TableText"/>
              <w:rPr>
                <w:sz w:val="20"/>
              </w:rPr>
            </w:pPr>
            <w:r>
              <w:rPr>
                <w:sz w:val="20"/>
              </w:rPr>
              <w:t>1.7</w:t>
            </w:r>
          </w:p>
          <w:p w:rsidR="00B40966" w:rsidRDefault="00B40966">
            <w:pPr>
              <w:pStyle w:val="TableText"/>
              <w:rPr>
                <w:sz w:val="20"/>
              </w:rPr>
            </w:pPr>
            <w:r>
              <w:rPr>
                <w:sz w:val="20"/>
              </w:rPr>
              <w:t>1.8</w:t>
            </w:r>
          </w:p>
          <w:p w:rsidR="00B40966" w:rsidRDefault="00B40966">
            <w:pPr>
              <w:pStyle w:val="TableText"/>
              <w:rPr>
                <w:sz w:val="20"/>
              </w:rPr>
            </w:pPr>
            <w:r>
              <w:rPr>
                <w:sz w:val="20"/>
              </w:rPr>
              <w:t>1.9</w:t>
            </w:r>
          </w:p>
          <w:p w:rsidR="00B40966" w:rsidRDefault="00B40966">
            <w:pPr>
              <w:pStyle w:val="TableText"/>
              <w:rPr>
                <w:sz w:val="20"/>
              </w:rPr>
            </w:pPr>
            <w:r>
              <w:rPr>
                <w:sz w:val="20"/>
              </w:rPr>
              <w:t>2.0</w:t>
            </w:r>
          </w:p>
          <w:p w:rsidR="00B40966" w:rsidRDefault="00B40966">
            <w:pPr>
              <w:pStyle w:val="TableText"/>
              <w:rPr>
                <w:sz w:val="20"/>
              </w:rPr>
            </w:pPr>
            <w:r>
              <w:rPr>
                <w:sz w:val="20"/>
              </w:rPr>
              <w:t>2.1</w:t>
            </w:r>
          </w:p>
        </w:tc>
      </w:tr>
      <w:tr w:rsidR="00B40966">
        <w:tblPrEx>
          <w:tblInd w:w="56" w:type="dxa"/>
        </w:tblPrEx>
        <w:trPr>
          <w:gridBefore w:val="1"/>
          <w:gridAfter w:val="2"/>
        </w:trPr>
        <w:tc>
          <w:tcPr>
            <w:tcW w:w="780" w:type="dxa"/>
            <w:tcBorders>
              <w:top w:val="single" w:sz="6" w:space="0" w:color="auto"/>
              <w:bottom w:val="single" w:sz="6" w:space="0" w:color="auto"/>
              <w:right w:val="single" w:sz="6" w:space="0" w:color="auto"/>
            </w:tcBorders>
          </w:tcPr>
          <w:p w:rsidR="00B40966" w:rsidRDefault="00B40966">
            <w:pPr>
              <w:pStyle w:val="TableText"/>
              <w:rPr>
                <w:sz w:val="20"/>
              </w:rPr>
            </w:pPr>
            <w:r>
              <w:rPr>
                <w:sz w:val="20"/>
              </w:rPr>
              <w:t>60</w:t>
            </w:r>
            <w:r>
              <w:rPr>
                <w:sz w:val="20"/>
              </w:rPr>
              <w:tab/>
            </w:r>
          </w:p>
        </w:tc>
        <w:tc>
          <w:tcPr>
            <w:tcW w:w="612" w:type="dxa"/>
            <w:gridSpan w:val="3"/>
            <w:tcBorders>
              <w:top w:val="single" w:sz="6" w:space="0" w:color="auto"/>
              <w:bottom w:val="single" w:sz="6" w:space="0" w:color="auto"/>
            </w:tcBorders>
          </w:tcPr>
          <w:p w:rsidR="00B40966" w:rsidRDefault="00B40966">
            <w:pPr>
              <w:pStyle w:val="TableText"/>
              <w:rPr>
                <w:sz w:val="20"/>
              </w:rPr>
            </w:pPr>
            <w:r>
              <w:rPr>
                <w:sz w:val="20"/>
              </w:rPr>
              <w:t>23</w:t>
            </w:r>
          </w:p>
        </w:tc>
        <w:tc>
          <w:tcPr>
            <w:tcW w:w="504"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7</w:t>
            </w:r>
          </w:p>
        </w:tc>
        <w:tc>
          <w:tcPr>
            <w:tcW w:w="456"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43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468" w:type="dxa"/>
            <w:gridSpan w:val="4"/>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468" w:type="dxa"/>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396"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516"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w:t>
            </w:r>
          </w:p>
        </w:tc>
        <w:tc>
          <w:tcPr>
            <w:tcW w:w="444" w:type="dxa"/>
            <w:gridSpan w:val="5"/>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146</w:t>
            </w:r>
          </w:p>
        </w:tc>
        <w:tc>
          <w:tcPr>
            <w:tcW w:w="444"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6.4</w:t>
            </w:r>
          </w:p>
        </w:tc>
        <w:tc>
          <w:tcPr>
            <w:tcW w:w="384" w:type="dxa"/>
            <w:gridSpan w:val="4"/>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141</w:t>
            </w:r>
          </w:p>
        </w:tc>
        <w:tc>
          <w:tcPr>
            <w:tcW w:w="49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6.1</w:t>
            </w:r>
          </w:p>
        </w:tc>
        <w:tc>
          <w:tcPr>
            <w:tcW w:w="420"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134</w:t>
            </w:r>
          </w:p>
        </w:tc>
        <w:tc>
          <w:tcPr>
            <w:tcW w:w="480"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5.8</w:t>
            </w:r>
          </w:p>
        </w:tc>
        <w:tc>
          <w:tcPr>
            <w:tcW w:w="396"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125</w:t>
            </w:r>
          </w:p>
        </w:tc>
        <w:tc>
          <w:tcPr>
            <w:tcW w:w="480"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5.4</w:t>
            </w:r>
          </w:p>
        </w:tc>
        <w:tc>
          <w:tcPr>
            <w:tcW w:w="408" w:type="dxa"/>
            <w:gridSpan w:val="4"/>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112</w:t>
            </w:r>
          </w:p>
        </w:tc>
        <w:tc>
          <w:tcPr>
            <w:tcW w:w="43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4.9</w:t>
            </w:r>
          </w:p>
        </w:tc>
        <w:tc>
          <w:tcPr>
            <w:tcW w:w="408" w:type="dxa"/>
            <w:gridSpan w:val="4"/>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91</w:t>
            </w:r>
          </w:p>
        </w:tc>
        <w:tc>
          <w:tcPr>
            <w:tcW w:w="480" w:type="dxa"/>
            <w:gridSpan w:val="4"/>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4.0</w:t>
            </w:r>
          </w:p>
        </w:tc>
        <w:tc>
          <w:tcPr>
            <w:tcW w:w="372"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69</w:t>
            </w:r>
          </w:p>
        </w:tc>
        <w:tc>
          <w:tcPr>
            <w:tcW w:w="480" w:type="dxa"/>
            <w:gridSpan w:val="3"/>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3.0</w:t>
            </w:r>
          </w:p>
        </w:tc>
        <w:tc>
          <w:tcPr>
            <w:tcW w:w="348" w:type="dxa"/>
            <w:gridSpan w:val="2"/>
            <w:tcBorders>
              <w:top w:val="single" w:sz="6" w:space="0" w:color="auto"/>
              <w:left w:val="single" w:sz="6" w:space="0" w:color="auto"/>
              <w:bottom w:val="single" w:sz="6" w:space="0" w:color="auto"/>
              <w:right w:val="single" w:sz="6" w:space="0" w:color="auto"/>
            </w:tcBorders>
          </w:tcPr>
          <w:p w:rsidR="00B40966" w:rsidRDefault="00B40966">
            <w:pPr>
              <w:pStyle w:val="TableText"/>
              <w:rPr>
                <w:sz w:val="20"/>
              </w:rPr>
            </w:pPr>
            <w:r>
              <w:rPr>
                <w:sz w:val="20"/>
              </w:rPr>
              <w:t>51</w:t>
            </w:r>
          </w:p>
        </w:tc>
        <w:tc>
          <w:tcPr>
            <w:tcW w:w="456" w:type="dxa"/>
            <w:gridSpan w:val="2"/>
            <w:tcBorders>
              <w:top w:val="single" w:sz="6" w:space="0" w:color="auto"/>
              <w:bottom w:val="single" w:sz="6" w:space="0" w:color="auto"/>
            </w:tcBorders>
          </w:tcPr>
          <w:p w:rsidR="00B40966" w:rsidRDefault="00B40966">
            <w:pPr>
              <w:pStyle w:val="TableText"/>
              <w:rPr>
                <w:sz w:val="20"/>
              </w:rPr>
            </w:pPr>
            <w:r>
              <w:rPr>
                <w:sz w:val="20"/>
              </w:rPr>
              <w:t>2.2</w:t>
            </w:r>
          </w:p>
        </w:tc>
      </w:tr>
    </w:tbl>
    <w:p w:rsidR="00B40966" w:rsidRDefault="00B40966">
      <w:pPr>
        <w:pStyle w:val="aNote"/>
        <w:tabs>
          <w:tab w:val="left" w:pos="864"/>
        </w:tabs>
        <w:ind w:left="900" w:hanging="900"/>
      </w:pPr>
      <w:r>
        <w:rPr>
          <w:rStyle w:val="charItals"/>
        </w:rPr>
        <w:t>Note</w:t>
      </w:r>
      <w:r>
        <w:rPr>
          <w:rStyle w:val="charItals"/>
        </w:rPr>
        <w:tab/>
      </w:r>
      <w:r>
        <w:t>‘Periods’ referred to in column headings are periods of exposure to working pressure, and should not be confused with working periods at the face.</w:t>
      </w:r>
    </w:p>
    <w:p w:rsidR="00B40966" w:rsidRDefault="00B40966">
      <w:pPr>
        <w:pStyle w:val="03ScheduleLandscape"/>
        <w:sectPr w:rsidR="00B40966">
          <w:headerReference w:type="even" r:id="rId182"/>
          <w:headerReference w:type="default" r:id="rId183"/>
          <w:footerReference w:type="even" r:id="rId184"/>
          <w:footerReference w:type="default" r:id="rId185"/>
          <w:pgSz w:w="16839" w:h="11907" w:orient="landscape" w:code="9"/>
          <w:pgMar w:top="2300" w:right="3000" w:bottom="2300" w:left="2500" w:header="2480" w:footer="2100" w:gutter="0"/>
          <w:cols w:space="720"/>
        </w:sectPr>
      </w:pPr>
    </w:p>
    <w:p w:rsidR="00B40966" w:rsidRDefault="00DA6E8C">
      <w:pPr>
        <w:spacing w:before="1440"/>
        <w:jc w:val="center"/>
      </w:pPr>
      <w:r>
        <w:rPr>
          <w:noProof/>
          <w:lang w:eastAsia="en-AU"/>
        </w:rPr>
        <w:drawing>
          <wp:inline distT="0" distB="0" distL="0" distR="0">
            <wp:extent cx="3867150" cy="4638675"/>
            <wp:effectExtent l="0" t="0" r="0" b="0"/>
            <wp:docPr id="95" name="Picture 95" descr="Plate1-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Plate1-V02"/>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3867150" cy="4638675"/>
                    </a:xfrm>
                    <a:prstGeom prst="rect">
                      <a:avLst/>
                    </a:prstGeom>
                    <a:noFill/>
                    <a:ln>
                      <a:noFill/>
                    </a:ln>
                  </pic:spPr>
                </pic:pic>
              </a:graphicData>
            </a:graphic>
          </wp:inline>
        </w:drawing>
      </w:r>
    </w:p>
    <w:p w:rsidR="00B40966" w:rsidRDefault="00B40966">
      <w:pPr>
        <w:spacing w:before="1440"/>
        <w:jc w:val="center"/>
      </w:pPr>
    </w:p>
    <w:p w:rsidR="00B40966" w:rsidRDefault="00DA6E8C">
      <w:pPr>
        <w:spacing w:before="1320"/>
        <w:jc w:val="center"/>
      </w:pPr>
      <w:r>
        <w:rPr>
          <w:noProof/>
          <w:lang w:eastAsia="en-AU"/>
        </w:rPr>
        <w:drawing>
          <wp:inline distT="0" distB="0" distL="0" distR="0">
            <wp:extent cx="4943475" cy="3810000"/>
            <wp:effectExtent l="0" t="0" r="0" b="0"/>
            <wp:docPr id="96" name="Picture 96" descr="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plate2"/>
                    <pic:cNvPicPr>
                      <a:picLocks noChangeAspect="1" noChangeArrowheads="1"/>
                    </pic:cNvPicPr>
                  </pic:nvPicPr>
                  <pic:blipFill>
                    <a:blip r:embed="rId187" cstate="print">
                      <a:extLst>
                        <a:ext uri="{28A0092B-C50C-407E-A947-70E740481C1C}">
                          <a14:useLocalDpi xmlns:a14="http://schemas.microsoft.com/office/drawing/2010/main" val="0"/>
                        </a:ext>
                      </a:extLst>
                    </a:blip>
                    <a:srcRect t="2156" r="36797" b="62317"/>
                    <a:stretch>
                      <a:fillRect/>
                    </a:stretch>
                  </pic:blipFill>
                  <pic:spPr bwMode="auto">
                    <a:xfrm>
                      <a:off x="0" y="0"/>
                      <a:ext cx="4943475" cy="3810000"/>
                    </a:xfrm>
                    <a:prstGeom prst="rect">
                      <a:avLst/>
                    </a:prstGeom>
                    <a:noFill/>
                    <a:ln>
                      <a:noFill/>
                    </a:ln>
                  </pic:spPr>
                </pic:pic>
              </a:graphicData>
            </a:graphic>
          </wp:inline>
        </w:drawing>
      </w: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jc w:val="center"/>
      </w:pPr>
    </w:p>
    <w:p w:rsidR="00B40966" w:rsidRDefault="00B40966">
      <w:pPr>
        <w:spacing w:before="360"/>
        <w:jc w:val="center"/>
      </w:pPr>
    </w:p>
    <w:p w:rsidR="00B40966" w:rsidRDefault="00DA6E8C">
      <w:pPr>
        <w:spacing w:before="1680"/>
        <w:jc w:val="center"/>
        <w:rPr>
          <w:noProof/>
        </w:rPr>
      </w:pPr>
      <w:r>
        <w:rPr>
          <w:noProof/>
          <w:lang w:eastAsia="en-AU"/>
        </w:rPr>
        <w:drawing>
          <wp:inline distT="0" distB="0" distL="0" distR="0">
            <wp:extent cx="5219700" cy="3276600"/>
            <wp:effectExtent l="0" t="0" r="0" b="0"/>
            <wp:docPr id="97" name="Picture 97" descr="plate3-V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ate3-V02"/>
                    <pic:cNvPicPr>
                      <a:picLocks noChangeAspect="1" noChangeArrowheads="1"/>
                    </pic:cNvPicPr>
                  </pic:nvPicPr>
                  <pic:blipFill>
                    <a:blip r:embed="rId188" cstate="print">
                      <a:extLst>
                        <a:ext uri="{28A0092B-C50C-407E-A947-70E740481C1C}">
                          <a14:useLocalDpi xmlns:a14="http://schemas.microsoft.com/office/drawing/2010/main" val="0"/>
                        </a:ext>
                      </a:extLst>
                    </a:blip>
                    <a:srcRect t="3688" r="13142" b="56581"/>
                    <a:stretch>
                      <a:fillRect/>
                    </a:stretch>
                  </pic:blipFill>
                  <pic:spPr bwMode="auto">
                    <a:xfrm>
                      <a:off x="0" y="0"/>
                      <a:ext cx="5219700" cy="3276600"/>
                    </a:xfrm>
                    <a:prstGeom prst="rect">
                      <a:avLst/>
                    </a:prstGeom>
                    <a:noFill/>
                    <a:ln>
                      <a:noFill/>
                    </a:ln>
                  </pic:spPr>
                </pic:pic>
              </a:graphicData>
            </a:graphic>
          </wp:inline>
        </w:drawing>
      </w:r>
    </w:p>
    <w:p w:rsidR="00B40966" w:rsidRDefault="00B40966">
      <w:pPr>
        <w:jc w:val="center"/>
      </w:pPr>
    </w:p>
    <w:p w:rsidR="00B40966" w:rsidRDefault="00B40966">
      <w:pPr>
        <w:pStyle w:val="03Schedule"/>
        <w:sectPr w:rsidR="00B40966">
          <w:headerReference w:type="even" r:id="rId189"/>
          <w:headerReference w:type="default" r:id="rId190"/>
          <w:footerReference w:type="even" r:id="rId191"/>
          <w:footerReference w:type="default" r:id="rId192"/>
          <w:type w:val="continuous"/>
          <w:pgSz w:w="11907" w:h="16839" w:code="9"/>
          <w:pgMar w:top="3000" w:right="1900" w:bottom="2500" w:left="2300" w:header="2480" w:footer="2100" w:gutter="0"/>
          <w:cols w:space="720"/>
        </w:sectPr>
      </w:pPr>
    </w:p>
    <w:p w:rsidR="00B40966" w:rsidRDefault="00B40966">
      <w:pPr>
        <w:pStyle w:val="Sched-heading"/>
      </w:pPr>
      <w:bookmarkStart w:id="322" w:name="_Toc87258157"/>
      <w:r>
        <w:rPr>
          <w:rStyle w:val="CharChapNo"/>
        </w:rPr>
        <w:t>Schedule 8</w:t>
      </w:r>
      <w:r>
        <w:tab/>
      </w:r>
      <w:r>
        <w:rPr>
          <w:rStyle w:val="CharChapText"/>
        </w:rPr>
        <w:t>Medical standards and examination report for compressed air workers</w:t>
      </w:r>
      <w:bookmarkEnd w:id="322"/>
    </w:p>
    <w:p w:rsidR="00B40966" w:rsidRDefault="00B40966">
      <w:pPr>
        <w:pStyle w:val="Amainreturn"/>
      </w:pPr>
      <w:r>
        <w:t>The medical standards required for workers in compressed air are as follows:</w:t>
      </w:r>
    </w:p>
    <w:p w:rsidR="00B40966" w:rsidRDefault="00B40966">
      <w:pPr>
        <w:pStyle w:val="Apara"/>
      </w:pPr>
      <w:r>
        <w:rPr>
          <w:rStyle w:val="charItals"/>
          <w:i w:val="0"/>
        </w:rPr>
        <w:tab/>
        <w:t>(a)</w:t>
      </w:r>
      <w:r>
        <w:rPr>
          <w:rStyle w:val="charItals"/>
          <w:i w:val="0"/>
        </w:rPr>
        <w:tab/>
        <w:t>age and physique</w:t>
      </w:r>
      <w:r>
        <w:t>—</w:t>
      </w:r>
    </w:p>
    <w:p w:rsidR="00B40966" w:rsidRDefault="00B40966">
      <w:pPr>
        <w:pStyle w:val="Asubpara"/>
      </w:pPr>
      <w:r>
        <w:tab/>
        <w:t>(i)</w:t>
      </w:r>
      <w:r>
        <w:tab/>
        <w:t xml:space="preserve">the worker shall be well-developed and healthy but not above the average weight/height ratio; and </w:t>
      </w:r>
    </w:p>
    <w:p w:rsidR="00B40966" w:rsidRDefault="00B40966">
      <w:pPr>
        <w:pStyle w:val="Asubpara"/>
      </w:pPr>
      <w:r>
        <w:tab/>
        <w:t>(ii)</w:t>
      </w:r>
      <w:r>
        <w:tab/>
        <w:t>the worker shall be intelligent, active and have good sight and hearing; and</w:t>
      </w:r>
    </w:p>
    <w:p w:rsidR="00B40966" w:rsidRDefault="00B40966">
      <w:pPr>
        <w:pStyle w:val="Asubpara"/>
      </w:pPr>
      <w:r>
        <w:tab/>
        <w:t>(ii)</w:t>
      </w:r>
      <w:r>
        <w:tab/>
        <w:t>there shall be no marked development of adipose tissue nor evidence of premature senility.</w:t>
      </w:r>
    </w:p>
    <w:p w:rsidR="00B40966" w:rsidRDefault="00B40966">
      <w:pPr>
        <w:pStyle w:val="Apara"/>
      </w:pPr>
      <w:r>
        <w:rPr>
          <w:rStyle w:val="charItals"/>
          <w:i w:val="0"/>
        </w:rPr>
        <w:tab/>
        <w:t>(b)</w:t>
      </w:r>
      <w:r>
        <w:rPr>
          <w:rStyle w:val="charItals"/>
          <w:i w:val="0"/>
        </w:rPr>
        <w:tab/>
        <w:t>respiratory system</w:t>
      </w:r>
      <w:r>
        <w:t>—</w:t>
      </w:r>
    </w:p>
    <w:p w:rsidR="00B40966" w:rsidRDefault="00B40966">
      <w:pPr>
        <w:pStyle w:val="Asubpara"/>
      </w:pPr>
      <w:r>
        <w:tab/>
        <w:t>(i)</w:t>
      </w:r>
      <w:r>
        <w:tab/>
        <w:t>there shall be no disease of the respiratory system; or</w:t>
      </w:r>
    </w:p>
    <w:p w:rsidR="00B40966" w:rsidRDefault="00B40966">
      <w:pPr>
        <w:pStyle w:val="Asubpara"/>
      </w:pPr>
      <w:r>
        <w:tab/>
        <w:t>(ii)</w:t>
      </w:r>
      <w:r>
        <w:tab/>
        <w:t>there shall be no disease of the middle ear or blockage of the Eustachian tubes; or</w:t>
      </w:r>
    </w:p>
    <w:p w:rsidR="00B40966" w:rsidRDefault="00B40966">
      <w:pPr>
        <w:pStyle w:val="Asubpara"/>
      </w:pPr>
      <w:r>
        <w:tab/>
        <w:t>(ii)</w:t>
      </w:r>
      <w:r>
        <w:tab/>
        <w:t>there shall be no disease of the the pharynx or frontal sinuses.</w:t>
      </w:r>
    </w:p>
    <w:p w:rsidR="00B40966" w:rsidRDefault="00B40966">
      <w:pPr>
        <w:pStyle w:val="Apara"/>
      </w:pPr>
      <w:r>
        <w:rPr>
          <w:rStyle w:val="charItals"/>
          <w:i w:val="0"/>
        </w:rPr>
        <w:tab/>
        <w:t>(c)</w:t>
      </w:r>
      <w:r>
        <w:rPr>
          <w:rStyle w:val="charItals"/>
          <w:i w:val="0"/>
        </w:rPr>
        <w:tab/>
        <w:t>circulatory system</w:t>
      </w:r>
      <w:r>
        <w:t>—</w:t>
      </w:r>
    </w:p>
    <w:p w:rsidR="00B40966" w:rsidRDefault="00B40966">
      <w:pPr>
        <w:pStyle w:val="Asubpara"/>
      </w:pPr>
      <w:r>
        <w:tab/>
        <w:t>(i)</w:t>
      </w:r>
      <w:r>
        <w:tab/>
        <w:t>there shall be no evidence of disease of the heart or the blood vessels; and</w:t>
      </w:r>
    </w:p>
    <w:p w:rsidR="00B40966" w:rsidRDefault="00B40966">
      <w:pPr>
        <w:pStyle w:val="Asubpara"/>
      </w:pPr>
      <w:r>
        <w:tab/>
        <w:t>(ii)</w:t>
      </w:r>
      <w:r>
        <w:tab/>
        <w:t>the arteries shall not be thickened or the blood pressure above a figure normal for the age.</w:t>
      </w:r>
    </w:p>
    <w:p w:rsidR="00B40966" w:rsidRDefault="00B40966">
      <w:pPr>
        <w:pStyle w:val="Apara"/>
        <w:keepNext/>
      </w:pPr>
      <w:r>
        <w:rPr>
          <w:rStyle w:val="charItals"/>
          <w:i w:val="0"/>
        </w:rPr>
        <w:tab/>
        <w:t>(d)</w:t>
      </w:r>
      <w:r>
        <w:rPr>
          <w:rStyle w:val="charItals"/>
          <w:i w:val="0"/>
        </w:rPr>
        <w:tab/>
        <w:t>nervous system</w:t>
      </w:r>
      <w:r>
        <w:t>—</w:t>
      </w:r>
    </w:p>
    <w:p w:rsidR="00B40966" w:rsidRDefault="00B40966">
      <w:pPr>
        <w:pStyle w:val="Asubpara"/>
        <w:keepNext/>
      </w:pPr>
      <w:r>
        <w:tab/>
        <w:t>(i)</w:t>
      </w:r>
      <w:r>
        <w:tab/>
        <w:t>there shall be no disease of the nervous system or special senses; and</w:t>
      </w:r>
    </w:p>
    <w:p w:rsidR="00B40966" w:rsidRDefault="00B40966">
      <w:pPr>
        <w:pStyle w:val="Asubpara"/>
      </w:pPr>
      <w:r>
        <w:tab/>
        <w:t>(ii)</w:t>
      </w:r>
      <w:r>
        <w:tab/>
        <w:t>ther shall be no evidence of neurasthenia, neurosis or psychosis.</w:t>
      </w:r>
    </w:p>
    <w:p w:rsidR="00B40966" w:rsidRDefault="00B40966">
      <w:pPr>
        <w:pStyle w:val="Apara"/>
      </w:pPr>
      <w:r>
        <w:rPr>
          <w:rStyle w:val="charItals"/>
          <w:i w:val="0"/>
        </w:rPr>
        <w:tab/>
        <w:t>(e)</w:t>
      </w:r>
      <w:r>
        <w:rPr>
          <w:rStyle w:val="charItals"/>
          <w:i w:val="0"/>
        </w:rPr>
        <w:tab/>
        <w:t>renal system</w:t>
      </w:r>
      <w:r>
        <w:t>—</w:t>
      </w:r>
    </w:p>
    <w:p w:rsidR="00B40966" w:rsidRDefault="00B40966">
      <w:pPr>
        <w:pStyle w:val="Asubpara"/>
      </w:pPr>
      <w:r>
        <w:tab/>
        <w:t>(i)</w:t>
      </w:r>
      <w:r>
        <w:tab/>
        <w:t xml:space="preserve">there shall be no evidence of disease of the kidneys or bladder; and </w:t>
      </w:r>
    </w:p>
    <w:p w:rsidR="00B40966" w:rsidRDefault="00B40966">
      <w:pPr>
        <w:pStyle w:val="Asubpara"/>
      </w:pPr>
      <w:r>
        <w:tab/>
        <w:t>(ii)</w:t>
      </w:r>
      <w:r>
        <w:tab/>
        <w:t>there shall be no evidence of either albuminuria or glucosuria.</w:t>
      </w:r>
    </w:p>
    <w:p w:rsidR="00B40966" w:rsidRDefault="00B40966">
      <w:pPr>
        <w:pStyle w:val="PageBreak"/>
      </w:pPr>
      <w:r>
        <w:br w:type="page"/>
      </w:r>
    </w:p>
    <w:p w:rsidR="00B40966" w:rsidRDefault="00B40966">
      <w:pPr>
        <w:spacing w:before="120" w:after="120"/>
        <w:rPr>
          <w:rFonts w:ascii="Arial" w:hAnsi="Arial"/>
          <w:b/>
        </w:rPr>
      </w:pPr>
      <w:r>
        <w:rPr>
          <w:rFonts w:ascii="Arial" w:hAnsi="Arial"/>
          <w:b/>
        </w:rPr>
        <w:t>Examination report for compressed air workers</w:t>
      </w:r>
    </w:p>
    <w:p w:rsidR="00B40966" w:rsidRDefault="00B40966">
      <w:pPr>
        <w:spacing w:before="40" w:after="40"/>
      </w:pPr>
      <w:r>
        <w:t>Name of applicant…………………………………………age………….</w:t>
      </w:r>
    </w:p>
    <w:p w:rsidR="00B40966" w:rsidRDefault="00B40966">
      <w:pPr>
        <w:spacing w:before="40" w:after="40"/>
      </w:pPr>
      <w:r>
        <w:t>General physical condition……………………………………………….</w:t>
      </w:r>
    </w:p>
    <w:p w:rsidR="00B40966" w:rsidRDefault="00B40966">
      <w:pPr>
        <w:spacing w:before="40" w:after="40"/>
      </w:pPr>
      <w:r>
        <w:t>……………………………………………………………………………</w:t>
      </w:r>
    </w:p>
    <w:p w:rsidR="00B40966" w:rsidRDefault="00B40966">
      <w:pPr>
        <w:spacing w:before="40" w:after="40"/>
      </w:pPr>
      <w:r>
        <w:t>……………………………………………………………………………</w:t>
      </w:r>
    </w:p>
    <w:p w:rsidR="00B40966" w:rsidRDefault="00B40966">
      <w:pPr>
        <w:spacing w:before="40" w:after="40"/>
      </w:pPr>
      <w:r>
        <w:t>Respiratory system:</w:t>
      </w:r>
    </w:p>
    <w:p w:rsidR="00B40966" w:rsidRDefault="00B40966">
      <w:pPr>
        <w:spacing w:before="40" w:after="40"/>
      </w:pPr>
      <w:r>
        <w:tab/>
        <w:t>lungs……………………………………………………….……..</w:t>
      </w:r>
    </w:p>
    <w:p w:rsidR="00B40966" w:rsidRDefault="00B40966">
      <w:pPr>
        <w:spacing w:before="40" w:after="40"/>
      </w:pPr>
      <w:r>
        <w:tab/>
        <w:t>nose, ears, throat…………………………………………………</w:t>
      </w:r>
    </w:p>
    <w:p w:rsidR="00B40966" w:rsidRDefault="00B40966">
      <w:pPr>
        <w:spacing w:before="40" w:after="40"/>
      </w:pPr>
      <w:r>
        <w:tab/>
        <w:t>sinuses……………………………………………………………</w:t>
      </w:r>
    </w:p>
    <w:p w:rsidR="00B40966" w:rsidRDefault="00B40966">
      <w:pPr>
        <w:spacing w:before="40" w:after="40"/>
      </w:pPr>
      <w:r>
        <w:t>Circulatory system:</w:t>
      </w:r>
    </w:p>
    <w:p w:rsidR="00B40966" w:rsidRDefault="00B40966">
      <w:pPr>
        <w:spacing w:before="40" w:after="40"/>
      </w:pPr>
      <w:r>
        <w:tab/>
        <w:t>blood pressure……………………………………………………</w:t>
      </w:r>
    </w:p>
    <w:p w:rsidR="00B40966" w:rsidRDefault="00B40966">
      <w:pPr>
        <w:spacing w:before="40" w:after="40"/>
      </w:pPr>
      <w:r>
        <w:tab/>
        <w:t>heart………………………………………………………………</w:t>
      </w:r>
    </w:p>
    <w:p w:rsidR="00B40966" w:rsidRDefault="00B40966">
      <w:pPr>
        <w:spacing w:before="40" w:after="40"/>
      </w:pPr>
      <w:r>
        <w:t>Nervous system…………………………………………………………..</w:t>
      </w:r>
    </w:p>
    <w:p w:rsidR="00B40966" w:rsidRDefault="00B40966">
      <w:pPr>
        <w:spacing w:before="40" w:after="40"/>
      </w:pPr>
      <w:r>
        <w:t>Renal system……………………………………………………………...</w:t>
      </w:r>
    </w:p>
    <w:p w:rsidR="00B40966" w:rsidRDefault="00B40966">
      <w:pPr>
        <w:pStyle w:val="Formula"/>
      </w:pPr>
      <w:r>
        <w:t>Urine:</w:t>
      </w:r>
      <w:r>
        <w:tab/>
      </w:r>
      <w:r>
        <w:rPr>
          <w:position w:val="-30"/>
        </w:rPr>
        <w:object w:dxaOrig="6020" w:dyaOrig="740">
          <v:shape id="_x0000_i1056" type="#_x0000_t75" style="width:300.75pt;height:36.75pt" o:ole="" fillcolor="window">
            <v:imagedata r:id="rId193" o:title=""/>
          </v:shape>
          <o:OLEObject Type="Embed" ProgID="Equation.2" ShapeID="_x0000_i1056" DrawAspect="Content" ObjectID="_1595937073" r:id="rId194"/>
        </w:object>
      </w:r>
    </w:p>
    <w:p w:rsidR="00B40966" w:rsidRDefault="00B40966">
      <w:r>
        <w:t>Result of chest X-ray examination……...………………………………..</w:t>
      </w:r>
    </w:p>
    <w:p w:rsidR="00B40966" w:rsidRDefault="00B40966">
      <w:r>
        <w:t>……………………………………………………………………………</w:t>
      </w:r>
    </w:p>
    <w:p w:rsidR="00B40966" w:rsidRDefault="00B40966"/>
    <w:p w:rsidR="00B40966" w:rsidRDefault="00B40966">
      <w:r>
        <w:t>I certify that I have carefully examined…………………………………..</w:t>
      </w:r>
    </w:p>
    <w:p w:rsidR="00B40966" w:rsidRDefault="00B40966">
      <w:r>
        <w:t>and consider that he/she is fit/not fit to work under compressed air conditions.</w:t>
      </w:r>
    </w:p>
    <w:p w:rsidR="00B40966" w:rsidRDefault="00B40966"/>
    <w:p w:rsidR="00B40966" w:rsidRDefault="00B40966">
      <w:r>
        <w:t>(In the event of an unfavourable opinion, please state reasons.)</w:t>
      </w:r>
    </w:p>
    <w:p w:rsidR="00B40966" w:rsidRDefault="00B40966">
      <w:r>
        <w:t>…………………………………………………………………………….</w:t>
      </w:r>
    </w:p>
    <w:p w:rsidR="00B40966" w:rsidRDefault="00B40966">
      <w:r>
        <w:t>…………………………………………………………………………….</w:t>
      </w:r>
    </w:p>
    <w:p w:rsidR="00B40966" w:rsidRDefault="00B40966">
      <w:r>
        <w:t>Signature of medical officer</w:t>
      </w:r>
    </w:p>
    <w:p w:rsidR="00B40966" w:rsidRDefault="00B40966"/>
    <w:p w:rsidR="00B40966" w:rsidRDefault="00B40966">
      <w:r>
        <w:t>……………………………..</w:t>
      </w:r>
    </w:p>
    <w:p w:rsidR="00B40966" w:rsidRDefault="00B40966">
      <w:r>
        <w:t>Dated:</w:t>
      </w:r>
    </w:p>
    <w:p w:rsidR="00B40966" w:rsidRDefault="00B40966">
      <w:pPr>
        <w:pStyle w:val="03Schedule"/>
        <w:sectPr w:rsidR="00B40966">
          <w:headerReference w:type="even" r:id="rId195"/>
          <w:headerReference w:type="default" r:id="rId196"/>
          <w:footerReference w:type="even" r:id="rId197"/>
          <w:footerReference w:type="default" r:id="rId198"/>
          <w:type w:val="continuous"/>
          <w:pgSz w:w="11907" w:h="16839" w:code="9"/>
          <w:pgMar w:top="3000" w:right="1900" w:bottom="2500" w:left="2300" w:header="2480" w:footer="2100" w:gutter="0"/>
          <w:cols w:space="720"/>
        </w:sectPr>
      </w:pPr>
    </w:p>
    <w:p w:rsidR="00B40966" w:rsidRDefault="00B40966">
      <w:pPr>
        <w:pStyle w:val="PageBreak"/>
      </w:pPr>
      <w:r>
        <w:br w:type="page"/>
      </w:r>
    </w:p>
    <w:p w:rsidR="00B40966" w:rsidRDefault="00B40966">
      <w:pPr>
        <w:pStyle w:val="Sched-heading"/>
      </w:pPr>
      <w:bookmarkStart w:id="323" w:name="_Toc87258158"/>
      <w:r>
        <w:rPr>
          <w:rStyle w:val="CharChapNo"/>
        </w:rPr>
        <w:t>Schedule 9</w:t>
      </w:r>
      <w:r>
        <w:tab/>
      </w:r>
      <w:r>
        <w:rPr>
          <w:rStyle w:val="CharChapText"/>
        </w:rPr>
        <w:t>Symptoms and treatment of compressed air illness</w:t>
      </w:r>
      <w:bookmarkEnd w:id="323"/>
    </w:p>
    <w:p w:rsidR="00B40966" w:rsidRDefault="00B40966">
      <w:pPr>
        <w:pStyle w:val="Assectheading"/>
        <w:rPr>
          <w:i w:val="0"/>
        </w:rPr>
      </w:pPr>
      <w:r>
        <w:rPr>
          <w:rStyle w:val="charItals"/>
          <w:i/>
        </w:rPr>
        <w:t>Symptoms of compressed air illness</w:t>
      </w:r>
    </w:p>
    <w:p w:rsidR="00B40966" w:rsidRDefault="00B40966">
      <w:pPr>
        <w:pStyle w:val="Amain"/>
      </w:pPr>
      <w:r>
        <w:tab/>
        <w:t>1</w:t>
      </w:r>
      <w:r>
        <w:tab/>
        <w:t>The symptoms of compressed air illness are due to the liberation of bubbles of nitrogen in the blood or tissues and usually occur after the return of a person to normal air pressure.</w:t>
      </w:r>
    </w:p>
    <w:p w:rsidR="00B40966" w:rsidRDefault="00B40966">
      <w:pPr>
        <w:pStyle w:val="Amain"/>
      </w:pPr>
      <w:r>
        <w:tab/>
        <w:t>2</w:t>
      </w:r>
      <w:r>
        <w:tab/>
        <w:t>The time of onset is generally a few minutes after decompression has been completed, but may be delayed as much as 4 hours, occasionally a case may occur during decompression.</w:t>
      </w:r>
    </w:p>
    <w:p w:rsidR="00B40966" w:rsidRDefault="00B40966">
      <w:pPr>
        <w:pStyle w:val="Assectheading"/>
        <w:rPr>
          <w:i w:val="0"/>
        </w:rPr>
      </w:pPr>
      <w:r>
        <w:rPr>
          <w:rStyle w:val="charItals"/>
          <w:i/>
        </w:rPr>
        <w:t>Forms of compressed air illness</w:t>
      </w:r>
    </w:p>
    <w:p w:rsidR="00B40966" w:rsidRDefault="00B40966">
      <w:pPr>
        <w:pStyle w:val="Amain"/>
      </w:pPr>
      <w:r>
        <w:tab/>
        <w:t>3</w:t>
      </w:r>
      <w:r>
        <w:tab/>
        <w:t>The different forms that compressed air illness may assume are very numerous, and any illness or unusual symptoms after compression should be investigated at once with a view to eliminating compressed air illness.</w:t>
      </w:r>
    </w:p>
    <w:p w:rsidR="00B40966" w:rsidRDefault="00B40966">
      <w:pPr>
        <w:pStyle w:val="Amain"/>
      </w:pPr>
      <w:r>
        <w:tab/>
        <w:t>4</w:t>
      </w:r>
      <w:r>
        <w:tab/>
        <w:t>If any doubt exists, it is wise to place the person concerned under a small pressure to ascertain if there is any alleviation of the symptoms.</w:t>
      </w:r>
    </w:p>
    <w:p w:rsidR="00B40966" w:rsidRDefault="00B40966">
      <w:pPr>
        <w:pStyle w:val="Amain"/>
      </w:pPr>
      <w:r>
        <w:tab/>
        <w:t>5</w:t>
      </w:r>
      <w:r>
        <w:tab/>
        <w:t>The following forms of compressed air illness are most commonly encountered:</w:t>
      </w:r>
    </w:p>
    <w:p w:rsidR="00B40966" w:rsidRDefault="00B40966">
      <w:pPr>
        <w:pStyle w:val="Apara"/>
      </w:pPr>
      <w:r>
        <w:tab/>
        <w:t>(1)</w:t>
      </w:r>
      <w:r>
        <w:tab/>
        <w:t>‘Bends’ are the most common form of compressed air illness.  These are painful and sometimes acute manifestations of the illness that affect 1 or more limbs.  They are not dangerous unless both arms or legs are effected, that may indicate a bubble in the spinal cord.  Bends are most likely to occur in muscles that have been the hardest worked.  The pain begins gradually, but may rapidly assume a very painful climax which, unless relieved by recompression, may be sufficiently severe to make the person cry out.  Any symptom of a ‘bend’ should be treated by recompression at the earliest possible moment.  The longer recompression is delayed the more difficult will be the cure.</w:t>
      </w:r>
    </w:p>
    <w:p w:rsidR="00B40966" w:rsidRDefault="00B40966">
      <w:pPr>
        <w:pStyle w:val="Apara"/>
      </w:pPr>
      <w:r>
        <w:tab/>
        <w:t>(2)</w:t>
      </w:r>
      <w:r>
        <w:tab/>
        <w:t>Severe pains in the chest or abdomen.  The pain in the chest may be accompanied by short, quick, gasping breathing, and the pain in the abdomen may lead to vomiting.</w:t>
      </w:r>
    </w:p>
    <w:p w:rsidR="00B40966" w:rsidRDefault="00B40966">
      <w:pPr>
        <w:pStyle w:val="Apara"/>
      </w:pPr>
      <w:r>
        <w:tab/>
        <w:t>(3)</w:t>
      </w:r>
      <w:r>
        <w:tab/>
        <w:t>Paralysis of the legs and arms.  This is a very serious symptom, and unless relieved may lead to permanent loss of use of the limbs.</w:t>
      </w:r>
    </w:p>
    <w:p w:rsidR="00B40966" w:rsidRDefault="00B40966">
      <w:pPr>
        <w:pStyle w:val="Apara"/>
      </w:pPr>
      <w:r>
        <w:tab/>
        <w:t>(4)</w:t>
      </w:r>
      <w:r>
        <w:tab/>
        <w:t>Other forms are faintness or unconsciousness, jerky movements of the eye or loss of sight, deafness, swelling of the body, loss of speech.  These forms are less common.</w:t>
      </w:r>
    </w:p>
    <w:p w:rsidR="00B40966" w:rsidRDefault="00B40966">
      <w:pPr>
        <w:pStyle w:val="Assectheading"/>
      </w:pPr>
      <w:r>
        <w:rPr>
          <w:rStyle w:val="charItals"/>
          <w:i/>
        </w:rPr>
        <w:t>Symptoms to be reported</w:t>
      </w:r>
    </w:p>
    <w:p w:rsidR="00B40966" w:rsidRDefault="00B40966">
      <w:pPr>
        <w:pStyle w:val="Amain"/>
      </w:pPr>
      <w:r>
        <w:tab/>
        <w:t>6</w:t>
      </w:r>
      <w:r>
        <w:tab/>
        <w:t>Any attack of ‘bends’, giddiness, vomiting or difficulty in breathing, disease of the heart, lungs, kidneys, genital organs, a chill, or any other disease that may come on a compressed air worker during or subsequent to work may have the most serious consequences to the worker’s health.</w:t>
      </w:r>
    </w:p>
    <w:p w:rsidR="00B40966" w:rsidRDefault="00B40966">
      <w:pPr>
        <w:pStyle w:val="Amain"/>
      </w:pPr>
      <w:r>
        <w:tab/>
        <w:t>7</w:t>
      </w:r>
      <w:r>
        <w:tab/>
        <w:t>Therefore, immediately on noticing the indisposition, the worker must report it to the medical officer or to a medical orderly, or failing either, to the contractor or a responsible representative of the contractor.</w:t>
      </w:r>
    </w:p>
    <w:p w:rsidR="00B40966" w:rsidRDefault="00B40966">
      <w:pPr>
        <w:pStyle w:val="Assectheading"/>
      </w:pPr>
      <w:r>
        <w:rPr>
          <w:rStyle w:val="charItals"/>
          <w:i/>
        </w:rPr>
        <w:t>Treatment of compressed air illness</w:t>
      </w:r>
    </w:p>
    <w:p w:rsidR="00B40966" w:rsidRDefault="00B40966">
      <w:pPr>
        <w:pStyle w:val="Amain"/>
      </w:pPr>
      <w:r>
        <w:tab/>
        <w:t>8</w:t>
      </w:r>
      <w:r>
        <w:tab/>
        <w:t>The cure for compressed air illness is immediate and adequate recompression, which causes diminution in the size and final disappearance of the bubble of gas that produced the symptom.</w:t>
      </w:r>
    </w:p>
    <w:p w:rsidR="00B40966" w:rsidRDefault="00B40966">
      <w:pPr>
        <w:pStyle w:val="03Schedule"/>
        <w:sectPr w:rsidR="00B40966">
          <w:headerReference w:type="even" r:id="rId199"/>
          <w:headerReference w:type="default" r:id="rId200"/>
          <w:footerReference w:type="even" r:id="rId201"/>
          <w:footerReference w:type="default" r:id="rId202"/>
          <w:type w:val="continuous"/>
          <w:pgSz w:w="11907" w:h="16839" w:code="9"/>
          <w:pgMar w:top="3000" w:right="1900" w:bottom="2500" w:left="2300" w:header="2480" w:footer="2100" w:gutter="0"/>
          <w:cols w:space="720"/>
        </w:sectPr>
      </w:pPr>
    </w:p>
    <w:p w:rsidR="00B40966" w:rsidRDefault="00B40966">
      <w:pPr>
        <w:pStyle w:val="Endnote1"/>
      </w:pPr>
      <w:bookmarkStart w:id="324" w:name="_Toc87258159"/>
      <w:r>
        <w:t>Endnotes</w:t>
      </w:r>
      <w:bookmarkEnd w:id="324"/>
    </w:p>
    <w:p w:rsidR="00B40966" w:rsidRDefault="00B40966">
      <w:pPr>
        <w:pStyle w:val="Endnote2"/>
      </w:pPr>
      <w:bookmarkStart w:id="325" w:name="_Toc87258160"/>
      <w:r>
        <w:rPr>
          <w:rStyle w:val="charTableNo"/>
        </w:rPr>
        <w:t>1</w:t>
      </w:r>
      <w:r>
        <w:tab/>
      </w:r>
      <w:r>
        <w:rPr>
          <w:rStyle w:val="charTableText"/>
        </w:rPr>
        <w:t>About the endnotes</w:t>
      </w:r>
      <w:bookmarkEnd w:id="325"/>
    </w:p>
    <w:p w:rsidR="00B40966" w:rsidRDefault="00B40966">
      <w:pPr>
        <w:pStyle w:val="EndNoteTextPub"/>
      </w:pPr>
      <w:r>
        <w:t>Amending and modifying laws are annotated in the legislation history and the amendment history.  Current modifications are not included in the republished law but are set out in the endnotes.</w:t>
      </w:r>
    </w:p>
    <w:p w:rsidR="00B40966" w:rsidRDefault="00B40966">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B40966" w:rsidRDefault="00B40966">
      <w:pPr>
        <w:pStyle w:val="EndNoteTextPub"/>
      </w:pPr>
      <w:r>
        <w:t>Uncommenced amending laws and expiries are listed in the legislation history and the amendment history.  These details are underlined.  Uncommenced provisions and amendments are not included in the republished law but are set out in the last endnote.</w:t>
      </w:r>
    </w:p>
    <w:p w:rsidR="00B40966" w:rsidRDefault="00B40966">
      <w:pPr>
        <w:pStyle w:val="EndNoteTextPub"/>
      </w:pPr>
      <w:r>
        <w:t xml:space="preserve">If all the provisions of the law have been renumbered, a table of renumbered provisions gives details of previous and current numbering.  </w:t>
      </w:r>
    </w:p>
    <w:p w:rsidR="00B40966" w:rsidRDefault="00B40966">
      <w:pPr>
        <w:pStyle w:val="EndNoteTextPub"/>
      </w:pPr>
      <w:r>
        <w:t>The endnotes also include a table of earlier republications.</w:t>
      </w:r>
    </w:p>
    <w:p w:rsidR="00B40966" w:rsidRDefault="00B40966">
      <w:pPr>
        <w:pStyle w:val="Endnote2"/>
      </w:pPr>
      <w:bookmarkStart w:id="326" w:name="_Toc87258161"/>
      <w:r>
        <w:rPr>
          <w:rStyle w:val="charTableNo"/>
        </w:rPr>
        <w:t>2</w:t>
      </w:r>
      <w:r>
        <w:tab/>
      </w:r>
      <w:r>
        <w:rPr>
          <w:rStyle w:val="charTableText"/>
        </w:rPr>
        <w:t>Abbreviation key</w:t>
      </w:r>
      <w:bookmarkEnd w:id="326"/>
    </w:p>
    <w:p w:rsidR="00B40966" w:rsidRDefault="00B40966">
      <w:pPr>
        <w:rPr>
          <w:sz w:val="4"/>
        </w:rPr>
      </w:pPr>
    </w:p>
    <w:tbl>
      <w:tblPr>
        <w:tblW w:w="7056" w:type="dxa"/>
        <w:tblInd w:w="1100" w:type="dxa"/>
        <w:tblLayout w:type="fixed"/>
        <w:tblLook w:val="0000" w:firstRow="0" w:lastRow="0" w:firstColumn="0" w:lastColumn="0" w:noHBand="0" w:noVBand="0"/>
      </w:tblPr>
      <w:tblGrid>
        <w:gridCol w:w="3720"/>
        <w:gridCol w:w="3336"/>
      </w:tblGrid>
      <w:tr w:rsidR="00B40966">
        <w:tc>
          <w:tcPr>
            <w:tcW w:w="3720" w:type="dxa"/>
          </w:tcPr>
          <w:p w:rsidR="00B40966" w:rsidRDefault="00B40966">
            <w:pPr>
              <w:pStyle w:val="EndnotesAbbrev"/>
            </w:pPr>
            <w:r>
              <w:t>am = amended</w:t>
            </w:r>
          </w:p>
        </w:tc>
        <w:tc>
          <w:tcPr>
            <w:tcW w:w="3336" w:type="dxa"/>
          </w:tcPr>
          <w:p w:rsidR="00B40966" w:rsidRDefault="00B40966">
            <w:pPr>
              <w:pStyle w:val="EndnotesAbbrev"/>
            </w:pPr>
            <w:r>
              <w:t>ord = ordinance</w:t>
            </w:r>
          </w:p>
        </w:tc>
      </w:tr>
      <w:tr w:rsidR="00B40966">
        <w:tc>
          <w:tcPr>
            <w:tcW w:w="3720" w:type="dxa"/>
          </w:tcPr>
          <w:p w:rsidR="00B40966" w:rsidRDefault="00B40966">
            <w:pPr>
              <w:pStyle w:val="EndnotesAbbrev"/>
            </w:pPr>
            <w:r>
              <w:t>amdt = amendment</w:t>
            </w:r>
          </w:p>
        </w:tc>
        <w:tc>
          <w:tcPr>
            <w:tcW w:w="3336" w:type="dxa"/>
          </w:tcPr>
          <w:p w:rsidR="00B40966" w:rsidRDefault="00B40966">
            <w:pPr>
              <w:pStyle w:val="EndnotesAbbrev"/>
            </w:pPr>
            <w:r>
              <w:t>orig = original</w:t>
            </w:r>
          </w:p>
        </w:tc>
      </w:tr>
      <w:tr w:rsidR="00B40966">
        <w:tc>
          <w:tcPr>
            <w:tcW w:w="3720" w:type="dxa"/>
          </w:tcPr>
          <w:p w:rsidR="00B40966" w:rsidRDefault="00B40966">
            <w:pPr>
              <w:pStyle w:val="EndnotesAbbrev"/>
            </w:pPr>
            <w:r>
              <w:t>ch = chapter</w:t>
            </w:r>
          </w:p>
        </w:tc>
        <w:tc>
          <w:tcPr>
            <w:tcW w:w="3336" w:type="dxa"/>
          </w:tcPr>
          <w:p w:rsidR="00B40966" w:rsidRDefault="00B40966">
            <w:pPr>
              <w:pStyle w:val="EndnotesAbbrev"/>
            </w:pPr>
            <w:r>
              <w:t>par = paragraph/subparagraph</w:t>
            </w:r>
          </w:p>
        </w:tc>
      </w:tr>
      <w:tr w:rsidR="00B40966">
        <w:tc>
          <w:tcPr>
            <w:tcW w:w="3720" w:type="dxa"/>
          </w:tcPr>
          <w:p w:rsidR="00B40966" w:rsidRDefault="00B40966">
            <w:pPr>
              <w:pStyle w:val="EndnotesAbbrev"/>
            </w:pPr>
            <w:r>
              <w:t>def = definition</w:t>
            </w:r>
          </w:p>
        </w:tc>
        <w:tc>
          <w:tcPr>
            <w:tcW w:w="3336" w:type="dxa"/>
          </w:tcPr>
          <w:p w:rsidR="00B40966" w:rsidRDefault="00B40966">
            <w:pPr>
              <w:pStyle w:val="EndnotesAbbrev"/>
            </w:pPr>
            <w:r>
              <w:t>pres = present</w:t>
            </w:r>
          </w:p>
        </w:tc>
      </w:tr>
      <w:tr w:rsidR="00B40966">
        <w:tc>
          <w:tcPr>
            <w:tcW w:w="3720" w:type="dxa"/>
          </w:tcPr>
          <w:p w:rsidR="00B40966" w:rsidRDefault="00B40966">
            <w:pPr>
              <w:pStyle w:val="EndnotesAbbrev"/>
            </w:pPr>
            <w:r>
              <w:t>dict = dictionary</w:t>
            </w:r>
          </w:p>
        </w:tc>
        <w:tc>
          <w:tcPr>
            <w:tcW w:w="3336" w:type="dxa"/>
          </w:tcPr>
          <w:p w:rsidR="00B40966" w:rsidRDefault="00B40966">
            <w:pPr>
              <w:pStyle w:val="EndnotesAbbrev"/>
            </w:pPr>
            <w:r>
              <w:t>prev = previous</w:t>
            </w:r>
          </w:p>
        </w:tc>
      </w:tr>
      <w:tr w:rsidR="00B40966">
        <w:tc>
          <w:tcPr>
            <w:tcW w:w="3720" w:type="dxa"/>
          </w:tcPr>
          <w:p w:rsidR="00B40966" w:rsidRDefault="00B40966">
            <w:pPr>
              <w:pStyle w:val="EndnotesAbbrev"/>
            </w:pPr>
            <w:r>
              <w:t xml:space="preserve">disallowed = disallowed by the Legislative </w:t>
            </w:r>
          </w:p>
        </w:tc>
        <w:tc>
          <w:tcPr>
            <w:tcW w:w="3336" w:type="dxa"/>
          </w:tcPr>
          <w:p w:rsidR="00B40966" w:rsidRDefault="00B40966">
            <w:pPr>
              <w:pStyle w:val="EndnotesAbbrev"/>
            </w:pPr>
            <w:r>
              <w:t>(prev...) = previously</w:t>
            </w:r>
          </w:p>
        </w:tc>
      </w:tr>
      <w:tr w:rsidR="00B40966">
        <w:tc>
          <w:tcPr>
            <w:tcW w:w="3720" w:type="dxa"/>
          </w:tcPr>
          <w:p w:rsidR="00B40966" w:rsidRDefault="00B40966">
            <w:pPr>
              <w:pStyle w:val="EndnotesAbbrev"/>
              <w:ind w:left="972"/>
            </w:pPr>
            <w:r>
              <w:t>Assembly</w:t>
            </w:r>
          </w:p>
        </w:tc>
        <w:tc>
          <w:tcPr>
            <w:tcW w:w="3336" w:type="dxa"/>
          </w:tcPr>
          <w:p w:rsidR="00B40966" w:rsidRDefault="00B40966">
            <w:pPr>
              <w:pStyle w:val="EndnotesAbbrev"/>
            </w:pPr>
            <w:r>
              <w:t>pt = part</w:t>
            </w:r>
          </w:p>
        </w:tc>
      </w:tr>
      <w:tr w:rsidR="00B40966">
        <w:tc>
          <w:tcPr>
            <w:tcW w:w="3720" w:type="dxa"/>
          </w:tcPr>
          <w:p w:rsidR="00B40966" w:rsidRDefault="00B40966">
            <w:pPr>
              <w:pStyle w:val="EndnotesAbbrev"/>
            </w:pPr>
            <w:r>
              <w:t>div = division</w:t>
            </w:r>
          </w:p>
        </w:tc>
        <w:tc>
          <w:tcPr>
            <w:tcW w:w="3336" w:type="dxa"/>
          </w:tcPr>
          <w:p w:rsidR="00B40966" w:rsidRDefault="00B40966">
            <w:pPr>
              <w:pStyle w:val="EndnotesAbbrev"/>
            </w:pPr>
            <w:r>
              <w:t>r = rule/subrule</w:t>
            </w:r>
          </w:p>
        </w:tc>
      </w:tr>
      <w:tr w:rsidR="00B40966">
        <w:tc>
          <w:tcPr>
            <w:tcW w:w="3720" w:type="dxa"/>
          </w:tcPr>
          <w:p w:rsidR="00B40966" w:rsidRDefault="00B40966">
            <w:pPr>
              <w:pStyle w:val="EndnotesAbbrev"/>
            </w:pPr>
            <w:r>
              <w:t>exp = expires/expired</w:t>
            </w:r>
          </w:p>
        </w:tc>
        <w:tc>
          <w:tcPr>
            <w:tcW w:w="3336" w:type="dxa"/>
          </w:tcPr>
          <w:p w:rsidR="00B40966" w:rsidRDefault="00B40966">
            <w:pPr>
              <w:pStyle w:val="EndnotesAbbrev"/>
            </w:pPr>
            <w:r>
              <w:t>renum = renumbered</w:t>
            </w:r>
          </w:p>
        </w:tc>
      </w:tr>
      <w:tr w:rsidR="00B40966">
        <w:tc>
          <w:tcPr>
            <w:tcW w:w="3720" w:type="dxa"/>
          </w:tcPr>
          <w:p w:rsidR="00B40966" w:rsidRDefault="00B40966">
            <w:pPr>
              <w:pStyle w:val="EndnotesAbbrev"/>
            </w:pPr>
            <w:r>
              <w:t>Gaz = gazette</w:t>
            </w:r>
          </w:p>
        </w:tc>
        <w:tc>
          <w:tcPr>
            <w:tcW w:w="3336" w:type="dxa"/>
          </w:tcPr>
          <w:p w:rsidR="00B40966" w:rsidRDefault="00B40966">
            <w:pPr>
              <w:pStyle w:val="EndnotesAbbrev"/>
            </w:pPr>
            <w:r>
              <w:t>reloc = relocated</w:t>
            </w:r>
          </w:p>
        </w:tc>
      </w:tr>
      <w:tr w:rsidR="00B40966">
        <w:tc>
          <w:tcPr>
            <w:tcW w:w="3720" w:type="dxa"/>
          </w:tcPr>
          <w:p w:rsidR="00B40966" w:rsidRDefault="00B40966">
            <w:pPr>
              <w:pStyle w:val="EndnotesAbbrev"/>
            </w:pPr>
            <w:r>
              <w:t>hdg = heading</w:t>
            </w:r>
          </w:p>
        </w:tc>
        <w:tc>
          <w:tcPr>
            <w:tcW w:w="3336" w:type="dxa"/>
          </w:tcPr>
          <w:p w:rsidR="00B40966" w:rsidRDefault="00B40966">
            <w:pPr>
              <w:pStyle w:val="EndnotesAbbrev"/>
            </w:pPr>
            <w:r>
              <w:t>R[X] = Republication No</w:t>
            </w:r>
          </w:p>
        </w:tc>
      </w:tr>
      <w:tr w:rsidR="00B40966">
        <w:tc>
          <w:tcPr>
            <w:tcW w:w="3720" w:type="dxa"/>
          </w:tcPr>
          <w:p w:rsidR="00B40966" w:rsidRDefault="00B40966">
            <w:pPr>
              <w:pStyle w:val="EndnotesAbbrev"/>
            </w:pPr>
            <w:r>
              <w:t>IA = Interpretation Act 1967</w:t>
            </w:r>
          </w:p>
        </w:tc>
        <w:tc>
          <w:tcPr>
            <w:tcW w:w="3336" w:type="dxa"/>
          </w:tcPr>
          <w:p w:rsidR="00B40966" w:rsidRDefault="00B40966">
            <w:pPr>
              <w:pStyle w:val="EndnotesAbbrev"/>
            </w:pPr>
            <w:r>
              <w:t>RI = reissue</w:t>
            </w:r>
          </w:p>
        </w:tc>
      </w:tr>
      <w:tr w:rsidR="00B40966">
        <w:tc>
          <w:tcPr>
            <w:tcW w:w="3720" w:type="dxa"/>
          </w:tcPr>
          <w:p w:rsidR="00B40966" w:rsidRDefault="00B40966">
            <w:pPr>
              <w:pStyle w:val="EndnotesAbbrev"/>
            </w:pPr>
            <w:r>
              <w:t>ins = inserted/added</w:t>
            </w:r>
          </w:p>
        </w:tc>
        <w:tc>
          <w:tcPr>
            <w:tcW w:w="3336" w:type="dxa"/>
          </w:tcPr>
          <w:p w:rsidR="00B40966" w:rsidRDefault="00B40966">
            <w:pPr>
              <w:pStyle w:val="EndnotesAbbrev"/>
            </w:pPr>
            <w:r>
              <w:t>s = section/subsection</w:t>
            </w:r>
          </w:p>
        </w:tc>
      </w:tr>
      <w:tr w:rsidR="00B40966">
        <w:tc>
          <w:tcPr>
            <w:tcW w:w="3720" w:type="dxa"/>
          </w:tcPr>
          <w:p w:rsidR="00B40966" w:rsidRDefault="00B40966">
            <w:pPr>
              <w:pStyle w:val="EndnotesAbbrev"/>
            </w:pPr>
            <w:r>
              <w:t>LA = Legislation Act 2001</w:t>
            </w:r>
          </w:p>
        </w:tc>
        <w:tc>
          <w:tcPr>
            <w:tcW w:w="3336" w:type="dxa"/>
          </w:tcPr>
          <w:p w:rsidR="00B40966" w:rsidRDefault="00B40966">
            <w:pPr>
              <w:pStyle w:val="EndnotesAbbrev"/>
            </w:pPr>
            <w:r>
              <w:t>sch = schedule</w:t>
            </w:r>
          </w:p>
        </w:tc>
      </w:tr>
      <w:tr w:rsidR="00B40966">
        <w:tc>
          <w:tcPr>
            <w:tcW w:w="3720" w:type="dxa"/>
          </w:tcPr>
          <w:p w:rsidR="00B40966" w:rsidRDefault="00B40966">
            <w:pPr>
              <w:pStyle w:val="EndnotesAbbrev"/>
            </w:pPr>
            <w:r>
              <w:t>LR = legislation register</w:t>
            </w:r>
          </w:p>
        </w:tc>
        <w:tc>
          <w:tcPr>
            <w:tcW w:w="3336" w:type="dxa"/>
          </w:tcPr>
          <w:p w:rsidR="00B40966" w:rsidRDefault="00B40966">
            <w:pPr>
              <w:pStyle w:val="EndnotesAbbrev"/>
            </w:pPr>
            <w:r>
              <w:t>sdiv = subdivision</w:t>
            </w:r>
          </w:p>
        </w:tc>
      </w:tr>
      <w:tr w:rsidR="00B40966">
        <w:tc>
          <w:tcPr>
            <w:tcW w:w="3720" w:type="dxa"/>
          </w:tcPr>
          <w:p w:rsidR="00B40966" w:rsidRDefault="00B40966">
            <w:pPr>
              <w:pStyle w:val="EndnotesAbbrev"/>
            </w:pPr>
            <w:r>
              <w:t>LRA = Legislation (Republication) Act 1996</w:t>
            </w:r>
          </w:p>
        </w:tc>
        <w:tc>
          <w:tcPr>
            <w:tcW w:w="3336" w:type="dxa"/>
          </w:tcPr>
          <w:p w:rsidR="00B40966" w:rsidRDefault="00B40966">
            <w:pPr>
              <w:pStyle w:val="EndnotesAbbrev"/>
            </w:pPr>
            <w:r>
              <w:t>sub = substituted</w:t>
            </w:r>
          </w:p>
        </w:tc>
      </w:tr>
      <w:tr w:rsidR="00B40966">
        <w:tc>
          <w:tcPr>
            <w:tcW w:w="3720" w:type="dxa"/>
          </w:tcPr>
          <w:p w:rsidR="00B40966" w:rsidRDefault="00B40966">
            <w:pPr>
              <w:pStyle w:val="EndnotesAbbrev"/>
            </w:pPr>
            <w:r>
              <w:t>mod = modified/modification</w:t>
            </w:r>
          </w:p>
        </w:tc>
        <w:tc>
          <w:tcPr>
            <w:tcW w:w="3336" w:type="dxa"/>
          </w:tcPr>
          <w:p w:rsidR="00B40966" w:rsidRDefault="00B40966">
            <w:pPr>
              <w:pStyle w:val="EndnotesAbbrev"/>
            </w:pPr>
            <w:r>
              <w:t>SL = Subordinate Law</w:t>
            </w:r>
          </w:p>
        </w:tc>
      </w:tr>
      <w:tr w:rsidR="00B40966">
        <w:tc>
          <w:tcPr>
            <w:tcW w:w="3720" w:type="dxa"/>
          </w:tcPr>
          <w:p w:rsidR="00B40966" w:rsidRDefault="00B40966">
            <w:pPr>
              <w:pStyle w:val="EndnotesAbbrev"/>
            </w:pPr>
            <w:r>
              <w:t>o = order</w:t>
            </w:r>
          </w:p>
        </w:tc>
        <w:tc>
          <w:tcPr>
            <w:tcW w:w="3336" w:type="dxa"/>
          </w:tcPr>
          <w:p w:rsidR="00B40966" w:rsidRDefault="00B40966">
            <w:pPr>
              <w:pStyle w:val="EndnotesAbbrev"/>
            </w:pPr>
            <w:r>
              <w:rPr>
                <w:u w:val="single"/>
              </w:rPr>
              <w:t>underlining</w:t>
            </w:r>
            <w:r>
              <w:t xml:space="preserve"> = whole or part not commenced</w:t>
            </w:r>
          </w:p>
        </w:tc>
      </w:tr>
      <w:tr w:rsidR="00B40966">
        <w:tc>
          <w:tcPr>
            <w:tcW w:w="3720" w:type="dxa"/>
          </w:tcPr>
          <w:p w:rsidR="00B40966" w:rsidRDefault="00B40966">
            <w:pPr>
              <w:pStyle w:val="EndnotesAbbrev"/>
            </w:pPr>
            <w:r>
              <w:t>om = omitted/repealed</w:t>
            </w:r>
          </w:p>
        </w:tc>
        <w:tc>
          <w:tcPr>
            <w:tcW w:w="3336" w:type="dxa"/>
          </w:tcPr>
          <w:p w:rsidR="00B40966" w:rsidRDefault="00B40966">
            <w:pPr>
              <w:pStyle w:val="EndnotesAbbrev"/>
              <w:ind w:left="972"/>
            </w:pPr>
            <w:r>
              <w:t>or to be expired</w:t>
            </w:r>
          </w:p>
        </w:tc>
      </w:tr>
    </w:tbl>
    <w:p w:rsidR="00B40966" w:rsidRDefault="00B40966">
      <w:pPr>
        <w:pStyle w:val="Endnote2"/>
      </w:pPr>
      <w:bookmarkStart w:id="327" w:name="_Toc87258162"/>
      <w:r>
        <w:rPr>
          <w:rStyle w:val="charTableNo"/>
        </w:rPr>
        <w:t>3</w:t>
      </w:r>
      <w:r>
        <w:tab/>
      </w:r>
      <w:r>
        <w:rPr>
          <w:rStyle w:val="charTableText"/>
        </w:rPr>
        <w:t>Legislation history</w:t>
      </w:r>
      <w:bookmarkEnd w:id="327"/>
    </w:p>
    <w:p w:rsidR="00B40966" w:rsidRDefault="00B40966">
      <w:pPr>
        <w:pStyle w:val="EndNoteTextEPS"/>
        <w:keepNext/>
      </w:pPr>
      <w:r>
        <w:t xml:space="preserve">This regulation was originally a NSW regulation—the </w:t>
      </w:r>
      <w:r>
        <w:rPr>
          <w:rStyle w:val="charItals"/>
        </w:rPr>
        <w:t>Regulations made under the Scaffolding and Lifts Act 1912</w:t>
      </w:r>
      <w:r>
        <w:rPr>
          <w:i/>
        </w:rPr>
        <w:t xml:space="preserve"> </w:t>
      </w:r>
      <w:r>
        <w:t>(NSW).</w:t>
      </w:r>
    </w:p>
    <w:p w:rsidR="00B40966" w:rsidRDefault="00B40966">
      <w:pPr>
        <w:pStyle w:val="EndNoteTextEPS"/>
      </w:pPr>
      <w:r>
        <w:t xml:space="preserve">The </w:t>
      </w:r>
      <w:r>
        <w:rPr>
          <w:i/>
        </w:rPr>
        <w:t>Scaffolding and Lifts Act 1912</w:t>
      </w:r>
      <w:r>
        <w:t xml:space="preserve"> (NSW) and this regulation were applied, in a modified form, as ACT laws by the </w:t>
      </w:r>
      <w:r>
        <w:rPr>
          <w:i/>
        </w:rPr>
        <w:t>Scaffolding and Lifts Act 1957</w:t>
      </w:r>
      <w:r>
        <w:t xml:space="preserve"> (now repealed).</w:t>
      </w:r>
    </w:p>
    <w:p w:rsidR="00B40966" w:rsidRDefault="00B40966">
      <w:pPr>
        <w:pStyle w:val="EndNoteTextEPS"/>
      </w:pPr>
      <w:r>
        <w:t xml:space="preserve">This regulation was renamed by the </w:t>
      </w:r>
      <w:r>
        <w:rPr>
          <w:i/>
        </w:rPr>
        <w:t>Scaffolding and Lifts Regulations Amendment</w:t>
      </w:r>
      <w:r>
        <w:t xml:space="preserve"> SL 1999 No 19 and later under the </w:t>
      </w:r>
      <w:r>
        <w:rPr>
          <w:i/>
          <w:iCs/>
        </w:rPr>
        <w:t>Legislation Act 2001</w:t>
      </w:r>
      <w:r>
        <w:t>.</w:t>
      </w:r>
    </w:p>
    <w:p w:rsidR="00B40966" w:rsidRDefault="00B40966">
      <w:pPr>
        <w:pStyle w:val="EndNoteTextEPS"/>
      </w:pPr>
      <w:r>
        <w:t xml:space="preserve">Under the </w:t>
      </w:r>
      <w:r>
        <w:rPr>
          <w:i/>
        </w:rPr>
        <w:t>Interpretation Act 1967</w:t>
      </w:r>
      <w:r>
        <w:t xml:space="preserve"> (repealed), s 65 all former NSW Acts in force in the ACT immediately before 10 November 1999 (including the </w:t>
      </w:r>
      <w:r>
        <w:rPr>
          <w:i/>
        </w:rPr>
        <w:t>Scaffolding and Lifts Act 1912</w:t>
      </w:r>
      <w:r>
        <w:t>) became, for all purposes, laws made by the ACT Legislative Assembly.</w:t>
      </w:r>
    </w:p>
    <w:p w:rsidR="00B40966" w:rsidRDefault="00B40966">
      <w:pPr>
        <w:pStyle w:val="EndNoteTextEPS"/>
      </w:pPr>
      <w:r>
        <w:t xml:space="preserve">Under the </w:t>
      </w:r>
      <w:r>
        <w:rPr>
          <w:i/>
        </w:rPr>
        <w:t>Scaffolding and Lifts Act 1912</w:t>
      </w:r>
      <w:r>
        <w:t xml:space="preserve">, s 28 (now expired) the </w:t>
      </w:r>
      <w:r>
        <w:rPr>
          <w:i/>
        </w:rPr>
        <w:t>Scaffolding and Lifts Regulation 1950</w:t>
      </w:r>
      <w:r>
        <w:t xml:space="preserve"> became, on 29 March 2001, for all purposes, a regulation made under that Act. This completed the process of making the regulation fully into an ACT law.</w:t>
      </w:r>
    </w:p>
    <w:p w:rsidR="00B40966" w:rsidRDefault="00B40966">
      <w:pPr>
        <w:pStyle w:val="EndNoteTextEPS"/>
      </w:pPr>
      <w:r>
        <w:t xml:space="preserve">Before 11 May 1989, regulations commenced on their notification day unless otherwise stated (see </w:t>
      </w:r>
      <w:r>
        <w:rPr>
          <w:rStyle w:val="charItals"/>
        </w:rPr>
        <w:t>Interpretation Act 1967</w:t>
      </w:r>
      <w:r>
        <w:t xml:space="preserve"> s 50).</w:t>
      </w:r>
    </w:p>
    <w:p w:rsidR="00B40966" w:rsidRDefault="00B40966">
      <w:pPr>
        <w:pStyle w:val="EndNoteTextEPS"/>
      </w:pPr>
      <w:r>
        <w:t xml:space="preserve">Before 11 May 1989, ordinances commenced on their notification day unless otherwise stated (see </w:t>
      </w:r>
      <w:r>
        <w:rPr>
          <w:rStyle w:val="charItals"/>
        </w:rPr>
        <w:t xml:space="preserve">Seat of Government (Administration) Act 1910 </w:t>
      </w:r>
      <w:r>
        <w:t>(Cwlth), s 12).</w:t>
      </w:r>
    </w:p>
    <w:p w:rsidR="00B40966" w:rsidRDefault="00B40966">
      <w:pPr>
        <w:pStyle w:val="Endnote3"/>
      </w:pPr>
      <w:r>
        <w:tab/>
        <w:t>NSW legislation</w:t>
      </w:r>
    </w:p>
    <w:p w:rsidR="00B40966" w:rsidRDefault="00B40966">
      <w:pPr>
        <w:pStyle w:val="NewReg"/>
      </w:pPr>
      <w:r>
        <w:t>Scaffolding and Lifts Regulation 1950</w:t>
      </w:r>
    </w:p>
    <w:p w:rsidR="00B40966" w:rsidRDefault="00B40966">
      <w:pPr>
        <w:pStyle w:val="Actdetails"/>
      </w:pPr>
      <w:r>
        <w:t>notified 25 May 1950 (NSW Gaz 1950 No 86)</w:t>
      </w:r>
    </w:p>
    <w:p w:rsidR="00B40966" w:rsidRDefault="00B40966">
      <w:pPr>
        <w:pStyle w:val="Actdetails"/>
      </w:pPr>
      <w:r>
        <w:t>commenced 1 June 1950 (s 1 (1))</w:t>
      </w:r>
    </w:p>
    <w:p w:rsidR="00B40966" w:rsidRDefault="00B40966">
      <w:pPr>
        <w:pStyle w:val="Asamby"/>
      </w:pPr>
      <w:r>
        <w:t>as amended by</w:t>
      </w:r>
    </w:p>
    <w:p w:rsidR="00B40966" w:rsidRDefault="00B40966">
      <w:pPr>
        <w:pStyle w:val="NewReg"/>
      </w:pPr>
      <w:r>
        <w:t>Amendments of regulations made under the Scaffolding and Lifts Act 1912</w:t>
      </w:r>
    </w:p>
    <w:p w:rsidR="00B40966" w:rsidRDefault="00B40966">
      <w:pPr>
        <w:pStyle w:val="Actdetails"/>
      </w:pPr>
      <w:r>
        <w:t>notified 1 September 1950 (NSW Gaz 1950 No 141)</w:t>
      </w:r>
    </w:p>
    <w:p w:rsidR="00B40966" w:rsidRDefault="00B40966">
      <w:pPr>
        <w:pStyle w:val="Actdetails"/>
      </w:pPr>
      <w:r>
        <w:t>commenced 1 September 1950</w:t>
      </w:r>
    </w:p>
    <w:p w:rsidR="00B40966" w:rsidRDefault="00B40966">
      <w:pPr>
        <w:pStyle w:val="NewReg"/>
      </w:pPr>
      <w:r>
        <w:t>Amendments of regulations made under the Scaffolding and Lifts Act 1912</w:t>
      </w:r>
    </w:p>
    <w:p w:rsidR="00B40966" w:rsidRDefault="00B40966">
      <w:pPr>
        <w:pStyle w:val="Actdetails"/>
      </w:pPr>
      <w:r>
        <w:t>notified 3 November 1950 (NSW Gaz 1950 No 168)</w:t>
      </w:r>
    </w:p>
    <w:p w:rsidR="00B40966" w:rsidRDefault="00B40966">
      <w:pPr>
        <w:pStyle w:val="Actdetails"/>
      </w:pPr>
      <w:r>
        <w:t>commenced 3 November 1950</w:t>
      </w:r>
    </w:p>
    <w:p w:rsidR="00B40966" w:rsidRDefault="00B40966">
      <w:pPr>
        <w:pStyle w:val="NewReg"/>
      </w:pPr>
      <w:r>
        <w:t>Amendments of regulations made under the Scaffolding and Lifts Act 1912</w:t>
      </w:r>
    </w:p>
    <w:p w:rsidR="00B40966" w:rsidRDefault="00B40966">
      <w:pPr>
        <w:pStyle w:val="Actdetails"/>
      </w:pPr>
      <w:r>
        <w:t>notified 6 March 1953 (NSW Gaz 1953 No 44)</w:t>
      </w:r>
    </w:p>
    <w:p w:rsidR="00B40966" w:rsidRDefault="00B40966">
      <w:pPr>
        <w:pStyle w:val="Actdetails"/>
      </w:pPr>
      <w:r>
        <w:t>commenced 6 March 1953</w:t>
      </w:r>
    </w:p>
    <w:p w:rsidR="00B40966" w:rsidRDefault="00B40966">
      <w:pPr>
        <w:pStyle w:val="NewReg"/>
      </w:pPr>
      <w:r>
        <w:t>Amendments of regulations made under the Scaffolding and Lifts Act 1912</w:t>
      </w:r>
    </w:p>
    <w:p w:rsidR="00B40966" w:rsidRDefault="00B40966">
      <w:pPr>
        <w:pStyle w:val="Actdetails"/>
      </w:pPr>
      <w:r>
        <w:t>notified 3 December 1954 (NSW Gaz 1954 No 197)</w:t>
      </w:r>
    </w:p>
    <w:p w:rsidR="00B40966" w:rsidRDefault="00B40966">
      <w:pPr>
        <w:pStyle w:val="Actdetails"/>
      </w:pPr>
      <w:r>
        <w:t>commenced 3 December 1954</w:t>
      </w:r>
    </w:p>
    <w:p w:rsidR="00B40966" w:rsidRDefault="00B40966">
      <w:pPr>
        <w:pStyle w:val="NewReg"/>
      </w:pPr>
      <w:r>
        <w:t>Amendments of regulations made under the Scaffolding and Lifts Act 1912</w:t>
      </w:r>
    </w:p>
    <w:p w:rsidR="00B40966" w:rsidRDefault="00B40966">
      <w:pPr>
        <w:pStyle w:val="Actdetails"/>
      </w:pPr>
      <w:r>
        <w:t>notified 5 August 1955 (NSW Gaz 1955 No 76)</w:t>
      </w:r>
    </w:p>
    <w:p w:rsidR="00B40966" w:rsidRDefault="00B40966">
      <w:pPr>
        <w:pStyle w:val="Actdetails"/>
      </w:pPr>
      <w:r>
        <w:t>commenced 5 August 1955</w:t>
      </w:r>
    </w:p>
    <w:p w:rsidR="00B40966" w:rsidRDefault="00B40966">
      <w:pPr>
        <w:pStyle w:val="NewReg"/>
      </w:pPr>
      <w:r>
        <w:t>Amendments of regulations made under the Scaffolding and Lifts Act 1912</w:t>
      </w:r>
    </w:p>
    <w:p w:rsidR="00B40966" w:rsidRDefault="00B40966">
      <w:pPr>
        <w:pStyle w:val="Actdetails"/>
      </w:pPr>
      <w:r>
        <w:t>notified 9 March 1956 (NSW Gaz 1956 No 24)</w:t>
      </w:r>
    </w:p>
    <w:p w:rsidR="00B40966" w:rsidRDefault="00B40966">
      <w:pPr>
        <w:pStyle w:val="Actdetails"/>
      </w:pPr>
      <w:r>
        <w:t>commenced 9 March 1956</w:t>
      </w:r>
    </w:p>
    <w:p w:rsidR="00B40966" w:rsidRDefault="00B40966">
      <w:pPr>
        <w:pStyle w:val="NewReg"/>
      </w:pPr>
      <w:r>
        <w:t>Amendments of regulations made under the Scaffolding and Lifts Act 1912</w:t>
      </w:r>
    </w:p>
    <w:p w:rsidR="00B40966" w:rsidRDefault="00B40966">
      <w:pPr>
        <w:pStyle w:val="Actdetails"/>
      </w:pPr>
      <w:r>
        <w:t>notified 22 June 1956 (NSW Gaz 1956 No 69)</w:t>
      </w:r>
    </w:p>
    <w:p w:rsidR="00B40966" w:rsidRDefault="00B40966">
      <w:pPr>
        <w:pStyle w:val="Actdetails"/>
      </w:pPr>
      <w:r>
        <w:t>commenced 22 June 1956</w:t>
      </w:r>
    </w:p>
    <w:p w:rsidR="00B40966" w:rsidRDefault="00B40966">
      <w:pPr>
        <w:pStyle w:val="NewReg"/>
      </w:pPr>
      <w:r>
        <w:t>Amendments of regulations made under the Scaffolding and Lifts Act 1912</w:t>
      </w:r>
    </w:p>
    <w:p w:rsidR="00B40966" w:rsidRDefault="00B40966">
      <w:pPr>
        <w:pStyle w:val="Actdetails"/>
      </w:pPr>
      <w:r>
        <w:t>notified 19 October 1956 (NSW Gaz 1956 No 113)</w:t>
      </w:r>
    </w:p>
    <w:p w:rsidR="00B40966" w:rsidRDefault="00B40966">
      <w:pPr>
        <w:pStyle w:val="Actdetails"/>
      </w:pPr>
      <w:r>
        <w:t>commenced 19 October 1956</w:t>
      </w:r>
    </w:p>
    <w:p w:rsidR="00B40966" w:rsidRDefault="00B40966">
      <w:pPr>
        <w:pStyle w:val="NewReg"/>
      </w:pPr>
      <w:r>
        <w:t>Amendments of regulations made under the Scaffolding and Lifts Act 1912</w:t>
      </w:r>
    </w:p>
    <w:p w:rsidR="00B40966" w:rsidRDefault="00B40966">
      <w:pPr>
        <w:pStyle w:val="Actdetails"/>
      </w:pPr>
      <w:r>
        <w:t>notified 1 March 1957 (NSW Gaz 1957 No 29)</w:t>
      </w:r>
    </w:p>
    <w:p w:rsidR="00B40966" w:rsidRDefault="00B40966">
      <w:pPr>
        <w:pStyle w:val="Actdetails"/>
      </w:pPr>
      <w:r>
        <w:t>commenced 1 March 1957</w:t>
      </w:r>
    </w:p>
    <w:p w:rsidR="00B40966" w:rsidRDefault="00B40966">
      <w:pPr>
        <w:pStyle w:val="Endnote3"/>
      </w:pPr>
      <w:r>
        <w:tab/>
        <w:t>Commonwealth legislation</w:t>
      </w:r>
    </w:p>
    <w:p w:rsidR="00B40966" w:rsidRDefault="00B40966">
      <w:pPr>
        <w:pStyle w:val="NewAct"/>
      </w:pPr>
      <w:r>
        <w:t>Scaffolding and Lifts Act 1957 No 8 sch pt 2 (as am by ord 1968 No 5; ord 1974 No 26; ord 1976 No 7; ord 1977 No 28; ord 1981 No 15; ord 1982 No 15; ord 1982 No 68; ord 1983 No 34)</w:t>
      </w:r>
    </w:p>
    <w:p w:rsidR="00B40966" w:rsidRDefault="00B40966">
      <w:pPr>
        <w:pStyle w:val="Actdetails"/>
      </w:pPr>
      <w:r>
        <w:t>notified 19 September 1957 (Cwlth Gaz 1957 No 51)</w:t>
      </w:r>
    </w:p>
    <w:p w:rsidR="00B40966" w:rsidRDefault="00B40966">
      <w:pPr>
        <w:pStyle w:val="Actdetails"/>
      </w:pPr>
      <w:r>
        <w:t>commenced 19 September 1957</w:t>
      </w:r>
    </w:p>
    <w:p w:rsidR="00B40966" w:rsidRDefault="00B40966">
      <w:pPr>
        <w:pStyle w:val="NewReg"/>
      </w:pPr>
      <w:r>
        <w:t>Scaffolding and Lifts Ordinance 1968 No 5</w:t>
      </w:r>
    </w:p>
    <w:p w:rsidR="00B40966" w:rsidRDefault="00B40966">
      <w:pPr>
        <w:pStyle w:val="Actdetails"/>
      </w:pPr>
      <w:r>
        <w:t>notified 21 March 1968 (Cwlth Gaz 1968 No 26)</w:t>
      </w:r>
    </w:p>
    <w:p w:rsidR="00B40966" w:rsidRDefault="00B40966">
      <w:pPr>
        <w:pStyle w:val="Actdetails"/>
      </w:pPr>
      <w:r>
        <w:t>commenced 21 March 1968</w:t>
      </w:r>
    </w:p>
    <w:p w:rsidR="00B40966" w:rsidRDefault="00B40966">
      <w:pPr>
        <w:pStyle w:val="LegHistNote"/>
      </w:pPr>
      <w:r>
        <w:rPr>
          <w:rStyle w:val="charItals"/>
        </w:rPr>
        <w:t>Note</w:t>
      </w:r>
      <w:r>
        <w:tab/>
        <w:t>This ordinance only amends the Scaffolding and Lifts Act 1957 No 8.</w:t>
      </w:r>
    </w:p>
    <w:p w:rsidR="00B40966" w:rsidRDefault="00B40966">
      <w:pPr>
        <w:pStyle w:val="NewReg"/>
      </w:pPr>
      <w:r>
        <w:t>Scaffolding and Lifts Ordinance 1974 No 26</w:t>
      </w:r>
    </w:p>
    <w:p w:rsidR="00B40966" w:rsidRDefault="00B40966">
      <w:pPr>
        <w:pStyle w:val="Actdetails"/>
      </w:pPr>
      <w:r>
        <w:t>notified 30 July 1974 (Cwlth Gaz 1974 No 62)</w:t>
      </w:r>
    </w:p>
    <w:p w:rsidR="00B40966" w:rsidRDefault="00B40966">
      <w:pPr>
        <w:pStyle w:val="Actdetails"/>
      </w:pPr>
      <w:r>
        <w:t>commenced 30 July 1974</w:t>
      </w:r>
    </w:p>
    <w:p w:rsidR="00B40966" w:rsidRDefault="00B40966">
      <w:pPr>
        <w:pStyle w:val="LegHistNote"/>
      </w:pPr>
      <w:r>
        <w:rPr>
          <w:rStyle w:val="charItals"/>
        </w:rPr>
        <w:t>Note</w:t>
      </w:r>
      <w:r>
        <w:tab/>
        <w:t>This ordinance only amends the Scaffolding and Lifts Act 1957 No 8.</w:t>
      </w:r>
    </w:p>
    <w:p w:rsidR="00B40966" w:rsidRDefault="00B40966">
      <w:pPr>
        <w:pStyle w:val="NewAct"/>
      </w:pPr>
      <w:r>
        <w:t>Scaffolding and Lifts Ordinance 1976 No 7</w:t>
      </w:r>
    </w:p>
    <w:p w:rsidR="00B40966" w:rsidRDefault="00B40966">
      <w:pPr>
        <w:pStyle w:val="Actdetails"/>
      </w:pPr>
      <w:r>
        <w:t>notified 24 February 1976 (Cwlth Gaz 1976 No S38)</w:t>
      </w:r>
    </w:p>
    <w:p w:rsidR="00B40966" w:rsidRDefault="00B40966">
      <w:pPr>
        <w:pStyle w:val="Actdetails"/>
      </w:pPr>
      <w:r>
        <w:t>commenced 24 February 1976</w:t>
      </w:r>
    </w:p>
    <w:p w:rsidR="00B40966" w:rsidRDefault="00B40966">
      <w:pPr>
        <w:pStyle w:val="LegHistNote"/>
      </w:pPr>
      <w:r>
        <w:rPr>
          <w:rStyle w:val="charItals"/>
        </w:rPr>
        <w:t>Note</w:t>
      </w:r>
      <w:r>
        <w:tab/>
        <w:t>This ordinance only amends the Scaffolding and Lifts Act 1957 No 8.</w:t>
      </w:r>
    </w:p>
    <w:p w:rsidR="00B40966" w:rsidRDefault="00B40966">
      <w:pPr>
        <w:pStyle w:val="NewReg"/>
      </w:pPr>
      <w:r>
        <w:t>Scaffolding and Lifts (Amendment) Ordinance 1977 No 28</w:t>
      </w:r>
    </w:p>
    <w:p w:rsidR="00B40966" w:rsidRDefault="00B40966">
      <w:pPr>
        <w:pStyle w:val="Actdetails"/>
      </w:pPr>
      <w:r>
        <w:t>notified 1 July 1977 (Cwlth Gaz 1977 No S124)</w:t>
      </w:r>
    </w:p>
    <w:p w:rsidR="00B40966" w:rsidRDefault="00B40966">
      <w:pPr>
        <w:pStyle w:val="Actdetails"/>
      </w:pPr>
      <w:r>
        <w:t>commenced 1 July 1977</w:t>
      </w:r>
    </w:p>
    <w:p w:rsidR="00B40966" w:rsidRDefault="00B40966">
      <w:pPr>
        <w:pStyle w:val="LegHistNote"/>
      </w:pPr>
      <w:r>
        <w:rPr>
          <w:rStyle w:val="charItals"/>
        </w:rPr>
        <w:t>Note</w:t>
      </w:r>
      <w:r>
        <w:tab/>
        <w:t>This ordinance only amends the Scaffolding and Lifts Act 1957 No 8.</w:t>
      </w:r>
    </w:p>
    <w:p w:rsidR="00B40966" w:rsidRDefault="00B40966">
      <w:pPr>
        <w:pStyle w:val="NewAct"/>
      </w:pPr>
      <w:r>
        <w:t>Scaffolding and Lifts (Amendment) Ordinance 1981 No 15</w:t>
      </w:r>
    </w:p>
    <w:p w:rsidR="00B40966" w:rsidRDefault="00B40966">
      <w:pPr>
        <w:pStyle w:val="Actdetails"/>
      </w:pPr>
      <w:r>
        <w:t>notified 30 June 1981 (Cwlth Gaz 1981 No S128)</w:t>
      </w:r>
    </w:p>
    <w:p w:rsidR="00B40966" w:rsidRDefault="00B40966">
      <w:pPr>
        <w:pStyle w:val="Actdetails"/>
      </w:pPr>
      <w:r>
        <w:t>commenced 30 June 1981</w:t>
      </w:r>
    </w:p>
    <w:p w:rsidR="00B40966" w:rsidRDefault="00B40966">
      <w:pPr>
        <w:pStyle w:val="LegHistNote"/>
      </w:pPr>
      <w:r>
        <w:rPr>
          <w:rStyle w:val="charItals"/>
        </w:rPr>
        <w:t>Note</w:t>
      </w:r>
      <w:r>
        <w:tab/>
        <w:t>This ordinance only amends the Scaffolding and Lifts Act 1957 No 8.</w:t>
      </w:r>
    </w:p>
    <w:p w:rsidR="00B40966" w:rsidRDefault="00B40966">
      <w:pPr>
        <w:pStyle w:val="NewAct"/>
      </w:pPr>
      <w:r>
        <w:t>Scaffolding and Lifts (Amendment) Ordinance 1982 No 15</w:t>
      </w:r>
    </w:p>
    <w:p w:rsidR="00B40966" w:rsidRDefault="00B40966">
      <w:pPr>
        <w:pStyle w:val="Actdetails"/>
      </w:pPr>
      <w:r>
        <w:t>notified 7 May 1982 (Cwlth Gaz 1982 No S93)</w:t>
      </w:r>
    </w:p>
    <w:p w:rsidR="00B40966" w:rsidRDefault="00B40966">
      <w:pPr>
        <w:pStyle w:val="Actdetails"/>
      </w:pPr>
      <w:r>
        <w:t>commenced 7 May 1982</w:t>
      </w:r>
    </w:p>
    <w:p w:rsidR="00B40966" w:rsidRDefault="00B40966">
      <w:pPr>
        <w:pStyle w:val="LegHistNote"/>
      </w:pPr>
      <w:r>
        <w:rPr>
          <w:rStyle w:val="charItals"/>
        </w:rPr>
        <w:t>Note</w:t>
      </w:r>
      <w:r>
        <w:tab/>
        <w:t>This ordinance only amends the Scaffolding and Lifts Act 1957 No 8.</w:t>
      </w:r>
    </w:p>
    <w:p w:rsidR="00B40966" w:rsidRDefault="00B40966">
      <w:pPr>
        <w:pStyle w:val="NewReg"/>
      </w:pPr>
      <w:r>
        <w:t>Scaffolding and Lifts (Amendment) Ordinance (No 2) 1982 No 68</w:t>
      </w:r>
    </w:p>
    <w:p w:rsidR="00B40966" w:rsidRDefault="00B40966">
      <w:pPr>
        <w:pStyle w:val="Actdetails"/>
      </w:pPr>
      <w:r>
        <w:t>notified 18 August 1982 (Cwlth Gaz 1982 No S174)</w:t>
      </w:r>
    </w:p>
    <w:p w:rsidR="00B40966" w:rsidRDefault="00B40966">
      <w:pPr>
        <w:pStyle w:val="Actdetails"/>
      </w:pPr>
      <w:r>
        <w:t>commenced 18 August 1982</w:t>
      </w:r>
    </w:p>
    <w:p w:rsidR="00B40966" w:rsidRDefault="00B40966">
      <w:pPr>
        <w:pStyle w:val="LegHistNote"/>
      </w:pPr>
      <w:r>
        <w:rPr>
          <w:rStyle w:val="charItals"/>
        </w:rPr>
        <w:t>Note</w:t>
      </w:r>
      <w:r>
        <w:tab/>
        <w:t>This ordinance only amends the Scaffolding and Lifts Act 1957 No 8.</w:t>
      </w:r>
    </w:p>
    <w:p w:rsidR="00B40966" w:rsidRDefault="00B40966">
      <w:pPr>
        <w:pStyle w:val="NewAct"/>
      </w:pPr>
      <w:r>
        <w:t>Scaffolding and Lifts (Amendment) Ordinance 1983 No 34</w:t>
      </w:r>
    </w:p>
    <w:p w:rsidR="00B40966" w:rsidRDefault="00B40966">
      <w:pPr>
        <w:pStyle w:val="Actdetails"/>
      </w:pPr>
      <w:r>
        <w:t>notified 29 September 1983 (Cwlth Gaz 1983 No S226)</w:t>
      </w:r>
    </w:p>
    <w:p w:rsidR="00B40966" w:rsidRDefault="00B40966">
      <w:pPr>
        <w:pStyle w:val="Actdetails"/>
      </w:pPr>
      <w:r>
        <w:t>commenced 1 October 1983 (s 2)</w:t>
      </w:r>
    </w:p>
    <w:p w:rsidR="00B40966" w:rsidRDefault="00B40966">
      <w:pPr>
        <w:pStyle w:val="LegHistNote"/>
      </w:pPr>
      <w:r>
        <w:rPr>
          <w:rStyle w:val="charItals"/>
        </w:rPr>
        <w:t>Note</w:t>
      </w:r>
      <w:r>
        <w:tab/>
        <w:t>This ordinance only amends the Scaffolding and Lifts Act 1957 No 8.</w:t>
      </w:r>
    </w:p>
    <w:p w:rsidR="00B40966" w:rsidRDefault="00B40966">
      <w:pPr>
        <w:pStyle w:val="NewAct"/>
      </w:pPr>
      <w:r>
        <w:t>Regulations under the Scaffolding and Lifts Act 1912 (NSW) in their application to the Territory (Amendment) SL 1986 No 9</w:t>
      </w:r>
    </w:p>
    <w:p w:rsidR="00B40966" w:rsidRDefault="00B40966">
      <w:pPr>
        <w:pStyle w:val="Actdetails"/>
      </w:pPr>
      <w:r>
        <w:t>notified 31 July 1986 (Cwlth Gaz 1986 No S375)</w:t>
      </w:r>
    </w:p>
    <w:p w:rsidR="00B40966" w:rsidRDefault="00B40966">
      <w:pPr>
        <w:pStyle w:val="Actdetails"/>
      </w:pPr>
      <w:r>
        <w:t>commenced 31 July 1986</w:t>
      </w:r>
    </w:p>
    <w:p w:rsidR="00B40966" w:rsidRDefault="00B40966">
      <w:pPr>
        <w:pStyle w:val="NewAct"/>
      </w:pPr>
      <w:r>
        <w:t>Self-Government (Consequential Amendments) Ordinance 1989 No 38 sch 2</w:t>
      </w:r>
    </w:p>
    <w:p w:rsidR="00B40966" w:rsidRDefault="00B40966">
      <w:pPr>
        <w:pStyle w:val="Actdetails"/>
      </w:pPr>
      <w:r>
        <w:t>notified 10 May 1989 (Cwlth Gaz 1989 No S160)</w:t>
      </w:r>
    </w:p>
    <w:p w:rsidR="00B40966" w:rsidRDefault="00B40966">
      <w:pPr>
        <w:pStyle w:val="Actdetails"/>
      </w:pPr>
      <w:r>
        <w:t>s 1, s 2 commenced 10 May 1989 (s 2 (1))</w:t>
      </w:r>
    </w:p>
    <w:p w:rsidR="00B40966" w:rsidRDefault="00B40966">
      <w:pPr>
        <w:pStyle w:val="Actdetails"/>
      </w:pPr>
      <w:r>
        <w:t xml:space="preserve">sch 2 commenced 11 May 1989 (s 2 (2) and see Cwlth </w:t>
      </w:r>
      <w:r>
        <w:rPr>
          <w:rStyle w:val="charItals"/>
          <w:i w:val="0"/>
        </w:rPr>
        <w:t>Gaz</w:t>
      </w:r>
      <w:r>
        <w:t xml:space="preserve"> 1989 No S164)</w:t>
      </w:r>
    </w:p>
    <w:p w:rsidR="00B40966" w:rsidRDefault="00B40966">
      <w:pPr>
        <w:pStyle w:val="Endnote3"/>
        <w:rPr>
          <w:color w:val="auto"/>
        </w:rPr>
      </w:pPr>
      <w:r>
        <w:rPr>
          <w:color w:val="auto"/>
        </w:rPr>
        <w:tab/>
        <w:t>Legislation after becoming Territory enactment</w:t>
      </w:r>
    </w:p>
    <w:p w:rsidR="00B40966" w:rsidRDefault="00B40966">
      <w:pPr>
        <w:pStyle w:val="NewReg"/>
      </w:pPr>
      <w:r>
        <w:t>Scaffolding and Lifts Regulations Amendment SL 1999 No 19</w:t>
      </w:r>
    </w:p>
    <w:p w:rsidR="00B40966" w:rsidRDefault="00B40966">
      <w:pPr>
        <w:pStyle w:val="Actdetails"/>
      </w:pPr>
      <w:r>
        <w:t>notified 30 September 1999 (Gaz 1999 No S57)</w:t>
      </w:r>
    </w:p>
    <w:p w:rsidR="00B40966" w:rsidRDefault="00B40966">
      <w:pPr>
        <w:pStyle w:val="Actdetails"/>
      </w:pPr>
      <w:r>
        <w:t>commenced 30 September 1999 (s 1)</w:t>
      </w:r>
    </w:p>
    <w:p w:rsidR="00B40966" w:rsidRDefault="00B40966">
      <w:pPr>
        <w:pStyle w:val="NewReg"/>
      </w:pPr>
      <w:r>
        <w:t>Occupational Health and Safety Legislation Regulations Amendment SL 2000 No 47 pt 3</w:t>
      </w:r>
    </w:p>
    <w:p w:rsidR="00B40966" w:rsidRDefault="00B40966">
      <w:pPr>
        <w:pStyle w:val="Actdetails"/>
      </w:pPr>
      <w:r>
        <w:t>notified 30 November 2000 (Gaz 2000 No 48)</w:t>
      </w:r>
    </w:p>
    <w:p w:rsidR="00B40966" w:rsidRDefault="00B40966">
      <w:pPr>
        <w:pStyle w:val="Actdetails"/>
      </w:pPr>
      <w:r>
        <w:t>commenced 30 November 2000 (s 1)</w:t>
      </w:r>
    </w:p>
    <w:p w:rsidR="00B40966" w:rsidRDefault="00B40966">
      <w:pPr>
        <w:pStyle w:val="NewAct"/>
      </w:pPr>
      <w:r>
        <w:t>Statute Law Amendment Act 2001 No 11 sch 3</w:t>
      </w:r>
    </w:p>
    <w:p w:rsidR="00B40966" w:rsidRDefault="00B40966">
      <w:pPr>
        <w:pStyle w:val="Actdetails"/>
      </w:pPr>
      <w:r>
        <w:t>notified 29 March 2001 (Gaz 2001 No 13)</w:t>
      </w:r>
    </w:p>
    <w:p w:rsidR="00B40966" w:rsidRDefault="00B40966">
      <w:pPr>
        <w:pStyle w:val="Actdetails"/>
      </w:pPr>
      <w:r>
        <w:t>commenced 29 March 2001 (s 2)</w:t>
      </w:r>
    </w:p>
    <w:p w:rsidR="00B40966" w:rsidRDefault="00B40966">
      <w:pPr>
        <w:pStyle w:val="NewAct"/>
      </w:pPr>
      <w:r>
        <w:t>Legislation (Consequential Amendments) Act 2001 No 44 pt 359</w:t>
      </w:r>
    </w:p>
    <w:p w:rsidR="00B40966" w:rsidRDefault="00B40966">
      <w:pPr>
        <w:pStyle w:val="Actdetails"/>
      </w:pPr>
      <w:r>
        <w:t>notified 26 July 2001 (Gaz 2001 No 30)</w:t>
      </w:r>
    </w:p>
    <w:p w:rsidR="00B40966" w:rsidRDefault="00B40966">
      <w:pPr>
        <w:pStyle w:val="Actdetails"/>
        <w:rPr>
          <w:rStyle w:val="charUnderline"/>
        </w:rPr>
      </w:pPr>
      <w:r>
        <w:t>s 1, s 2 commenced 26 July 2001 (IA s 10B)</w:t>
      </w:r>
    </w:p>
    <w:p w:rsidR="00B40966" w:rsidRDefault="00B40966">
      <w:pPr>
        <w:pStyle w:val="Actdetails"/>
      </w:pPr>
      <w:r>
        <w:t>pt 359 commenced 12 September 2001 (s 2 and see Gaz 2001 No S65)</w:t>
      </w:r>
    </w:p>
    <w:p w:rsidR="00B40966" w:rsidRDefault="00B40966">
      <w:pPr>
        <w:pStyle w:val="Endnote2"/>
      </w:pPr>
      <w:bookmarkStart w:id="328" w:name="_Toc87258163"/>
      <w:r>
        <w:rPr>
          <w:rStyle w:val="charTableNo"/>
        </w:rPr>
        <w:t>4</w:t>
      </w:r>
      <w:r>
        <w:tab/>
      </w:r>
      <w:r>
        <w:rPr>
          <w:rStyle w:val="charTableText"/>
        </w:rPr>
        <w:t>Amendment history</w:t>
      </w:r>
      <w:bookmarkEnd w:id="328"/>
    </w:p>
    <w:p w:rsidR="00B40966" w:rsidRDefault="00B40966">
      <w:pPr>
        <w:pStyle w:val="AmdtsEntryHd"/>
      </w:pPr>
      <w:r>
        <w:t>Name of regulation</w:t>
      </w:r>
    </w:p>
    <w:p w:rsidR="00B40966" w:rsidRDefault="00B40966">
      <w:pPr>
        <w:pStyle w:val="AmdtsEntries"/>
        <w:keepNext/>
      </w:pPr>
      <w:r>
        <w:t>s 1</w:t>
      </w:r>
      <w:r>
        <w:tab/>
        <w:t>am regs gazetted 9 March 1956; regs gazetted 22 June 1956</w:t>
      </w:r>
    </w:p>
    <w:p w:rsidR="00B40966" w:rsidRDefault="00B40966">
      <w:pPr>
        <w:pStyle w:val="AmdtsEntries"/>
      </w:pPr>
      <w:r>
        <w:tab/>
        <w:t>om Act 1957 No 8 sch pt 2 (as am ord 1977 No 28 s 5)</w:t>
      </w:r>
    </w:p>
    <w:p w:rsidR="00B40966" w:rsidRDefault="00B40966">
      <w:pPr>
        <w:pStyle w:val="AmdtsEntries"/>
      </w:pPr>
      <w:r>
        <w:tab/>
        <w:t>ins 1999 No 19 sch</w:t>
      </w:r>
    </w:p>
    <w:p w:rsidR="00B40966" w:rsidRDefault="00B40966">
      <w:pPr>
        <w:pStyle w:val="AmdtsEntries"/>
      </w:pPr>
      <w:r>
        <w:tab/>
        <w:t>am R2 LA</w:t>
      </w:r>
    </w:p>
    <w:p w:rsidR="00B40966" w:rsidRDefault="00B40966">
      <w:pPr>
        <w:pStyle w:val="AmdtsEntryHd"/>
      </w:pPr>
    </w:p>
    <w:p w:rsidR="00B40966" w:rsidRDefault="00B40966">
      <w:pPr>
        <w:pStyle w:val="AmdtsEntries"/>
      </w:pPr>
      <w:r>
        <w:t>s 2</w:t>
      </w:r>
      <w:r>
        <w:tab/>
        <w:t>om Act 1957 No 8 sch pt 2 (as am ord 1977 No 28 s 4)</w:t>
      </w:r>
    </w:p>
    <w:p w:rsidR="00B40966" w:rsidRDefault="00B40966">
      <w:pPr>
        <w:pStyle w:val="AmdtsEntryHd"/>
      </w:pPr>
      <w:r>
        <w:t>Definitions for regulation</w:t>
      </w:r>
    </w:p>
    <w:p w:rsidR="00B40966" w:rsidRDefault="00B40966">
      <w:pPr>
        <w:pStyle w:val="AmdtsEntries"/>
      </w:pPr>
      <w:r>
        <w:t>s 3</w:t>
      </w:r>
      <w:r>
        <w:tab/>
        <w:t xml:space="preserve">def </w:t>
      </w:r>
      <w:r>
        <w:rPr>
          <w:rStyle w:val="charBoldItals"/>
        </w:rPr>
        <w:t xml:space="preserve">chief inspector </w:t>
      </w:r>
      <w:r>
        <w:t>ins Act 1957 No 8 sch pt 2</w:t>
      </w:r>
    </w:p>
    <w:p w:rsidR="00B40966" w:rsidRDefault="00B40966">
      <w:pPr>
        <w:pStyle w:val="AmdtsEntries"/>
      </w:pPr>
      <w:r>
        <w:tab/>
        <w:t xml:space="preserve">def </w:t>
      </w:r>
      <w:r>
        <w:rPr>
          <w:b/>
          <w:i/>
        </w:rPr>
        <w:t>inspector</w:t>
      </w:r>
      <w:r>
        <w:t xml:space="preserve"> ins Act 1957 No 8 sch pt 2</w:t>
      </w:r>
    </w:p>
    <w:p w:rsidR="00B40966" w:rsidRDefault="00B40966">
      <w:pPr>
        <w:pStyle w:val="AmdtsEntries"/>
      </w:pPr>
      <w:r>
        <w:tab/>
        <w:t xml:space="preserve">def </w:t>
      </w:r>
      <w:r>
        <w:rPr>
          <w:b/>
          <w:i/>
        </w:rPr>
        <w:t>the Act</w:t>
      </w:r>
      <w:r>
        <w:t xml:space="preserve"> sub Act 1957 No 8 sch pt 2; Act 2001 No 11 amdt 3.257</w:t>
      </w:r>
    </w:p>
    <w:p w:rsidR="00B40966" w:rsidRDefault="00B40966">
      <w:pPr>
        <w:pStyle w:val="AmdtsEntriesDefL2"/>
      </w:pPr>
      <w:r>
        <w:tab/>
        <w:t>om Act 2001 No 44 amdt 1.3879</w:t>
      </w:r>
    </w:p>
    <w:p w:rsidR="00B40966" w:rsidRDefault="00B40966">
      <w:pPr>
        <w:pStyle w:val="AmdtsEntries"/>
      </w:pPr>
      <w:r>
        <w:tab/>
        <w:t xml:space="preserve">def </w:t>
      </w:r>
      <w:r>
        <w:rPr>
          <w:b/>
          <w:i/>
        </w:rPr>
        <w:t>the Explosives Act 1905</w:t>
      </w:r>
      <w:r>
        <w:rPr>
          <w:b/>
        </w:rPr>
        <w:t xml:space="preserve"> </w:t>
      </w:r>
      <w:r>
        <w:t>ins Act 1957 No 8 sch pt 2</w:t>
      </w:r>
    </w:p>
    <w:p w:rsidR="00B40966" w:rsidRDefault="00B40966">
      <w:pPr>
        <w:pStyle w:val="AmdtsEntriesDefL2"/>
      </w:pPr>
      <w:r>
        <w:tab/>
        <w:t>om 1999 No 19 sch</w:t>
      </w:r>
    </w:p>
    <w:p w:rsidR="00B40966" w:rsidRDefault="00B40966">
      <w:pPr>
        <w:pStyle w:val="AmdtsEntryHd"/>
      </w:pPr>
    </w:p>
    <w:p w:rsidR="00B40966" w:rsidRDefault="00B40966">
      <w:pPr>
        <w:pStyle w:val="AmdtsEntries"/>
      </w:pPr>
      <w:r>
        <w:t>s</w:t>
      </w:r>
      <w:r>
        <w:rPr>
          <w:sz w:val="12"/>
        </w:rPr>
        <w:t xml:space="preserve"> </w:t>
      </w:r>
      <w:r>
        <w:t>8</w:t>
      </w:r>
      <w:r>
        <w:tab/>
        <w:t>sub regs gazetted 1 September 1950</w:t>
      </w:r>
    </w:p>
    <w:p w:rsidR="00B40966" w:rsidRDefault="00B40966">
      <w:pPr>
        <w:pStyle w:val="AmdtsEntries"/>
      </w:pPr>
      <w:r>
        <w:tab/>
        <w:t>om Act 1957 No 8 sch pt 2</w:t>
      </w:r>
    </w:p>
    <w:p w:rsidR="00B40966" w:rsidRDefault="00B40966">
      <w:pPr>
        <w:pStyle w:val="AmdtsEntryHd"/>
      </w:pPr>
    </w:p>
    <w:p w:rsidR="00B40966" w:rsidRDefault="00B40966">
      <w:pPr>
        <w:pStyle w:val="AmdtsEntries"/>
      </w:pPr>
      <w:r>
        <w:t>s 9</w:t>
      </w:r>
      <w:r>
        <w:tab/>
        <w:t>om regs gazetted 1 September 1950</w:t>
      </w:r>
    </w:p>
    <w:p w:rsidR="00B40966" w:rsidRDefault="00B40966">
      <w:pPr>
        <w:pStyle w:val="AmdtsEntryHd"/>
      </w:pPr>
    </w:p>
    <w:p w:rsidR="00B40966" w:rsidRDefault="00B40966">
      <w:pPr>
        <w:pStyle w:val="AmdtsEntries"/>
      </w:pPr>
      <w:r>
        <w:t>s 10</w:t>
      </w:r>
      <w:r>
        <w:tab/>
        <w:t>sub regs gazetted 1 September 1950</w:t>
      </w:r>
    </w:p>
    <w:p w:rsidR="00B40966" w:rsidRDefault="00B40966">
      <w:pPr>
        <w:pStyle w:val="AmdtsEntries"/>
      </w:pPr>
      <w:r>
        <w:tab/>
        <w:t>om Act 1957 No 8 sch pt 2</w:t>
      </w:r>
    </w:p>
    <w:p w:rsidR="00B40966" w:rsidRDefault="00B40966">
      <w:pPr>
        <w:pStyle w:val="AmdtsEntryHd"/>
      </w:pPr>
    </w:p>
    <w:p w:rsidR="00B40966" w:rsidRDefault="00B40966">
      <w:pPr>
        <w:pStyle w:val="AmdtsEntries"/>
      </w:pPr>
      <w:r>
        <w:t>s 11</w:t>
      </w:r>
      <w:r>
        <w:tab/>
        <w:t>sub Act 1957 No 8 sch pt 2</w:t>
      </w:r>
    </w:p>
    <w:p w:rsidR="00B40966" w:rsidRDefault="00B40966">
      <w:pPr>
        <w:pStyle w:val="AmdtsEntryHd"/>
      </w:pPr>
    </w:p>
    <w:p w:rsidR="00B40966" w:rsidRDefault="00B40966">
      <w:pPr>
        <w:pStyle w:val="AmdtsEntries"/>
      </w:pPr>
      <w:r>
        <w:t>s 12</w:t>
      </w:r>
      <w:r>
        <w:tab/>
        <w:t>om Act 1957 No 8 sch pt 2</w:t>
      </w:r>
    </w:p>
    <w:p w:rsidR="00B40966" w:rsidRDefault="00B40966">
      <w:pPr>
        <w:pStyle w:val="AmdtsEntryHd"/>
      </w:pPr>
    </w:p>
    <w:p w:rsidR="00B40966" w:rsidRDefault="00B40966">
      <w:pPr>
        <w:pStyle w:val="AmdtsEntries"/>
      </w:pPr>
      <w:r>
        <w:t>pt 3 hdg</w:t>
      </w:r>
      <w:r>
        <w:tab/>
        <w:t>om Act 1957 No 8 sch pt 2</w:t>
      </w:r>
    </w:p>
    <w:p w:rsidR="00B40966" w:rsidRDefault="00B40966">
      <w:pPr>
        <w:pStyle w:val="AmdtsEntryHd"/>
      </w:pPr>
    </w:p>
    <w:p w:rsidR="00B40966" w:rsidRDefault="00B40966">
      <w:pPr>
        <w:pStyle w:val="AmdtsEntries"/>
      </w:pPr>
      <w:r>
        <w:t>s 15</w:t>
      </w:r>
      <w:r>
        <w:tab/>
        <w:t>om Act 1957 No 8 sch pt 2</w:t>
      </w:r>
    </w:p>
    <w:p w:rsidR="00B40966" w:rsidRDefault="00B40966">
      <w:pPr>
        <w:pStyle w:val="AmdtsEntryHd"/>
      </w:pPr>
      <w:r>
        <w:t>Interpretation</w:t>
      </w:r>
    </w:p>
    <w:p w:rsidR="00B40966" w:rsidRDefault="00B40966">
      <w:pPr>
        <w:pStyle w:val="AmdtsEntries"/>
      </w:pPr>
      <w:r>
        <w:t>div 4.1 hdg</w:t>
      </w:r>
      <w:r>
        <w:tab/>
        <w:t>ins R2 LA</w:t>
      </w:r>
    </w:p>
    <w:p w:rsidR="00B40966" w:rsidRDefault="00B40966">
      <w:pPr>
        <w:pStyle w:val="AmdtsEntryHd"/>
      </w:pPr>
      <w:r>
        <w:t>Design, construction and erection of lifts</w:t>
      </w:r>
    </w:p>
    <w:p w:rsidR="00B40966" w:rsidRDefault="00B40966">
      <w:pPr>
        <w:pStyle w:val="AmdtsEntries"/>
      </w:pPr>
      <w:r>
        <w:t>div 4.2 hdg</w:t>
      </w:r>
      <w:r>
        <w:tab/>
        <w:t>(prev pt 4 div A hdg) renum R2 LA</w:t>
      </w:r>
    </w:p>
    <w:p w:rsidR="00B40966" w:rsidRDefault="00B40966">
      <w:pPr>
        <w:pStyle w:val="AmdtsEntryHd"/>
      </w:pPr>
    </w:p>
    <w:p w:rsidR="00B40966" w:rsidRDefault="00B40966">
      <w:pPr>
        <w:pStyle w:val="AmdtsEntries"/>
      </w:pPr>
      <w:r>
        <w:t>s 17</w:t>
      </w:r>
      <w:r>
        <w:tab/>
        <w:t>am Act 1957 No 8 sch pt 2; regs renum R2 LA</w:t>
      </w:r>
    </w:p>
    <w:p w:rsidR="00B40966" w:rsidRDefault="00B40966">
      <w:pPr>
        <w:pStyle w:val="AmdtsEntryHd"/>
      </w:pPr>
    </w:p>
    <w:p w:rsidR="00B40966" w:rsidRDefault="00B40966">
      <w:pPr>
        <w:pStyle w:val="AmdtsEntries"/>
      </w:pPr>
      <w:r>
        <w:t>s 18</w:t>
      </w:r>
      <w:r>
        <w:tab/>
        <w:t>ss renum R2 LA</w:t>
      </w:r>
    </w:p>
    <w:p w:rsidR="00B40966" w:rsidRDefault="00B40966">
      <w:pPr>
        <w:pStyle w:val="AmdtsEntryHd"/>
      </w:pPr>
    </w:p>
    <w:p w:rsidR="00B40966" w:rsidRDefault="00B40966">
      <w:pPr>
        <w:pStyle w:val="AmdtsEntries"/>
      </w:pPr>
      <w:r>
        <w:t>s 22</w:t>
      </w:r>
      <w:r>
        <w:tab/>
        <w:t>ss renum R2 LA</w:t>
      </w:r>
    </w:p>
    <w:p w:rsidR="00B40966" w:rsidRDefault="00B40966">
      <w:pPr>
        <w:pStyle w:val="AmdtsEntryHd"/>
      </w:pPr>
    </w:p>
    <w:p w:rsidR="00B40966" w:rsidRDefault="00B40966">
      <w:pPr>
        <w:pStyle w:val="AmdtsEntries"/>
      </w:pPr>
      <w:r>
        <w:t>s 23</w:t>
      </w:r>
      <w:r>
        <w:tab/>
        <w:t>ss renum R2 LA</w:t>
      </w:r>
    </w:p>
    <w:p w:rsidR="00B40966" w:rsidRDefault="00B40966">
      <w:pPr>
        <w:pStyle w:val="AmdtsEntryHd"/>
      </w:pPr>
    </w:p>
    <w:p w:rsidR="00B40966" w:rsidRDefault="00B40966">
      <w:pPr>
        <w:pStyle w:val="AmdtsEntries"/>
      </w:pPr>
      <w:r>
        <w:t>s 24</w:t>
      </w:r>
      <w:r>
        <w:tab/>
        <w:t>ss renum R2 LA</w:t>
      </w:r>
    </w:p>
    <w:p w:rsidR="00B40966" w:rsidRDefault="00B40966">
      <w:pPr>
        <w:pStyle w:val="AmdtsEntryHd"/>
      </w:pPr>
    </w:p>
    <w:p w:rsidR="00B40966" w:rsidRDefault="00B40966">
      <w:pPr>
        <w:pStyle w:val="AmdtsEntries"/>
      </w:pPr>
      <w:r>
        <w:t>s 25</w:t>
      </w:r>
      <w:r>
        <w:tab/>
        <w:t>sub regs gazetted 3 December 1954</w:t>
      </w:r>
    </w:p>
    <w:p w:rsidR="00B40966" w:rsidRDefault="00B40966">
      <w:pPr>
        <w:pStyle w:val="AmdtsEntries"/>
      </w:pPr>
      <w:r>
        <w:tab/>
        <w:t>ss renum R2 LA</w:t>
      </w:r>
    </w:p>
    <w:p w:rsidR="00B40966" w:rsidRDefault="00B40966">
      <w:pPr>
        <w:pStyle w:val="AmdtsEntryHd"/>
      </w:pPr>
    </w:p>
    <w:p w:rsidR="00B40966" w:rsidRDefault="00B40966">
      <w:pPr>
        <w:pStyle w:val="AmdtsEntries"/>
      </w:pPr>
      <w:r>
        <w:t>s 27</w:t>
      </w:r>
      <w:r>
        <w:tab/>
        <w:t>ss renum R2 LA</w:t>
      </w:r>
    </w:p>
    <w:p w:rsidR="00B40966" w:rsidRDefault="00B40966">
      <w:pPr>
        <w:pStyle w:val="AmdtsEntryHd"/>
      </w:pPr>
    </w:p>
    <w:p w:rsidR="00B40966" w:rsidRDefault="00B40966">
      <w:pPr>
        <w:pStyle w:val="AmdtsEntries"/>
      </w:pPr>
      <w:r>
        <w:t>s 28</w:t>
      </w:r>
      <w:r>
        <w:tab/>
        <w:t>ss renum R2 LA</w:t>
      </w:r>
    </w:p>
    <w:p w:rsidR="00B40966" w:rsidRDefault="00B40966">
      <w:pPr>
        <w:pStyle w:val="AmdtsEntryHd"/>
      </w:pPr>
    </w:p>
    <w:p w:rsidR="00B40966" w:rsidRDefault="00B40966">
      <w:pPr>
        <w:pStyle w:val="AmdtsEntries"/>
      </w:pPr>
      <w:r>
        <w:t>s 29</w:t>
      </w:r>
      <w:r>
        <w:tab/>
        <w:t>ss renum R2 LA; ss renum R3 LA</w:t>
      </w:r>
    </w:p>
    <w:p w:rsidR="00B40966" w:rsidRDefault="00B40966">
      <w:pPr>
        <w:pStyle w:val="AmdtsEntryHd"/>
      </w:pPr>
    </w:p>
    <w:p w:rsidR="00B40966" w:rsidRDefault="00B40966">
      <w:pPr>
        <w:pStyle w:val="AmdtsEntries"/>
      </w:pPr>
      <w:r>
        <w:t>s 31</w:t>
      </w:r>
      <w:r>
        <w:tab/>
        <w:t>ss renum R2 LA</w:t>
      </w:r>
    </w:p>
    <w:p w:rsidR="00B40966" w:rsidRDefault="00B40966">
      <w:pPr>
        <w:pStyle w:val="AmdtsEntryHd"/>
      </w:pPr>
    </w:p>
    <w:p w:rsidR="00B40966" w:rsidRDefault="00B40966">
      <w:pPr>
        <w:pStyle w:val="AmdtsEntries"/>
      </w:pPr>
      <w:r>
        <w:t>s 32</w:t>
      </w:r>
      <w:r>
        <w:tab/>
        <w:t>ss renum R2 LA</w:t>
      </w:r>
    </w:p>
    <w:p w:rsidR="00B40966" w:rsidRDefault="00B40966">
      <w:pPr>
        <w:pStyle w:val="AmdtsEntryHd"/>
      </w:pPr>
    </w:p>
    <w:p w:rsidR="00B40966" w:rsidRDefault="00B40966">
      <w:pPr>
        <w:pStyle w:val="AmdtsEntries"/>
      </w:pPr>
      <w:r>
        <w:t>s 33</w:t>
      </w:r>
      <w:r>
        <w:tab/>
        <w:t>ss renum R2 LA</w:t>
      </w:r>
    </w:p>
    <w:p w:rsidR="00B40966" w:rsidRDefault="00B40966">
      <w:pPr>
        <w:pStyle w:val="AmdtsEntryHd"/>
      </w:pPr>
    </w:p>
    <w:p w:rsidR="00B40966" w:rsidRDefault="00B40966">
      <w:pPr>
        <w:pStyle w:val="AmdtsEntries"/>
      </w:pPr>
      <w:r>
        <w:t>s 35</w:t>
      </w:r>
      <w:r>
        <w:tab/>
        <w:t>am Act 1957 No 8 sch pt 2; Act 2001 No 11 amdt 3.258</w:t>
      </w:r>
    </w:p>
    <w:p w:rsidR="00B40966" w:rsidRDefault="00B40966">
      <w:pPr>
        <w:pStyle w:val="AmdtsEntryHd"/>
      </w:pPr>
    </w:p>
    <w:p w:rsidR="00B40966" w:rsidRDefault="00B40966">
      <w:pPr>
        <w:pStyle w:val="AmdtsEntries"/>
      </w:pPr>
      <w:r>
        <w:t>s 39</w:t>
      </w:r>
      <w:r>
        <w:tab/>
        <w:t>ss renum R2 LA</w:t>
      </w:r>
    </w:p>
    <w:p w:rsidR="00B40966" w:rsidRDefault="00B40966">
      <w:pPr>
        <w:pStyle w:val="AmdtsEntryHd"/>
      </w:pPr>
    </w:p>
    <w:p w:rsidR="00B40966" w:rsidRDefault="00B40966">
      <w:pPr>
        <w:pStyle w:val="AmdtsEntries"/>
      </w:pPr>
      <w:r>
        <w:t>s 40</w:t>
      </w:r>
      <w:r>
        <w:tab/>
        <w:t>ss renum R2 LA</w:t>
      </w:r>
    </w:p>
    <w:p w:rsidR="00B40966" w:rsidRDefault="00B40966">
      <w:pPr>
        <w:pStyle w:val="AmdtsEntryHd"/>
      </w:pPr>
    </w:p>
    <w:p w:rsidR="00B40966" w:rsidRDefault="00B40966">
      <w:pPr>
        <w:pStyle w:val="AmdtsEntries"/>
      </w:pPr>
      <w:r>
        <w:t>s 41</w:t>
      </w:r>
      <w:r>
        <w:tab/>
        <w:t>ss renum R2 LA</w:t>
      </w:r>
    </w:p>
    <w:p w:rsidR="00B40966" w:rsidRDefault="00B40966">
      <w:pPr>
        <w:pStyle w:val="AmdtsEntryHd"/>
      </w:pPr>
    </w:p>
    <w:p w:rsidR="00B40966" w:rsidRDefault="00B40966">
      <w:pPr>
        <w:pStyle w:val="AmdtsEntries"/>
      </w:pPr>
      <w:r>
        <w:t>s 46</w:t>
      </w:r>
      <w:r>
        <w:tab/>
        <w:t>ss renum R2 LA</w:t>
      </w:r>
    </w:p>
    <w:p w:rsidR="00B40966" w:rsidRDefault="00B40966">
      <w:pPr>
        <w:pStyle w:val="AmdtsEntryHd"/>
      </w:pPr>
    </w:p>
    <w:p w:rsidR="00B40966" w:rsidRDefault="00B40966">
      <w:pPr>
        <w:pStyle w:val="AmdtsEntries"/>
      </w:pPr>
      <w:r>
        <w:t>s 51</w:t>
      </w:r>
      <w:r>
        <w:tab/>
        <w:t>ss renum R2 LA</w:t>
      </w:r>
    </w:p>
    <w:p w:rsidR="00B40966" w:rsidRDefault="00B40966">
      <w:pPr>
        <w:pStyle w:val="AmdtsEntryHd"/>
      </w:pPr>
    </w:p>
    <w:p w:rsidR="00B40966" w:rsidRDefault="00B40966">
      <w:pPr>
        <w:pStyle w:val="AmdtsEntries"/>
      </w:pPr>
      <w:r>
        <w:t>s 56</w:t>
      </w:r>
      <w:r>
        <w:tab/>
        <w:t>ss renum R2 LA</w:t>
      </w:r>
    </w:p>
    <w:p w:rsidR="00B40966" w:rsidRDefault="00B40966">
      <w:pPr>
        <w:pStyle w:val="AmdtsEntryHd"/>
      </w:pPr>
    </w:p>
    <w:p w:rsidR="00B40966" w:rsidRDefault="00B40966">
      <w:pPr>
        <w:pStyle w:val="AmdtsEntries"/>
      </w:pPr>
      <w:r>
        <w:t>s 61</w:t>
      </w:r>
      <w:r>
        <w:tab/>
        <w:t>ss renum R2 LA</w:t>
      </w:r>
    </w:p>
    <w:p w:rsidR="00B40966" w:rsidRDefault="00B40966">
      <w:pPr>
        <w:pStyle w:val="AmdtsEntryHd"/>
      </w:pPr>
    </w:p>
    <w:p w:rsidR="00B40966" w:rsidRDefault="00B40966">
      <w:pPr>
        <w:pStyle w:val="AmdtsEntries"/>
      </w:pPr>
      <w:r>
        <w:t>s 62</w:t>
      </w:r>
      <w:r>
        <w:tab/>
        <w:t>ss renum R2 LA</w:t>
      </w:r>
    </w:p>
    <w:p w:rsidR="00B40966" w:rsidRDefault="00B40966">
      <w:pPr>
        <w:pStyle w:val="AmdtsEntryHd"/>
      </w:pPr>
    </w:p>
    <w:p w:rsidR="00B40966" w:rsidRDefault="00B40966">
      <w:pPr>
        <w:pStyle w:val="AmdtsEntries"/>
      </w:pPr>
      <w:r>
        <w:t>s 63</w:t>
      </w:r>
      <w:r>
        <w:tab/>
        <w:t>ss renum R2 LA</w:t>
      </w:r>
    </w:p>
    <w:p w:rsidR="00B40966" w:rsidRDefault="00B40966">
      <w:pPr>
        <w:pStyle w:val="AmdtsEntryHd"/>
      </w:pPr>
      <w:r>
        <w:t>Maintenance of lifts</w:t>
      </w:r>
    </w:p>
    <w:p w:rsidR="00B40966" w:rsidRDefault="00B40966">
      <w:pPr>
        <w:pStyle w:val="AmdtsEntries"/>
      </w:pPr>
      <w:r>
        <w:t>div 4.3 hdg</w:t>
      </w:r>
      <w:r>
        <w:tab/>
        <w:t>(prev pt 4 div B hdg) renum R2 LA</w:t>
      </w:r>
    </w:p>
    <w:p w:rsidR="00B40966" w:rsidRDefault="00B40966">
      <w:pPr>
        <w:pStyle w:val="AmdtsEntryHd"/>
      </w:pPr>
    </w:p>
    <w:p w:rsidR="00B40966" w:rsidRDefault="00B40966">
      <w:pPr>
        <w:pStyle w:val="AmdtsEntries"/>
      </w:pPr>
      <w:r>
        <w:t>s 67</w:t>
      </w:r>
      <w:r>
        <w:tab/>
        <w:t>pars renum R2 LA</w:t>
      </w:r>
    </w:p>
    <w:p w:rsidR="00B40966" w:rsidRDefault="00B40966">
      <w:pPr>
        <w:pStyle w:val="AmdtsEntryHd"/>
      </w:pPr>
      <w:r>
        <w:t>Use of lifts</w:t>
      </w:r>
    </w:p>
    <w:p w:rsidR="00B40966" w:rsidRDefault="00B40966">
      <w:pPr>
        <w:pStyle w:val="AmdtsEntries"/>
      </w:pPr>
      <w:r>
        <w:t>div 4.4 hdg</w:t>
      </w:r>
      <w:r>
        <w:tab/>
        <w:t>(prev pt 4 div C hdg) renum R2 LA</w:t>
      </w:r>
    </w:p>
    <w:p w:rsidR="00B40966" w:rsidRDefault="00B40966">
      <w:pPr>
        <w:pStyle w:val="AmdtsEntryHd"/>
      </w:pPr>
    </w:p>
    <w:p w:rsidR="00B40966" w:rsidRDefault="00B40966">
      <w:pPr>
        <w:pStyle w:val="AmdtsEntries"/>
      </w:pPr>
      <w:r>
        <w:t>s 68</w:t>
      </w:r>
      <w:r>
        <w:tab/>
        <w:t>am 2000 No 47 s 11; ss etc renum R2 LA</w:t>
      </w:r>
    </w:p>
    <w:p w:rsidR="00B40966" w:rsidRDefault="00B40966">
      <w:pPr>
        <w:pStyle w:val="AmdtsEntryHd"/>
      </w:pPr>
    </w:p>
    <w:p w:rsidR="00B40966" w:rsidRDefault="00B40966">
      <w:pPr>
        <w:pStyle w:val="AmdtsEntries"/>
      </w:pPr>
      <w:r>
        <w:t>s 69</w:t>
      </w:r>
      <w:r>
        <w:tab/>
        <w:t>am Act 1957 No 8 sch pt 2</w:t>
      </w:r>
    </w:p>
    <w:p w:rsidR="00B40966" w:rsidRDefault="00B40966">
      <w:pPr>
        <w:pStyle w:val="AmdtsEntryHd"/>
      </w:pPr>
    </w:p>
    <w:p w:rsidR="00B40966" w:rsidRDefault="00B40966">
      <w:pPr>
        <w:pStyle w:val="AmdtsEntries"/>
      </w:pPr>
      <w:r>
        <w:t>s 70</w:t>
      </w:r>
      <w:r>
        <w:tab/>
        <w:t>am 2000 No 47 s 12</w:t>
      </w:r>
    </w:p>
    <w:p w:rsidR="00B40966" w:rsidRDefault="00B40966">
      <w:pPr>
        <w:pStyle w:val="AmdtsEntryHd"/>
      </w:pPr>
    </w:p>
    <w:p w:rsidR="00B40966" w:rsidRDefault="00B40966">
      <w:pPr>
        <w:pStyle w:val="AmdtsEntries"/>
      </w:pPr>
      <w:r>
        <w:t>s 72A</w:t>
      </w:r>
      <w:r>
        <w:tab/>
        <w:t>ins regs gazetted 22 June 1956</w:t>
      </w:r>
    </w:p>
    <w:p w:rsidR="00B40966" w:rsidRDefault="00B40966">
      <w:pPr>
        <w:pStyle w:val="AmdtsEntries"/>
      </w:pPr>
      <w:r>
        <w:tab/>
        <w:t>sub Act 1957 No 8 sch pt 2 (as am ord 1974 No 26 s 2; ord 1977 No 28 s 5)</w:t>
      </w:r>
    </w:p>
    <w:p w:rsidR="00B40966" w:rsidRDefault="00B40966">
      <w:pPr>
        <w:pStyle w:val="AmdtsEntries"/>
      </w:pPr>
      <w:r>
        <w:tab/>
        <w:t>am Act 1957 No 8 sch pt 2 (as am ord 1981 No 15 s 2; ord 1982 No 68 s 2)</w:t>
      </w:r>
    </w:p>
    <w:p w:rsidR="00B40966" w:rsidRDefault="00B40966">
      <w:pPr>
        <w:pStyle w:val="AmdtsEntries"/>
      </w:pPr>
      <w:r>
        <w:tab/>
        <w:t>om Act 1957 No 8 sch pt 2 (as am ord 1983 No 34 s 5)</w:t>
      </w:r>
    </w:p>
    <w:p w:rsidR="00B40966" w:rsidRDefault="00B40966">
      <w:pPr>
        <w:pStyle w:val="AmdtsEntryHd"/>
      </w:pPr>
      <w:r>
        <w:t>General</w:t>
      </w:r>
    </w:p>
    <w:p w:rsidR="00B40966" w:rsidRDefault="00B40966">
      <w:pPr>
        <w:pStyle w:val="AmdtsEntries"/>
      </w:pPr>
      <w:r>
        <w:t>div 5.1 hdg</w:t>
      </w:r>
      <w:r>
        <w:tab/>
        <w:t>(prev pt 5 div A hdg) renum R2 LA</w:t>
      </w:r>
    </w:p>
    <w:p w:rsidR="00B40966" w:rsidRDefault="00B40966">
      <w:pPr>
        <w:pStyle w:val="AmdtsEntryHd"/>
      </w:pPr>
    </w:p>
    <w:p w:rsidR="00B40966" w:rsidRDefault="00B40966">
      <w:pPr>
        <w:pStyle w:val="AmdtsEntries"/>
      </w:pPr>
      <w:r>
        <w:t>s 73</w:t>
      </w:r>
      <w:r>
        <w:tab/>
        <w:t>am Act 1957 No 8 sch pt 2 (as am ord 1976 No 7 s 2); ss etc renum R2 LA</w:t>
      </w:r>
    </w:p>
    <w:p w:rsidR="00B40966" w:rsidRDefault="00B40966">
      <w:pPr>
        <w:pStyle w:val="AmdtsEntryHd"/>
      </w:pPr>
    </w:p>
    <w:p w:rsidR="00B40966" w:rsidRDefault="00B40966">
      <w:pPr>
        <w:pStyle w:val="AmdtsEntries"/>
      </w:pPr>
      <w:r>
        <w:t>s 75</w:t>
      </w:r>
      <w:r>
        <w:tab/>
        <w:t>ss renum R2 LA</w:t>
      </w:r>
    </w:p>
    <w:p w:rsidR="00B40966" w:rsidRDefault="00B40966">
      <w:pPr>
        <w:pStyle w:val="AmdtsEntryHd"/>
      </w:pPr>
    </w:p>
    <w:p w:rsidR="00B40966" w:rsidRDefault="00B40966">
      <w:pPr>
        <w:pStyle w:val="AmdtsEntries"/>
      </w:pPr>
      <w:r>
        <w:t>s 76</w:t>
      </w:r>
      <w:r>
        <w:tab/>
        <w:t>om regs gazetted 22 June 1956</w:t>
      </w:r>
    </w:p>
    <w:p w:rsidR="00B40966" w:rsidRDefault="00B40966">
      <w:pPr>
        <w:pStyle w:val="AmdtsEntryHd"/>
      </w:pPr>
      <w:r>
        <w:t>Construction, erecting, adding to, altering, repairing, finishing, painting and cleaning buildings and structures</w:t>
      </w:r>
    </w:p>
    <w:p w:rsidR="00B40966" w:rsidRDefault="00B40966">
      <w:pPr>
        <w:pStyle w:val="AmdtsEntries"/>
      </w:pPr>
      <w:r>
        <w:t>div 5.2 hdg</w:t>
      </w:r>
      <w:r>
        <w:tab/>
        <w:t>(prev pt 5 div B hdg) renum R2 LA</w:t>
      </w:r>
    </w:p>
    <w:p w:rsidR="00B40966" w:rsidRDefault="00B40966">
      <w:pPr>
        <w:pStyle w:val="AmdtsEntryHd"/>
      </w:pPr>
    </w:p>
    <w:p w:rsidR="00B40966" w:rsidRDefault="00B40966">
      <w:pPr>
        <w:pStyle w:val="AmdtsEntries"/>
      </w:pPr>
      <w:r>
        <w:t>s 78</w:t>
      </w:r>
      <w:r>
        <w:tab/>
        <w:t>ss renum R2 LA</w:t>
      </w:r>
    </w:p>
    <w:p w:rsidR="00B40966" w:rsidRDefault="00B40966">
      <w:pPr>
        <w:pStyle w:val="AmdtsEntryHd"/>
      </w:pPr>
    </w:p>
    <w:p w:rsidR="00B40966" w:rsidRDefault="00B40966">
      <w:pPr>
        <w:pStyle w:val="AmdtsEntries"/>
      </w:pPr>
      <w:r>
        <w:t>s 79</w:t>
      </w:r>
      <w:r>
        <w:tab/>
        <w:t>ss renum R2 LA</w:t>
      </w:r>
    </w:p>
    <w:p w:rsidR="00B40966" w:rsidRDefault="00B40966">
      <w:pPr>
        <w:pStyle w:val="AmdtsEntryHd"/>
      </w:pPr>
    </w:p>
    <w:p w:rsidR="00B40966" w:rsidRDefault="00B40966">
      <w:pPr>
        <w:pStyle w:val="AmdtsEntries"/>
      </w:pPr>
      <w:r>
        <w:t>s 80</w:t>
      </w:r>
      <w:r>
        <w:tab/>
        <w:t>ss renum R2 LA</w:t>
      </w:r>
    </w:p>
    <w:p w:rsidR="00B40966" w:rsidRDefault="00B40966">
      <w:pPr>
        <w:pStyle w:val="AmdtsEntryHd"/>
      </w:pPr>
    </w:p>
    <w:p w:rsidR="00B40966" w:rsidRDefault="00B40966">
      <w:pPr>
        <w:pStyle w:val="AmdtsEntries"/>
      </w:pPr>
      <w:r>
        <w:t>s 81</w:t>
      </w:r>
      <w:r>
        <w:tab/>
        <w:t>ss renum R2 LA</w:t>
      </w:r>
    </w:p>
    <w:p w:rsidR="00B40966" w:rsidRDefault="00B40966">
      <w:pPr>
        <w:pStyle w:val="AmdtsEntryHd"/>
      </w:pPr>
    </w:p>
    <w:p w:rsidR="00B40966" w:rsidRDefault="00B40966">
      <w:pPr>
        <w:pStyle w:val="AmdtsEntries"/>
      </w:pPr>
      <w:r>
        <w:t>s 82</w:t>
      </w:r>
      <w:r>
        <w:tab/>
        <w:t>am Act 1957 No 8 sch pt 2; Act 2001 No 11 amdt 3.259; ss etc renum R2 LA</w:t>
      </w:r>
    </w:p>
    <w:p w:rsidR="00B40966" w:rsidRDefault="00B40966">
      <w:pPr>
        <w:pStyle w:val="AmdtsEntryHd"/>
      </w:pPr>
    </w:p>
    <w:p w:rsidR="00B40966" w:rsidRDefault="00B40966">
      <w:pPr>
        <w:pStyle w:val="AmdtsEntries"/>
      </w:pPr>
      <w:r>
        <w:t>s 83</w:t>
      </w:r>
      <w:r>
        <w:tab/>
        <w:t>am Act 1957 No 8 sch pt 2; ss etc renum R2 LA</w:t>
      </w:r>
    </w:p>
    <w:p w:rsidR="00B40966" w:rsidRDefault="00B40966">
      <w:pPr>
        <w:pStyle w:val="AmdtsEntryHd"/>
      </w:pPr>
      <w:r>
        <w:t>Demolition of buildings and structures</w:t>
      </w:r>
    </w:p>
    <w:p w:rsidR="00B40966" w:rsidRDefault="00B40966">
      <w:pPr>
        <w:pStyle w:val="AmdtsEntries"/>
      </w:pPr>
      <w:r>
        <w:t>div 5.3 hdg</w:t>
      </w:r>
      <w:r>
        <w:tab/>
        <w:t>(prev pt 5 div C hdg) renum R2 LA</w:t>
      </w:r>
    </w:p>
    <w:p w:rsidR="00B40966" w:rsidRDefault="00B40966">
      <w:pPr>
        <w:pStyle w:val="AmdtsEntryHd"/>
      </w:pPr>
    </w:p>
    <w:p w:rsidR="00B40966" w:rsidRDefault="00B40966">
      <w:pPr>
        <w:pStyle w:val="AmdtsEntries"/>
      </w:pPr>
      <w:r>
        <w:t>s 84</w:t>
      </w:r>
      <w:r>
        <w:tab/>
        <w:t>am regs gazetted 22 June 1956; 1999 No 19 sch; ss etc renum R2 LA</w:t>
      </w:r>
    </w:p>
    <w:p w:rsidR="00B40966" w:rsidRDefault="00B40966">
      <w:pPr>
        <w:pStyle w:val="AmdtsEntryHd"/>
      </w:pPr>
    </w:p>
    <w:p w:rsidR="00B40966" w:rsidRDefault="00B40966">
      <w:pPr>
        <w:pStyle w:val="AmdtsEntries"/>
      </w:pPr>
      <w:r>
        <w:t>s 86</w:t>
      </w:r>
      <w:r>
        <w:tab/>
        <w:t>ss etc renum R2 LA</w:t>
      </w:r>
    </w:p>
    <w:p w:rsidR="00B40966" w:rsidRDefault="00B40966">
      <w:pPr>
        <w:pStyle w:val="AmdtsEntryHd"/>
      </w:pPr>
    </w:p>
    <w:p w:rsidR="00B40966" w:rsidRDefault="00B40966">
      <w:pPr>
        <w:pStyle w:val="AmdtsEntries"/>
      </w:pPr>
      <w:r>
        <w:t>s 87</w:t>
      </w:r>
      <w:r>
        <w:tab/>
        <w:t>am regs gazetted 3 December 1954; ss etc renum R2 LA</w:t>
      </w:r>
    </w:p>
    <w:p w:rsidR="00B40966" w:rsidRDefault="00B40966">
      <w:pPr>
        <w:pStyle w:val="AmdtsEntryHd"/>
      </w:pPr>
    </w:p>
    <w:p w:rsidR="00B40966" w:rsidRDefault="00B40966">
      <w:pPr>
        <w:pStyle w:val="AmdtsEntries"/>
      </w:pPr>
      <w:r>
        <w:t>s 88</w:t>
      </w:r>
      <w:r>
        <w:tab/>
        <w:t>ss renum R2 LA</w:t>
      </w:r>
    </w:p>
    <w:p w:rsidR="00B40966" w:rsidRDefault="00B40966">
      <w:pPr>
        <w:pStyle w:val="AmdtsEntryHd"/>
      </w:pPr>
    </w:p>
    <w:p w:rsidR="00B40966" w:rsidRDefault="00B40966">
      <w:pPr>
        <w:pStyle w:val="AmdtsEntries"/>
      </w:pPr>
      <w:r>
        <w:t>s 89</w:t>
      </w:r>
      <w:r>
        <w:tab/>
        <w:t>ss etc renum R2 LA</w:t>
      </w:r>
    </w:p>
    <w:p w:rsidR="00B40966" w:rsidRDefault="00B40966">
      <w:pPr>
        <w:pStyle w:val="AmdtsEntryHd"/>
      </w:pPr>
    </w:p>
    <w:p w:rsidR="00B40966" w:rsidRDefault="00B40966">
      <w:pPr>
        <w:pStyle w:val="AmdtsEntries"/>
      </w:pPr>
      <w:r>
        <w:t>s 90</w:t>
      </w:r>
      <w:r>
        <w:tab/>
        <w:t>ss renum R2 LA</w:t>
      </w:r>
    </w:p>
    <w:p w:rsidR="00B40966" w:rsidRDefault="00B40966">
      <w:pPr>
        <w:pStyle w:val="AmdtsEntryHd"/>
      </w:pPr>
    </w:p>
    <w:p w:rsidR="00B40966" w:rsidRDefault="00B40966">
      <w:pPr>
        <w:pStyle w:val="AmdtsEntries"/>
      </w:pPr>
      <w:r>
        <w:t>s 91</w:t>
      </w:r>
      <w:r>
        <w:tab/>
        <w:t>ss etc renum R2 LA</w:t>
      </w:r>
    </w:p>
    <w:p w:rsidR="00B40966" w:rsidRDefault="00B40966">
      <w:pPr>
        <w:pStyle w:val="AmdtsEntryHd"/>
      </w:pPr>
    </w:p>
    <w:p w:rsidR="00B40966" w:rsidRDefault="00B40966">
      <w:pPr>
        <w:pStyle w:val="AmdtsEntries"/>
      </w:pPr>
      <w:r>
        <w:t>s 92</w:t>
      </w:r>
      <w:r>
        <w:tab/>
        <w:t>ss etc renum R2 LA</w:t>
      </w:r>
    </w:p>
    <w:p w:rsidR="00B40966" w:rsidRDefault="00B40966">
      <w:pPr>
        <w:pStyle w:val="AmdtsEntryHd"/>
      </w:pPr>
    </w:p>
    <w:p w:rsidR="00B40966" w:rsidRDefault="00B40966">
      <w:pPr>
        <w:pStyle w:val="AmdtsEntries"/>
      </w:pPr>
      <w:r>
        <w:t>s 93</w:t>
      </w:r>
      <w:r>
        <w:tab/>
        <w:t>ss etc renum R2 LA</w:t>
      </w:r>
    </w:p>
    <w:p w:rsidR="00B40966" w:rsidRDefault="00B40966">
      <w:pPr>
        <w:pStyle w:val="AmdtsEntryHd"/>
      </w:pPr>
    </w:p>
    <w:p w:rsidR="00B40966" w:rsidRDefault="00B40966">
      <w:pPr>
        <w:pStyle w:val="AmdtsEntries"/>
      </w:pPr>
      <w:r>
        <w:t>s 94</w:t>
      </w:r>
      <w:r>
        <w:tab/>
        <w:t>ss renum R2 LA</w:t>
      </w:r>
    </w:p>
    <w:p w:rsidR="00B40966" w:rsidRDefault="00B40966">
      <w:pPr>
        <w:pStyle w:val="AmdtsEntryHd"/>
      </w:pPr>
      <w:r>
        <w:t>General</w:t>
      </w:r>
    </w:p>
    <w:p w:rsidR="00B40966" w:rsidRDefault="00B40966">
      <w:pPr>
        <w:pStyle w:val="AmdtsEntries"/>
      </w:pPr>
      <w:r>
        <w:t>div 7.1 hdg</w:t>
      </w:r>
      <w:r>
        <w:tab/>
        <w:t>(prev pt 7 div A hdg) renum R2 LA</w:t>
      </w:r>
    </w:p>
    <w:p w:rsidR="00B40966" w:rsidRDefault="00B40966">
      <w:pPr>
        <w:pStyle w:val="AmdtsEntryHd"/>
      </w:pPr>
    </w:p>
    <w:p w:rsidR="00B40966" w:rsidRDefault="00B40966">
      <w:pPr>
        <w:pStyle w:val="AmdtsEntries"/>
      </w:pPr>
      <w:r>
        <w:t>s 95</w:t>
      </w:r>
      <w:r>
        <w:tab/>
        <w:t>am regs gazetted 3 December 1954; regs gazetted 22 June 1956; ss renum R2 LA</w:t>
      </w:r>
    </w:p>
    <w:p w:rsidR="00B40966" w:rsidRDefault="00B40966">
      <w:pPr>
        <w:pStyle w:val="AmdtsEntryHd"/>
      </w:pPr>
      <w:r>
        <w:t>Cofferdams and caissons</w:t>
      </w:r>
    </w:p>
    <w:p w:rsidR="00B40966" w:rsidRDefault="00B40966">
      <w:pPr>
        <w:pStyle w:val="AmdtsEntries"/>
      </w:pPr>
      <w:r>
        <w:t>div 7.2 hdg</w:t>
      </w:r>
      <w:r>
        <w:tab/>
        <w:t>(prev pt 7 div B hdg) renum R2 LA</w:t>
      </w:r>
    </w:p>
    <w:p w:rsidR="00B40966" w:rsidRDefault="00B40966">
      <w:pPr>
        <w:pStyle w:val="AmdtsEntryHd"/>
      </w:pPr>
      <w:r>
        <w:t>Trenches</w:t>
      </w:r>
    </w:p>
    <w:p w:rsidR="00B40966" w:rsidRDefault="00B40966">
      <w:pPr>
        <w:pStyle w:val="AmdtsEntries"/>
      </w:pPr>
      <w:r>
        <w:t>div 7.3 hdg</w:t>
      </w:r>
      <w:r>
        <w:tab/>
        <w:t>(prev pt 7 div C hdg) renum R2 LA</w:t>
      </w:r>
    </w:p>
    <w:p w:rsidR="00B40966" w:rsidRDefault="00B40966">
      <w:pPr>
        <w:pStyle w:val="AmdtsEntryHd"/>
      </w:pPr>
    </w:p>
    <w:p w:rsidR="00B40966" w:rsidRDefault="00B40966">
      <w:pPr>
        <w:pStyle w:val="AmdtsEntries"/>
      </w:pPr>
      <w:r>
        <w:t>s 97</w:t>
      </w:r>
      <w:r>
        <w:tab/>
        <w:t>ss renum R2 LA</w:t>
      </w:r>
    </w:p>
    <w:p w:rsidR="00B40966" w:rsidRDefault="00B40966">
      <w:pPr>
        <w:pStyle w:val="AmdtsEntryHd"/>
      </w:pPr>
      <w:r>
        <w:t>Shafts, wells and tunnels</w:t>
      </w:r>
    </w:p>
    <w:p w:rsidR="00B40966" w:rsidRDefault="00B40966">
      <w:pPr>
        <w:pStyle w:val="AmdtsEntries"/>
      </w:pPr>
      <w:r>
        <w:t>div 7.4 hdg</w:t>
      </w:r>
      <w:r>
        <w:tab/>
        <w:t>(prev pt 7 div D hdg) renum R2 LA</w:t>
      </w:r>
    </w:p>
    <w:p w:rsidR="00B40966" w:rsidRDefault="00B40966">
      <w:pPr>
        <w:pStyle w:val="AmdtsEntryHd"/>
      </w:pPr>
    </w:p>
    <w:p w:rsidR="00B40966" w:rsidRDefault="00B40966">
      <w:pPr>
        <w:pStyle w:val="AmdtsEntries"/>
      </w:pPr>
      <w:r>
        <w:t>s 98</w:t>
      </w:r>
      <w:r>
        <w:tab/>
        <w:t>ss renum R2 LA</w:t>
      </w:r>
    </w:p>
    <w:p w:rsidR="00B40966" w:rsidRDefault="00B40966">
      <w:pPr>
        <w:pStyle w:val="AmdtsEntryHd"/>
      </w:pPr>
      <w:r>
        <w:t>Diving</w:t>
      </w:r>
    </w:p>
    <w:p w:rsidR="00B40966" w:rsidRDefault="00B40966">
      <w:pPr>
        <w:pStyle w:val="AmdtsEntries"/>
      </w:pPr>
      <w:r>
        <w:t>div 8.1 hdg</w:t>
      </w:r>
      <w:r>
        <w:tab/>
        <w:t>(prev pt 8 div A hdg) renum R2 LA</w:t>
      </w:r>
    </w:p>
    <w:p w:rsidR="00B40966" w:rsidRDefault="00B40966">
      <w:pPr>
        <w:pStyle w:val="AmdtsEntryHd"/>
      </w:pPr>
    </w:p>
    <w:p w:rsidR="00B40966" w:rsidRDefault="00B40966">
      <w:pPr>
        <w:pStyle w:val="AmdtsEntries"/>
      </w:pPr>
      <w:r>
        <w:t>s 99</w:t>
      </w:r>
      <w:r>
        <w:tab/>
        <w:t>am regs gazetted 22 June 1956; Act 1957 No 8 sch pt 2; 1999 No 19 sch; ss etc renum R2 LA</w:t>
      </w:r>
    </w:p>
    <w:p w:rsidR="00B40966" w:rsidRDefault="00B40966">
      <w:pPr>
        <w:pStyle w:val="AmdtsEntryHd"/>
      </w:pPr>
      <w:r>
        <w:t>Tunnelling</w:t>
      </w:r>
    </w:p>
    <w:p w:rsidR="00B40966" w:rsidRDefault="00B40966">
      <w:pPr>
        <w:pStyle w:val="AmdtsEntries"/>
      </w:pPr>
      <w:r>
        <w:t>div 8.2 hdg</w:t>
      </w:r>
      <w:r>
        <w:tab/>
        <w:t>(prev pt 8 div B hdg) renum R2 LA</w:t>
      </w:r>
    </w:p>
    <w:p w:rsidR="00B40966" w:rsidRDefault="00B40966">
      <w:pPr>
        <w:pStyle w:val="AmdtsEntryHd"/>
      </w:pPr>
    </w:p>
    <w:p w:rsidR="00B40966" w:rsidRDefault="00B40966">
      <w:pPr>
        <w:pStyle w:val="AmdtsEntries"/>
      </w:pPr>
      <w:r>
        <w:t>s 100</w:t>
      </w:r>
      <w:r>
        <w:tab/>
        <w:t>am regs gazetted 22 June 1956; Act 1957 No 8 sch pt 2; 1986 No 9 s 3; 1999 No 19 sch; ss etc renum R2 LA</w:t>
      </w:r>
    </w:p>
    <w:p w:rsidR="00B40966" w:rsidRDefault="00B40966">
      <w:pPr>
        <w:pStyle w:val="AmdtsEntryHd"/>
      </w:pPr>
      <w:r>
        <w:t>Caissons</w:t>
      </w:r>
    </w:p>
    <w:p w:rsidR="00B40966" w:rsidRDefault="00B40966">
      <w:pPr>
        <w:pStyle w:val="AmdtsEntries"/>
      </w:pPr>
      <w:r>
        <w:t>div 8.3 hdg</w:t>
      </w:r>
      <w:r>
        <w:tab/>
        <w:t>renum R2 LA</w:t>
      </w:r>
    </w:p>
    <w:p w:rsidR="00B40966" w:rsidRDefault="00B40966">
      <w:pPr>
        <w:pStyle w:val="AmdtsEntryHd"/>
      </w:pPr>
    </w:p>
    <w:p w:rsidR="00B40966" w:rsidRDefault="00B40966">
      <w:pPr>
        <w:pStyle w:val="AmdtsEntries"/>
      </w:pPr>
      <w:r>
        <w:t>s 101</w:t>
      </w:r>
      <w:r>
        <w:tab/>
        <w:t>am regs gazetted 22 June 1956; Act 1957 No 8 sch pt 2; 1986 No 9; 1999 No 19 s 2 sch; ss etc renum R2 LA</w:t>
      </w:r>
    </w:p>
    <w:p w:rsidR="00B40966" w:rsidRDefault="00B40966">
      <w:pPr>
        <w:pStyle w:val="AmdtsEntryHd"/>
      </w:pPr>
    </w:p>
    <w:p w:rsidR="00B40966" w:rsidRDefault="00B40966">
      <w:pPr>
        <w:pStyle w:val="AmdtsEntries"/>
      </w:pPr>
      <w:r>
        <w:t>pt 9 hdg</w:t>
      </w:r>
      <w:r>
        <w:tab/>
        <w:t>om 1999 No 19 sch</w:t>
      </w:r>
    </w:p>
    <w:p w:rsidR="00B40966" w:rsidRDefault="00B40966">
      <w:pPr>
        <w:pStyle w:val="AmdtsEntryHd"/>
      </w:pPr>
    </w:p>
    <w:p w:rsidR="00B40966" w:rsidRDefault="00B40966">
      <w:pPr>
        <w:pStyle w:val="AmdtsEntries"/>
      </w:pPr>
      <w:r>
        <w:t>s 102</w:t>
      </w:r>
      <w:r>
        <w:tab/>
        <w:t>om 1999 No 19 sch</w:t>
      </w:r>
    </w:p>
    <w:p w:rsidR="00B40966" w:rsidRDefault="00B40966">
      <w:pPr>
        <w:pStyle w:val="AmdtsEntryHd"/>
      </w:pPr>
    </w:p>
    <w:p w:rsidR="00B40966" w:rsidRDefault="00B40966">
      <w:pPr>
        <w:pStyle w:val="AmdtsEntries"/>
      </w:pPr>
      <w:r>
        <w:t>s 103</w:t>
      </w:r>
      <w:r>
        <w:tab/>
        <w:t>am Act 1957 No 8 sch pt 2</w:t>
      </w:r>
    </w:p>
    <w:p w:rsidR="00B40966" w:rsidRDefault="00B40966">
      <w:pPr>
        <w:pStyle w:val="AmdtsEntries"/>
      </w:pPr>
      <w:r>
        <w:tab/>
        <w:t>om 1999 No 19 sch</w:t>
      </w:r>
    </w:p>
    <w:p w:rsidR="00B40966" w:rsidRDefault="00B40966">
      <w:pPr>
        <w:pStyle w:val="AmdtsEntryHd"/>
      </w:pPr>
    </w:p>
    <w:p w:rsidR="00B40966" w:rsidRDefault="00B40966">
      <w:pPr>
        <w:pStyle w:val="AmdtsEntries"/>
      </w:pPr>
      <w:r>
        <w:t>s 104</w:t>
      </w:r>
      <w:r>
        <w:tab/>
        <w:t>om 1999 No 19 sch</w:t>
      </w:r>
    </w:p>
    <w:p w:rsidR="00B40966" w:rsidRDefault="00B40966">
      <w:pPr>
        <w:pStyle w:val="AmdtsEntryHd"/>
      </w:pPr>
    </w:p>
    <w:p w:rsidR="00B40966" w:rsidRDefault="00B40966">
      <w:pPr>
        <w:pStyle w:val="AmdtsEntries"/>
      </w:pPr>
      <w:r>
        <w:t>s 105</w:t>
      </w:r>
      <w:r>
        <w:tab/>
        <w:t>om 1999 No 19 sch</w:t>
      </w:r>
    </w:p>
    <w:p w:rsidR="00B40966" w:rsidRDefault="00B40966">
      <w:pPr>
        <w:pStyle w:val="AmdtsEntryHd"/>
      </w:pPr>
    </w:p>
    <w:p w:rsidR="00B40966" w:rsidRDefault="00B40966">
      <w:pPr>
        <w:pStyle w:val="AmdtsEntries"/>
      </w:pPr>
      <w:r>
        <w:t>s 106</w:t>
      </w:r>
      <w:r>
        <w:tab/>
        <w:t>om 1999 No 19 sch</w:t>
      </w:r>
    </w:p>
    <w:p w:rsidR="00B40966" w:rsidRDefault="00B40966">
      <w:pPr>
        <w:pStyle w:val="AmdtsEntryHd"/>
      </w:pPr>
    </w:p>
    <w:p w:rsidR="00B40966" w:rsidRDefault="00B40966">
      <w:pPr>
        <w:pStyle w:val="AmdtsEntries"/>
      </w:pPr>
      <w:r>
        <w:t>s 107</w:t>
      </w:r>
      <w:r>
        <w:tab/>
        <w:t>om 1999 No 19 sch</w:t>
      </w:r>
    </w:p>
    <w:p w:rsidR="00B40966" w:rsidRDefault="00B40966">
      <w:pPr>
        <w:pStyle w:val="AmdtsEntryHd"/>
      </w:pPr>
    </w:p>
    <w:p w:rsidR="00B40966" w:rsidRDefault="00B40966">
      <w:pPr>
        <w:pStyle w:val="AmdtsEntries"/>
      </w:pPr>
      <w:r>
        <w:t>s 108</w:t>
      </w:r>
      <w:r>
        <w:tab/>
        <w:t>om 1999 No 19 sch</w:t>
      </w:r>
    </w:p>
    <w:p w:rsidR="00B40966" w:rsidRDefault="00B40966">
      <w:pPr>
        <w:pStyle w:val="AmdtsEntryHd"/>
      </w:pPr>
    </w:p>
    <w:p w:rsidR="00B40966" w:rsidRDefault="00B40966">
      <w:pPr>
        <w:pStyle w:val="AmdtsEntries"/>
      </w:pPr>
      <w:r>
        <w:t>s 109</w:t>
      </w:r>
      <w:r>
        <w:tab/>
        <w:t>om 1999 No 19 sch</w:t>
      </w:r>
    </w:p>
    <w:p w:rsidR="00B40966" w:rsidRDefault="00B40966">
      <w:pPr>
        <w:pStyle w:val="AmdtsEntryHd"/>
      </w:pPr>
    </w:p>
    <w:p w:rsidR="00B40966" w:rsidRDefault="00B40966">
      <w:pPr>
        <w:pStyle w:val="AmdtsEntries"/>
      </w:pPr>
      <w:r>
        <w:t>s 110</w:t>
      </w:r>
      <w:r>
        <w:tab/>
        <w:t>om 1999 No 19 sch</w:t>
      </w:r>
    </w:p>
    <w:p w:rsidR="00B40966" w:rsidRDefault="00B40966">
      <w:pPr>
        <w:pStyle w:val="AmdtsEntryHd"/>
      </w:pPr>
    </w:p>
    <w:p w:rsidR="00B40966" w:rsidRDefault="00B40966">
      <w:pPr>
        <w:pStyle w:val="AmdtsEntries"/>
      </w:pPr>
      <w:r>
        <w:t>s 111</w:t>
      </w:r>
      <w:r>
        <w:tab/>
        <w:t>om 1999 No 19 sch</w:t>
      </w:r>
    </w:p>
    <w:p w:rsidR="00B40966" w:rsidRDefault="00B40966">
      <w:pPr>
        <w:pStyle w:val="AmdtsEntryHd"/>
      </w:pPr>
    </w:p>
    <w:p w:rsidR="00B40966" w:rsidRDefault="00B40966">
      <w:pPr>
        <w:pStyle w:val="AmdtsEntries"/>
      </w:pPr>
      <w:r>
        <w:t>s 112</w:t>
      </w:r>
      <w:r>
        <w:tab/>
        <w:t>om 1999 No 19 sch</w:t>
      </w:r>
    </w:p>
    <w:p w:rsidR="00B40966" w:rsidRDefault="00B40966">
      <w:pPr>
        <w:pStyle w:val="AmdtsEntryHd"/>
      </w:pPr>
    </w:p>
    <w:p w:rsidR="00B40966" w:rsidRDefault="00B40966">
      <w:pPr>
        <w:pStyle w:val="AmdtsEntries"/>
      </w:pPr>
      <w:r>
        <w:t>s 113</w:t>
      </w:r>
      <w:r>
        <w:tab/>
        <w:t>om 1999 No 19 sch</w:t>
      </w:r>
    </w:p>
    <w:p w:rsidR="00B40966" w:rsidRDefault="00B40966">
      <w:pPr>
        <w:pStyle w:val="AmdtsEntryHd"/>
      </w:pPr>
    </w:p>
    <w:p w:rsidR="00B40966" w:rsidRDefault="00B40966">
      <w:pPr>
        <w:pStyle w:val="AmdtsEntries"/>
      </w:pPr>
      <w:r>
        <w:t>s 114</w:t>
      </w:r>
      <w:r>
        <w:tab/>
        <w:t>om 1999 No 19 sch</w:t>
      </w:r>
    </w:p>
    <w:p w:rsidR="00B40966" w:rsidRDefault="00B40966">
      <w:pPr>
        <w:pStyle w:val="AmdtsEntryHd"/>
      </w:pPr>
    </w:p>
    <w:p w:rsidR="00B40966" w:rsidRDefault="00B40966">
      <w:pPr>
        <w:pStyle w:val="AmdtsEntries"/>
      </w:pPr>
      <w:r>
        <w:t>s 115</w:t>
      </w:r>
      <w:r>
        <w:tab/>
        <w:t>om 1999 No 19 sch</w:t>
      </w:r>
    </w:p>
    <w:p w:rsidR="00B40966" w:rsidRDefault="00B40966">
      <w:pPr>
        <w:pStyle w:val="AmdtsEntryHd"/>
      </w:pPr>
    </w:p>
    <w:p w:rsidR="00B40966" w:rsidRDefault="00B40966">
      <w:pPr>
        <w:pStyle w:val="AmdtsEntries"/>
      </w:pPr>
      <w:r>
        <w:t>s 116</w:t>
      </w:r>
      <w:r>
        <w:tab/>
        <w:t>om 1999 No 19 sch</w:t>
      </w:r>
    </w:p>
    <w:p w:rsidR="00B40966" w:rsidRDefault="00B40966">
      <w:pPr>
        <w:pStyle w:val="AmdtsEntryHd"/>
      </w:pPr>
    </w:p>
    <w:p w:rsidR="00B40966" w:rsidRDefault="00B40966">
      <w:pPr>
        <w:pStyle w:val="AmdtsEntries"/>
      </w:pPr>
      <w:r>
        <w:t>s 117</w:t>
      </w:r>
      <w:r>
        <w:tab/>
        <w:t>om 1999 No 19 sch</w:t>
      </w:r>
    </w:p>
    <w:p w:rsidR="00B40966" w:rsidRDefault="00B40966">
      <w:pPr>
        <w:pStyle w:val="AmdtsEntryHd"/>
      </w:pPr>
    </w:p>
    <w:p w:rsidR="00B40966" w:rsidRDefault="00B40966">
      <w:pPr>
        <w:pStyle w:val="AmdtsEntries"/>
      </w:pPr>
      <w:r>
        <w:t>s 118</w:t>
      </w:r>
      <w:r>
        <w:tab/>
        <w:t>om 1999 No 19 sch</w:t>
      </w:r>
    </w:p>
    <w:p w:rsidR="00B40966" w:rsidRDefault="00B40966">
      <w:pPr>
        <w:pStyle w:val="AmdtsEntryHd"/>
      </w:pPr>
    </w:p>
    <w:p w:rsidR="00B40966" w:rsidRDefault="00B40966">
      <w:pPr>
        <w:pStyle w:val="AmdtsEntries"/>
      </w:pPr>
      <w:r>
        <w:t>s 118A</w:t>
      </w:r>
      <w:r>
        <w:tab/>
        <w:t>ins regs gazetted 9 March 1956</w:t>
      </w:r>
    </w:p>
    <w:p w:rsidR="00B40966" w:rsidRDefault="00B40966">
      <w:pPr>
        <w:pStyle w:val="AmdtsEntryHd"/>
      </w:pPr>
    </w:p>
    <w:p w:rsidR="00B40966" w:rsidRDefault="00B40966">
      <w:pPr>
        <w:pStyle w:val="AmdtsEntries"/>
      </w:pPr>
      <w:r>
        <w:t>s 118B</w:t>
      </w:r>
      <w:r>
        <w:tab/>
        <w:t>ins regs gazetted 9 March 1956; ss etc renum R2 LA</w:t>
      </w:r>
    </w:p>
    <w:p w:rsidR="00B40966" w:rsidRDefault="00B40966">
      <w:pPr>
        <w:pStyle w:val="AmdtsEntryHd"/>
      </w:pPr>
    </w:p>
    <w:p w:rsidR="00B40966" w:rsidRDefault="00B40966">
      <w:pPr>
        <w:pStyle w:val="AmdtsEntries"/>
      </w:pPr>
      <w:r>
        <w:t>s 118C</w:t>
      </w:r>
      <w:r>
        <w:tab/>
        <w:t>ins regs gazetted 9 March 1956; ss renum R2 LA</w:t>
      </w:r>
    </w:p>
    <w:p w:rsidR="00B40966" w:rsidRDefault="00B40966">
      <w:pPr>
        <w:pStyle w:val="AmdtsEntryHd"/>
      </w:pPr>
    </w:p>
    <w:p w:rsidR="00B40966" w:rsidRDefault="00B40966">
      <w:pPr>
        <w:pStyle w:val="AmdtsEntries"/>
      </w:pPr>
      <w:r>
        <w:t>s 118D</w:t>
      </w:r>
      <w:r>
        <w:tab/>
        <w:t>ins regs gazetted 9 March 1956; ss etc renum R2 LA</w:t>
      </w:r>
    </w:p>
    <w:p w:rsidR="00B40966" w:rsidRDefault="00B40966">
      <w:pPr>
        <w:pStyle w:val="AmdtsEntryHd"/>
      </w:pPr>
    </w:p>
    <w:p w:rsidR="00B40966" w:rsidRDefault="00B40966">
      <w:pPr>
        <w:pStyle w:val="AmdtsEntries"/>
      </w:pPr>
      <w:r>
        <w:t>s 118E</w:t>
      </w:r>
      <w:r>
        <w:tab/>
        <w:t>ins regs gazetted 9 March 1956; ss etc renum R2 LA</w:t>
      </w:r>
    </w:p>
    <w:p w:rsidR="00B40966" w:rsidRDefault="00B40966">
      <w:pPr>
        <w:pStyle w:val="AmdtsEntryHd"/>
      </w:pPr>
    </w:p>
    <w:p w:rsidR="00B40966" w:rsidRDefault="00B40966">
      <w:pPr>
        <w:pStyle w:val="AmdtsEntries"/>
      </w:pPr>
      <w:r>
        <w:t>s 118F</w:t>
      </w:r>
      <w:r>
        <w:tab/>
        <w:t>ins regs gazetted 9 March 1956; ss renum R2 LA</w:t>
      </w:r>
    </w:p>
    <w:p w:rsidR="00B40966" w:rsidRDefault="00B40966">
      <w:pPr>
        <w:pStyle w:val="AmdtsEntryHd"/>
      </w:pPr>
    </w:p>
    <w:p w:rsidR="00B40966" w:rsidRDefault="00B40966">
      <w:pPr>
        <w:pStyle w:val="AmdtsEntries"/>
      </w:pPr>
      <w:r>
        <w:t>s 118G</w:t>
      </w:r>
      <w:r>
        <w:tab/>
        <w:t>ins regs gazetted 9 March 1956; ss renum R2 LA</w:t>
      </w:r>
    </w:p>
    <w:p w:rsidR="00B40966" w:rsidRDefault="00B40966">
      <w:pPr>
        <w:pStyle w:val="AmdtsEntryHd"/>
      </w:pPr>
    </w:p>
    <w:p w:rsidR="00B40966" w:rsidRDefault="00B40966">
      <w:pPr>
        <w:pStyle w:val="AmdtsEntries"/>
      </w:pPr>
      <w:r>
        <w:t>s 118H</w:t>
      </w:r>
      <w:r>
        <w:tab/>
        <w:t>ins regs gazetted 9 March 1956</w:t>
      </w:r>
    </w:p>
    <w:p w:rsidR="00B40966" w:rsidRDefault="00B40966">
      <w:pPr>
        <w:pStyle w:val="AmdtsEntryHd"/>
      </w:pPr>
      <w:r>
        <w:t>First-aid equipment</w:t>
      </w:r>
    </w:p>
    <w:p w:rsidR="00B40966" w:rsidRDefault="00B40966">
      <w:pPr>
        <w:pStyle w:val="AmdtsEntries"/>
      </w:pPr>
      <w:r>
        <w:t>div 10.1 hdg</w:t>
      </w:r>
      <w:r>
        <w:tab/>
        <w:t>(prev pt 10 div A hdg) renum R2 LA</w:t>
      </w:r>
    </w:p>
    <w:p w:rsidR="00B40966" w:rsidRDefault="00B40966">
      <w:pPr>
        <w:pStyle w:val="AmdtsEntryHd"/>
      </w:pPr>
    </w:p>
    <w:p w:rsidR="00B40966" w:rsidRDefault="00B40966">
      <w:pPr>
        <w:pStyle w:val="AmdtsEntries"/>
      </w:pPr>
      <w:r>
        <w:t>s 119</w:t>
      </w:r>
      <w:r>
        <w:tab/>
        <w:t>am regs gazetted 3 December 1954; ss renum R2 LA</w:t>
      </w:r>
    </w:p>
    <w:p w:rsidR="00B40966" w:rsidRDefault="00B40966">
      <w:pPr>
        <w:pStyle w:val="AmdtsEntryHd"/>
      </w:pPr>
      <w:r>
        <w:t>Shelter, change and dining accommodation</w:t>
      </w:r>
    </w:p>
    <w:p w:rsidR="00B40966" w:rsidRDefault="00B40966">
      <w:pPr>
        <w:pStyle w:val="AmdtsEntries"/>
      </w:pPr>
      <w:r>
        <w:t>div 10.2 hdg</w:t>
      </w:r>
      <w:r>
        <w:tab/>
        <w:t>(prev pt 10 div B hdg) renum R2 LA</w:t>
      </w:r>
    </w:p>
    <w:p w:rsidR="00B40966" w:rsidRDefault="00B40966">
      <w:pPr>
        <w:pStyle w:val="AmdtsEntryHd"/>
      </w:pPr>
    </w:p>
    <w:p w:rsidR="00B40966" w:rsidRDefault="00B40966">
      <w:pPr>
        <w:pStyle w:val="AmdtsEntries"/>
      </w:pPr>
      <w:r>
        <w:t>s 120</w:t>
      </w:r>
      <w:r>
        <w:tab/>
        <w:t>ss etc renum R2 LA</w:t>
      </w:r>
    </w:p>
    <w:p w:rsidR="00B40966" w:rsidRDefault="00B40966">
      <w:pPr>
        <w:pStyle w:val="AmdtsEntryHd"/>
      </w:pPr>
      <w:r>
        <w:t>Sanitary conveniences and washing facilities</w:t>
      </w:r>
    </w:p>
    <w:p w:rsidR="00B40966" w:rsidRDefault="00B40966">
      <w:pPr>
        <w:pStyle w:val="AmdtsEntries"/>
      </w:pPr>
      <w:r>
        <w:t>div 10.3 hdg</w:t>
      </w:r>
      <w:r>
        <w:tab/>
        <w:t>(prev pt 10 div C hdg) renum R2 LA</w:t>
      </w:r>
    </w:p>
    <w:p w:rsidR="00B40966" w:rsidRDefault="00B40966">
      <w:pPr>
        <w:pStyle w:val="AmdtsEntryHd"/>
      </w:pPr>
    </w:p>
    <w:p w:rsidR="00B40966" w:rsidRDefault="00B40966">
      <w:pPr>
        <w:pStyle w:val="AmdtsEntries"/>
      </w:pPr>
      <w:r>
        <w:t>s 121</w:t>
      </w:r>
      <w:r>
        <w:tab/>
        <w:t>am Act 1957 No 8 sch pt 2 (as am ord 1968 No 5 s 2); 1986 No 9 s 4; ss etc renum R2 LA</w:t>
      </w:r>
    </w:p>
    <w:p w:rsidR="00B40966" w:rsidRDefault="00B40966">
      <w:pPr>
        <w:pStyle w:val="AmdtsEntryHd"/>
      </w:pPr>
    </w:p>
    <w:p w:rsidR="00B40966" w:rsidRDefault="00B40966">
      <w:pPr>
        <w:pStyle w:val="AmdtsEntries"/>
      </w:pPr>
      <w:r>
        <w:t>s 122</w:t>
      </w:r>
      <w:r>
        <w:tab/>
        <w:t>am Act 1957 No 8 sch pt 2; ss etc renum R2 LA</w:t>
      </w:r>
    </w:p>
    <w:p w:rsidR="00B40966" w:rsidRDefault="00B40966">
      <w:pPr>
        <w:pStyle w:val="AmdtsEntryHd"/>
      </w:pPr>
    </w:p>
    <w:p w:rsidR="00B40966" w:rsidRDefault="00B40966">
      <w:pPr>
        <w:pStyle w:val="AmdtsEntries"/>
      </w:pPr>
      <w:r>
        <w:t>s 123</w:t>
      </w:r>
      <w:r>
        <w:tab/>
        <w:t>ss renum R2 LA</w:t>
      </w:r>
    </w:p>
    <w:p w:rsidR="00B40966" w:rsidRDefault="00B40966">
      <w:pPr>
        <w:pStyle w:val="AmdtsEntryHd"/>
      </w:pPr>
    </w:p>
    <w:p w:rsidR="00B40966" w:rsidRDefault="00B40966">
      <w:pPr>
        <w:pStyle w:val="AmdtsEntries"/>
      </w:pPr>
      <w:r>
        <w:t>s 124</w:t>
      </w:r>
      <w:r>
        <w:tab/>
        <w:t>ss renum R2 LA</w:t>
      </w:r>
    </w:p>
    <w:p w:rsidR="00B40966" w:rsidRDefault="00B40966">
      <w:pPr>
        <w:pStyle w:val="AmdtsEntryHd"/>
      </w:pPr>
    </w:p>
    <w:p w:rsidR="00B40966" w:rsidRDefault="00B40966">
      <w:pPr>
        <w:pStyle w:val="AmdtsEntries"/>
      </w:pPr>
      <w:r>
        <w:t>s 125</w:t>
      </w:r>
      <w:r>
        <w:tab/>
        <w:t>ss renum R2 LA</w:t>
      </w:r>
    </w:p>
    <w:p w:rsidR="00B40966" w:rsidRDefault="00B40966">
      <w:pPr>
        <w:pStyle w:val="AmdtsEntryHd"/>
      </w:pPr>
    </w:p>
    <w:p w:rsidR="00B40966" w:rsidRDefault="00B40966">
      <w:pPr>
        <w:pStyle w:val="AmdtsEntries"/>
      </w:pPr>
      <w:r>
        <w:t>s 126</w:t>
      </w:r>
      <w:r>
        <w:tab/>
        <w:t>ss etc renum R2 LA</w:t>
      </w:r>
    </w:p>
    <w:p w:rsidR="00B40966" w:rsidRDefault="00B40966">
      <w:pPr>
        <w:pStyle w:val="AmdtsEntryHd"/>
      </w:pPr>
    </w:p>
    <w:p w:rsidR="00B40966" w:rsidRDefault="00B40966">
      <w:pPr>
        <w:pStyle w:val="AmdtsEntries"/>
      </w:pPr>
      <w:r>
        <w:t>s 127</w:t>
      </w:r>
      <w:r>
        <w:tab/>
        <w:t>am regs gazetted 5 August 1955; Act 2001 No 11 amdt 3.260; ss etc renum R2 LA</w:t>
      </w:r>
    </w:p>
    <w:p w:rsidR="00B40966" w:rsidRDefault="00B40966">
      <w:pPr>
        <w:pStyle w:val="AmdtsEntryHd"/>
      </w:pPr>
    </w:p>
    <w:p w:rsidR="00B40966" w:rsidRDefault="00B40966">
      <w:pPr>
        <w:pStyle w:val="AmdtsEntries"/>
      </w:pPr>
      <w:r>
        <w:t>s 128</w:t>
      </w:r>
      <w:r>
        <w:tab/>
        <w:t>ss renum R2 LA</w:t>
      </w:r>
    </w:p>
    <w:p w:rsidR="00B40966" w:rsidRDefault="00B40966">
      <w:pPr>
        <w:pStyle w:val="AmdtsEntryHd"/>
      </w:pPr>
    </w:p>
    <w:p w:rsidR="00B40966" w:rsidRDefault="00B40966">
      <w:pPr>
        <w:pStyle w:val="AmdtsEntries"/>
      </w:pPr>
      <w:r>
        <w:t>s 129</w:t>
      </w:r>
      <w:r>
        <w:tab/>
        <w:t>ss renum R2 LA</w:t>
      </w:r>
    </w:p>
    <w:p w:rsidR="00B40966" w:rsidRDefault="00B40966">
      <w:pPr>
        <w:pStyle w:val="AmdtsEntryHd"/>
      </w:pPr>
    </w:p>
    <w:p w:rsidR="00B40966" w:rsidRDefault="00B40966">
      <w:pPr>
        <w:pStyle w:val="AmdtsEntries"/>
      </w:pPr>
      <w:r>
        <w:t>s 130</w:t>
      </w:r>
      <w:r>
        <w:tab/>
        <w:t>am regs gazetted 3 December 1954; ss renum R2 LA</w:t>
      </w:r>
    </w:p>
    <w:p w:rsidR="00B40966" w:rsidRDefault="00B40966">
      <w:pPr>
        <w:pStyle w:val="AmdtsEntryHd"/>
      </w:pPr>
    </w:p>
    <w:p w:rsidR="00B40966" w:rsidRDefault="00B40966">
      <w:pPr>
        <w:pStyle w:val="AmdtsEntries"/>
      </w:pPr>
      <w:r>
        <w:t>s 131</w:t>
      </w:r>
      <w:r>
        <w:tab/>
        <w:t>ss renum R2 LA</w:t>
      </w:r>
    </w:p>
    <w:p w:rsidR="00B40966" w:rsidRDefault="00B40966">
      <w:pPr>
        <w:pStyle w:val="AmdtsEntryHd"/>
      </w:pPr>
    </w:p>
    <w:p w:rsidR="00B40966" w:rsidRDefault="00B40966">
      <w:pPr>
        <w:pStyle w:val="AmdtsEntries"/>
      </w:pPr>
      <w:r>
        <w:t>s 132</w:t>
      </w:r>
      <w:r>
        <w:tab/>
        <w:t>am regs gazetted 5 August 1955; ss etc renum R2 LA</w:t>
      </w:r>
    </w:p>
    <w:p w:rsidR="00B40966" w:rsidRDefault="00B40966">
      <w:pPr>
        <w:pStyle w:val="AmdtsEntryHd"/>
      </w:pPr>
    </w:p>
    <w:p w:rsidR="00B40966" w:rsidRDefault="00B40966">
      <w:pPr>
        <w:pStyle w:val="AmdtsEntries"/>
      </w:pPr>
      <w:r>
        <w:t>s 132A</w:t>
      </w:r>
      <w:r>
        <w:tab/>
        <w:t>ins regs gazetted 1 March 1957; ss renum R2 LA</w:t>
      </w:r>
    </w:p>
    <w:p w:rsidR="00B40966" w:rsidRDefault="00B40966">
      <w:pPr>
        <w:pStyle w:val="AmdtsEntryHd"/>
      </w:pPr>
    </w:p>
    <w:p w:rsidR="00B40966" w:rsidRDefault="00B40966">
      <w:pPr>
        <w:pStyle w:val="AmdtsEntries"/>
      </w:pPr>
      <w:r>
        <w:t>s 133</w:t>
      </w:r>
      <w:r>
        <w:tab/>
        <w:t>ss renum R2 LA</w:t>
      </w:r>
    </w:p>
    <w:p w:rsidR="00B40966" w:rsidRDefault="00B40966">
      <w:pPr>
        <w:pStyle w:val="AmdtsEntryHd"/>
      </w:pPr>
    </w:p>
    <w:p w:rsidR="00B40966" w:rsidRDefault="00B40966">
      <w:pPr>
        <w:pStyle w:val="AmdtsEntries"/>
      </w:pPr>
      <w:r>
        <w:t>s 134</w:t>
      </w:r>
      <w:r>
        <w:tab/>
        <w:t>ss renum R2 LA</w:t>
      </w:r>
    </w:p>
    <w:p w:rsidR="00B40966" w:rsidRDefault="00B40966">
      <w:pPr>
        <w:pStyle w:val="AmdtsEntryHd"/>
      </w:pPr>
    </w:p>
    <w:p w:rsidR="00B40966" w:rsidRDefault="00B40966">
      <w:pPr>
        <w:pStyle w:val="AmdtsEntries"/>
      </w:pPr>
      <w:r>
        <w:t>s 135</w:t>
      </w:r>
      <w:r>
        <w:tab/>
        <w:t>ss renum R2 LA</w:t>
      </w:r>
    </w:p>
    <w:p w:rsidR="00B40966" w:rsidRDefault="00B40966">
      <w:pPr>
        <w:pStyle w:val="AmdtsEntryHd"/>
      </w:pPr>
    </w:p>
    <w:p w:rsidR="00B40966" w:rsidRDefault="00B40966">
      <w:pPr>
        <w:pStyle w:val="AmdtsEntries"/>
      </w:pPr>
      <w:r>
        <w:t>s 136</w:t>
      </w:r>
      <w:r>
        <w:tab/>
        <w:t>ss renum R2 LA</w:t>
      </w:r>
    </w:p>
    <w:p w:rsidR="00B40966" w:rsidRDefault="00B40966">
      <w:pPr>
        <w:pStyle w:val="AmdtsEntryHd"/>
      </w:pPr>
    </w:p>
    <w:p w:rsidR="00B40966" w:rsidRDefault="00B40966">
      <w:pPr>
        <w:pStyle w:val="AmdtsEntries"/>
      </w:pPr>
      <w:r>
        <w:t>s 137</w:t>
      </w:r>
      <w:r>
        <w:tab/>
        <w:t>ss renum R2 LA</w:t>
      </w:r>
    </w:p>
    <w:p w:rsidR="00B40966" w:rsidRDefault="00B40966">
      <w:pPr>
        <w:pStyle w:val="AmdtsEntryHd"/>
      </w:pPr>
    </w:p>
    <w:p w:rsidR="00B40966" w:rsidRDefault="00B40966">
      <w:pPr>
        <w:pStyle w:val="AmdtsEntries"/>
      </w:pPr>
      <w:r>
        <w:t>s 138</w:t>
      </w:r>
      <w:r>
        <w:tab/>
        <w:t>am 2000 No 47 s 13; ss renum R2 LA</w:t>
      </w:r>
    </w:p>
    <w:p w:rsidR="00B40966" w:rsidRDefault="00B40966">
      <w:pPr>
        <w:pStyle w:val="AmdtsEntryHd"/>
      </w:pPr>
    </w:p>
    <w:p w:rsidR="00B40966" w:rsidRDefault="00B40966">
      <w:pPr>
        <w:pStyle w:val="AmdtsEntries"/>
      </w:pPr>
      <w:r>
        <w:t>s 139</w:t>
      </w:r>
      <w:r>
        <w:tab/>
        <w:t>ss etc renum R2 LA</w:t>
      </w:r>
    </w:p>
    <w:p w:rsidR="00B40966" w:rsidRDefault="00B40966">
      <w:pPr>
        <w:pStyle w:val="AmdtsEntryHd"/>
      </w:pPr>
    </w:p>
    <w:p w:rsidR="00B40966" w:rsidRDefault="00B40966">
      <w:pPr>
        <w:pStyle w:val="AmdtsEntries"/>
      </w:pPr>
      <w:r>
        <w:t>s 140</w:t>
      </w:r>
      <w:r>
        <w:tab/>
        <w:t>ss renum R2 LA</w:t>
      </w:r>
    </w:p>
    <w:p w:rsidR="00B40966" w:rsidRDefault="00B40966">
      <w:pPr>
        <w:pStyle w:val="AmdtsEntryHd"/>
      </w:pPr>
    </w:p>
    <w:p w:rsidR="00B40966" w:rsidRDefault="00B40966">
      <w:pPr>
        <w:pStyle w:val="AmdtsEntries"/>
      </w:pPr>
      <w:r>
        <w:t>s 141</w:t>
      </w:r>
      <w:r>
        <w:tab/>
        <w:t>ss renum R2 LA</w:t>
      </w:r>
    </w:p>
    <w:p w:rsidR="00B40966" w:rsidRDefault="00B40966">
      <w:pPr>
        <w:pStyle w:val="AmdtsEntryHd"/>
      </w:pPr>
    </w:p>
    <w:p w:rsidR="00B40966" w:rsidRDefault="00B40966">
      <w:pPr>
        <w:pStyle w:val="AmdtsEntries"/>
      </w:pPr>
      <w:r>
        <w:t>s 142</w:t>
      </w:r>
      <w:r>
        <w:tab/>
        <w:t>ss etc renum R2 LA</w:t>
      </w:r>
    </w:p>
    <w:p w:rsidR="00B40966" w:rsidRDefault="00B40966">
      <w:pPr>
        <w:pStyle w:val="AmdtsEntryHd"/>
      </w:pPr>
    </w:p>
    <w:p w:rsidR="00B40966" w:rsidRDefault="00B40966">
      <w:pPr>
        <w:pStyle w:val="AmdtsEntries"/>
      </w:pPr>
      <w:r>
        <w:t>s 143</w:t>
      </w:r>
      <w:r>
        <w:tab/>
        <w:t>am Act 1957 No 8 sch pt 2; Act 2001 No 11 amdt 3.261; ss etc renum R2 LA</w:t>
      </w:r>
    </w:p>
    <w:p w:rsidR="00B40966" w:rsidRDefault="00B40966">
      <w:pPr>
        <w:pStyle w:val="AmdtsEntryHd"/>
      </w:pPr>
    </w:p>
    <w:p w:rsidR="00B40966" w:rsidRDefault="00B40966">
      <w:pPr>
        <w:pStyle w:val="AmdtsEntries"/>
      </w:pPr>
      <w:r>
        <w:t>s 144</w:t>
      </w:r>
      <w:r>
        <w:tab/>
        <w:t>am regs gazetted 19 October 1956; Act 2001 No 11 amdt 3.262; ss etc renum R2 LA</w:t>
      </w:r>
    </w:p>
    <w:p w:rsidR="00B40966" w:rsidRDefault="00B40966">
      <w:pPr>
        <w:pStyle w:val="AmdtsEntryHd"/>
      </w:pPr>
    </w:p>
    <w:p w:rsidR="00B40966" w:rsidRDefault="00B40966">
      <w:pPr>
        <w:pStyle w:val="AmdtsEntries"/>
      </w:pPr>
      <w:r>
        <w:t>s 145</w:t>
      </w:r>
      <w:r>
        <w:tab/>
        <w:t>ss etc renum R2 LA</w:t>
      </w:r>
    </w:p>
    <w:p w:rsidR="00B40966" w:rsidRDefault="00B40966">
      <w:pPr>
        <w:pStyle w:val="AmdtsEntryHd"/>
      </w:pPr>
    </w:p>
    <w:p w:rsidR="00B40966" w:rsidRDefault="00B40966">
      <w:pPr>
        <w:pStyle w:val="AmdtsEntries"/>
      </w:pPr>
      <w:r>
        <w:t>s 150</w:t>
      </w:r>
      <w:r>
        <w:tab/>
        <w:t>pars renum R2 LA</w:t>
      </w:r>
    </w:p>
    <w:p w:rsidR="00B40966" w:rsidRDefault="00B40966">
      <w:pPr>
        <w:pStyle w:val="AmdtsEntryHd"/>
      </w:pPr>
    </w:p>
    <w:p w:rsidR="00B40966" w:rsidRDefault="00B40966">
      <w:pPr>
        <w:pStyle w:val="AmdtsEntries"/>
      </w:pPr>
      <w:r>
        <w:t>s 151</w:t>
      </w:r>
      <w:r>
        <w:tab/>
        <w:t>ss renum R2 LA</w:t>
      </w:r>
    </w:p>
    <w:p w:rsidR="00B40966" w:rsidRDefault="00B40966">
      <w:pPr>
        <w:pStyle w:val="AmdtsEntryHd"/>
      </w:pPr>
    </w:p>
    <w:p w:rsidR="00B40966" w:rsidRDefault="00B40966">
      <w:pPr>
        <w:pStyle w:val="AmdtsEntries"/>
      </w:pPr>
      <w:r>
        <w:t>s 154</w:t>
      </w:r>
      <w:r>
        <w:tab/>
        <w:t>pars etc renum R2 LA</w:t>
      </w:r>
    </w:p>
    <w:p w:rsidR="00B40966" w:rsidRDefault="00B40966">
      <w:pPr>
        <w:pStyle w:val="AmdtsEntryHd"/>
      </w:pPr>
    </w:p>
    <w:p w:rsidR="00B40966" w:rsidRDefault="00B40966">
      <w:pPr>
        <w:pStyle w:val="AmdtsEntries"/>
      </w:pPr>
      <w:r>
        <w:t>s 156</w:t>
      </w:r>
      <w:r>
        <w:tab/>
        <w:t>ss etc renum R2 LA</w:t>
      </w:r>
    </w:p>
    <w:p w:rsidR="00B40966" w:rsidRDefault="00B40966">
      <w:pPr>
        <w:pStyle w:val="AmdtsEntryHd"/>
      </w:pPr>
    </w:p>
    <w:p w:rsidR="00B40966" w:rsidRDefault="00B40966">
      <w:pPr>
        <w:pStyle w:val="AmdtsEntries"/>
      </w:pPr>
      <w:r>
        <w:t>s 157</w:t>
      </w:r>
      <w:r>
        <w:tab/>
        <w:t>ss renum R2 LA</w:t>
      </w:r>
    </w:p>
    <w:p w:rsidR="00B40966" w:rsidRDefault="00B40966">
      <w:pPr>
        <w:pStyle w:val="AmdtsEntryHd"/>
      </w:pPr>
    </w:p>
    <w:p w:rsidR="00B40966" w:rsidRDefault="00B40966">
      <w:pPr>
        <w:pStyle w:val="AmdtsEntries"/>
      </w:pPr>
      <w:r>
        <w:t>s 158</w:t>
      </w:r>
      <w:r>
        <w:tab/>
        <w:t>ss etc renum R2 LA</w:t>
      </w:r>
    </w:p>
    <w:p w:rsidR="00B40966" w:rsidRDefault="00B40966">
      <w:pPr>
        <w:pStyle w:val="AmdtsEntryHd"/>
      </w:pPr>
    </w:p>
    <w:p w:rsidR="00B40966" w:rsidRDefault="00B40966">
      <w:pPr>
        <w:pStyle w:val="AmdtsEntries"/>
      </w:pPr>
      <w:r>
        <w:t>pt 14 hdg</w:t>
      </w:r>
      <w:r>
        <w:tab/>
        <w:t>om 2000 No 47 s 14</w:t>
      </w:r>
    </w:p>
    <w:p w:rsidR="00B40966" w:rsidRDefault="00B40966">
      <w:pPr>
        <w:pStyle w:val="AmdtsEntryHd"/>
      </w:pPr>
    </w:p>
    <w:p w:rsidR="00B40966" w:rsidRDefault="00B40966">
      <w:pPr>
        <w:pStyle w:val="AmdtsEntries"/>
      </w:pPr>
      <w:r>
        <w:t>s 159</w:t>
      </w:r>
      <w:r>
        <w:tab/>
        <w:t>am regs gazetted 3 December 1954; Act 1957 No 8 sch pt 2 (as am ord 1976 No 7 s 3; ord 1977 No 28 s 5; ord 1983 No 34 s 5)</w:t>
      </w:r>
    </w:p>
    <w:p w:rsidR="00B40966" w:rsidRDefault="00B40966">
      <w:pPr>
        <w:pStyle w:val="AmdtsEntries"/>
      </w:pPr>
      <w:r>
        <w:tab/>
        <w:t>om 2000 No 47 s 14</w:t>
      </w:r>
    </w:p>
    <w:p w:rsidR="00B40966" w:rsidRDefault="00B40966">
      <w:pPr>
        <w:pStyle w:val="AmdtsEntryHd"/>
      </w:pPr>
    </w:p>
    <w:p w:rsidR="00B40966" w:rsidRDefault="00B40966">
      <w:pPr>
        <w:pStyle w:val="AmdtsEntries"/>
      </w:pPr>
      <w:r>
        <w:t>s 160</w:t>
      </w:r>
      <w:r>
        <w:tab/>
        <w:t>am regs gazetted 3 December 1954; Act 1957 No 8 sch pt 2</w:t>
      </w:r>
    </w:p>
    <w:p w:rsidR="00B40966" w:rsidRDefault="00B40966">
      <w:pPr>
        <w:pStyle w:val="AmdtsEntries"/>
      </w:pPr>
      <w:r>
        <w:tab/>
        <w:t>om 2000 No 47 s 14</w:t>
      </w:r>
    </w:p>
    <w:p w:rsidR="00B40966" w:rsidRDefault="00B40966">
      <w:pPr>
        <w:pStyle w:val="AmdtsEntryHd"/>
      </w:pPr>
    </w:p>
    <w:p w:rsidR="00B40966" w:rsidRDefault="00B40966">
      <w:pPr>
        <w:pStyle w:val="AmdtsEntries"/>
      </w:pPr>
      <w:r>
        <w:t>s 161</w:t>
      </w:r>
      <w:r>
        <w:tab/>
        <w:t>am regs gazetted 3 December 1954; Act 1957 No 8 sch pt 2</w:t>
      </w:r>
    </w:p>
    <w:p w:rsidR="00B40966" w:rsidRDefault="00B40966">
      <w:pPr>
        <w:pStyle w:val="AmdtsEntries"/>
      </w:pPr>
      <w:r>
        <w:tab/>
        <w:t>om 2000 No 47 s 14</w:t>
      </w:r>
    </w:p>
    <w:p w:rsidR="00B40966" w:rsidRDefault="00B40966">
      <w:pPr>
        <w:pStyle w:val="AmdtsEntryHd"/>
      </w:pPr>
    </w:p>
    <w:p w:rsidR="00B40966" w:rsidRDefault="00B40966">
      <w:pPr>
        <w:pStyle w:val="AmdtsEntries"/>
      </w:pPr>
      <w:r>
        <w:t>pt 15 hdg</w:t>
      </w:r>
      <w:r>
        <w:tab/>
        <w:t>om 2000 No 47 s 14</w:t>
      </w:r>
    </w:p>
    <w:p w:rsidR="00B40966" w:rsidRDefault="00B40966">
      <w:pPr>
        <w:pStyle w:val="AmdtsEntryHd"/>
      </w:pPr>
    </w:p>
    <w:p w:rsidR="00B40966" w:rsidRDefault="00B40966">
      <w:pPr>
        <w:pStyle w:val="AmdtsEntries"/>
      </w:pPr>
      <w:r>
        <w:t>s 162</w:t>
      </w:r>
      <w:r>
        <w:tab/>
        <w:t>am regs gazetted 3 December 1954; Act 1957 No 8 sch pt 2 (as am ord 1977 No 28 s 5; ord 1983 No 34 s 5)</w:t>
      </w:r>
    </w:p>
    <w:p w:rsidR="00B40966" w:rsidRDefault="00B40966">
      <w:pPr>
        <w:pStyle w:val="AmdtsEntries"/>
      </w:pPr>
      <w:r>
        <w:tab/>
        <w:t>om 2000 No 47 s 14</w:t>
      </w:r>
    </w:p>
    <w:p w:rsidR="00B40966" w:rsidRDefault="00B40966">
      <w:pPr>
        <w:pStyle w:val="AmdtsEntryHd"/>
      </w:pPr>
    </w:p>
    <w:p w:rsidR="00B40966" w:rsidRDefault="00B40966">
      <w:pPr>
        <w:pStyle w:val="AmdtsEntries"/>
      </w:pPr>
      <w:r>
        <w:t>s 163</w:t>
      </w:r>
      <w:r>
        <w:tab/>
        <w:t>om Act 1957 No 8 sch pt 2 (as am ord 1983 No 34 s 5)</w:t>
      </w:r>
    </w:p>
    <w:p w:rsidR="00B40966" w:rsidRDefault="00B40966">
      <w:pPr>
        <w:pStyle w:val="AmdtsEntryHd"/>
      </w:pPr>
    </w:p>
    <w:p w:rsidR="00B40966" w:rsidRDefault="00B40966">
      <w:pPr>
        <w:pStyle w:val="AmdtsEntries"/>
      </w:pPr>
      <w:r>
        <w:t>s 164</w:t>
      </w:r>
      <w:r>
        <w:tab/>
        <w:t>am Act 1957 No 8 sch pt 2 (as am ord 1977 No 28 s 4); ss renum R2 LA</w:t>
      </w:r>
    </w:p>
    <w:p w:rsidR="00B40966" w:rsidRDefault="00B40966">
      <w:pPr>
        <w:pStyle w:val="AmdtsEntryHd"/>
      </w:pPr>
    </w:p>
    <w:p w:rsidR="00B40966" w:rsidRDefault="00B40966">
      <w:pPr>
        <w:pStyle w:val="AmdtsEntries"/>
      </w:pPr>
      <w:r>
        <w:t>sch 1</w:t>
      </w:r>
      <w:r>
        <w:tab/>
        <w:t>am regs gazetted 3 November 1950; regs gazetted 6 March 1953; regs gazetted 22 June 1956; Act 1957 No 8 sch pt 2 (as am ord 1976 No 7 s 2; ord 1977 No 28 s 5; ord 1982 No 15 s 2; ord 1982 No 68 s 2)</w:t>
      </w:r>
    </w:p>
    <w:p w:rsidR="00B40966" w:rsidRDefault="00B40966">
      <w:pPr>
        <w:pStyle w:val="AmdtsEntries"/>
      </w:pPr>
      <w:r>
        <w:tab/>
        <w:t>om Act 1957 No 8 sch pt 2 (as am ord 1983 No 34 s 5)</w:t>
      </w:r>
    </w:p>
    <w:p w:rsidR="00B40966" w:rsidRDefault="00B40966">
      <w:pPr>
        <w:pStyle w:val="AmdtsEntryHd"/>
      </w:pPr>
    </w:p>
    <w:p w:rsidR="00B40966" w:rsidRDefault="00B40966">
      <w:pPr>
        <w:pStyle w:val="AmdtsEntries"/>
      </w:pPr>
      <w:r>
        <w:t>sch 2</w:t>
      </w:r>
      <w:r>
        <w:tab/>
        <w:t>am regs gazetted 22 June 1956; regs gazetted 19 October 1956</w:t>
      </w:r>
    </w:p>
    <w:p w:rsidR="00B40966" w:rsidRDefault="00B40966">
      <w:pPr>
        <w:pStyle w:val="AmdtsEntries"/>
      </w:pPr>
      <w:r>
        <w:tab/>
        <w:t>om Act 1957 No 8 sch pt 2</w:t>
      </w:r>
    </w:p>
    <w:p w:rsidR="00B40966" w:rsidRDefault="00B40966">
      <w:pPr>
        <w:pStyle w:val="AmdtsEntryHd"/>
      </w:pPr>
      <w:r>
        <w:t>Method of treatment of silica paint for the purpose of ascertaining the percentage of free silica present</w:t>
      </w:r>
    </w:p>
    <w:p w:rsidR="00B40966" w:rsidRDefault="00B40966">
      <w:pPr>
        <w:pStyle w:val="AmdtsEntries"/>
        <w:keepNext/>
      </w:pPr>
      <w:r>
        <w:t>sch 3 hdg</w:t>
      </w:r>
      <w:r>
        <w:tab/>
        <w:t>(prev third sch hdg) renum R2 LA</w:t>
      </w:r>
    </w:p>
    <w:p w:rsidR="00B40966" w:rsidRDefault="00B40966">
      <w:pPr>
        <w:pStyle w:val="AmdtsEntries"/>
      </w:pPr>
      <w:r>
        <w:t>sch 3</w:t>
      </w:r>
      <w:r>
        <w:tab/>
        <w:t>items renum R2 LA</w:t>
      </w:r>
    </w:p>
    <w:p w:rsidR="00B40966" w:rsidRDefault="00B40966">
      <w:pPr>
        <w:pStyle w:val="AmdtsEntryHd"/>
      </w:pPr>
      <w:r>
        <w:t>Processes to which regulation 73 (1) (o) applies</w:t>
      </w:r>
    </w:p>
    <w:p w:rsidR="00B40966" w:rsidRDefault="00B40966">
      <w:pPr>
        <w:pStyle w:val="AmdtsEntries"/>
      </w:pPr>
      <w:r>
        <w:t>sch 4 hdg</w:t>
      </w:r>
      <w:r>
        <w:tab/>
        <w:t>(prev fourth sch hdg) renum R2 LA</w:t>
      </w:r>
    </w:p>
    <w:p w:rsidR="00B40966" w:rsidRDefault="00B40966">
      <w:pPr>
        <w:pStyle w:val="AmdtsEntryHd"/>
      </w:pPr>
      <w:r>
        <w:t>Method of treatment of a lead compound for the purpose of determining the percentage of dry compound of lead</w:t>
      </w:r>
    </w:p>
    <w:p w:rsidR="00B40966" w:rsidRDefault="00B40966">
      <w:pPr>
        <w:pStyle w:val="AmdtsEntries"/>
      </w:pPr>
      <w:r>
        <w:t>sch 5 hdg</w:t>
      </w:r>
      <w:r>
        <w:tab/>
        <w:t>(prev fifth sch hdg) renum R2 LA</w:t>
      </w:r>
    </w:p>
    <w:p w:rsidR="00B40966" w:rsidRDefault="00B40966">
      <w:pPr>
        <w:pStyle w:val="AmdtsEntries"/>
      </w:pPr>
      <w:r>
        <w:t>sch 5</w:t>
      </w:r>
      <w:r>
        <w:tab/>
        <w:t>items renum R2 LA</w:t>
      </w:r>
    </w:p>
    <w:p w:rsidR="00B40966" w:rsidRDefault="00B40966">
      <w:pPr>
        <w:pStyle w:val="AmdtsEntryHd"/>
      </w:pPr>
    </w:p>
    <w:p w:rsidR="00B40966" w:rsidRDefault="00B40966">
      <w:pPr>
        <w:pStyle w:val="AmdtsEntries"/>
      </w:pPr>
      <w:r>
        <w:t>sch 6</w:t>
      </w:r>
      <w:r>
        <w:tab/>
        <w:t>om 1999 No 19 sch</w:t>
      </w:r>
    </w:p>
    <w:p w:rsidR="00B40966" w:rsidRDefault="00B40966">
      <w:pPr>
        <w:pStyle w:val="AmdtsEntryHd"/>
      </w:pPr>
    </w:p>
    <w:p w:rsidR="00B40966" w:rsidRDefault="00B40966">
      <w:pPr>
        <w:pStyle w:val="AmdtsEntries"/>
      </w:pPr>
      <w:r>
        <w:t>sch 7 hdg</w:t>
      </w:r>
      <w:r>
        <w:tab/>
        <w:t>(prev seventh sch hdg) renum R2 LA</w:t>
      </w:r>
    </w:p>
    <w:p w:rsidR="00B40966" w:rsidRDefault="00B40966">
      <w:pPr>
        <w:pStyle w:val="AmdtsEntryHd"/>
      </w:pPr>
      <w:r>
        <w:t>Medical standards and examination report for compressed air workers</w:t>
      </w:r>
    </w:p>
    <w:p w:rsidR="00B40966" w:rsidRDefault="00B40966">
      <w:pPr>
        <w:pStyle w:val="AmdtsEntries"/>
      </w:pPr>
      <w:r>
        <w:t>sch 8 hdg</w:t>
      </w:r>
      <w:r>
        <w:tab/>
        <w:t>(prev eighth sch hdg) renum R2 LA</w:t>
      </w:r>
    </w:p>
    <w:p w:rsidR="00B40966" w:rsidRDefault="00B40966">
      <w:pPr>
        <w:pStyle w:val="AmdtsEntries"/>
      </w:pPr>
      <w:r>
        <w:t>sch 8</w:t>
      </w:r>
      <w:r>
        <w:tab/>
        <w:t>pars renum R2 LA</w:t>
      </w:r>
    </w:p>
    <w:p w:rsidR="00B40966" w:rsidRDefault="00B40966">
      <w:pPr>
        <w:pStyle w:val="AmdtsEntryHd"/>
      </w:pPr>
      <w:r>
        <w:t>Symptoms and treatment of compressed air illness</w:t>
      </w:r>
    </w:p>
    <w:p w:rsidR="00B40966" w:rsidRDefault="00B40966">
      <w:pPr>
        <w:pStyle w:val="AmdtsEntries"/>
      </w:pPr>
      <w:r>
        <w:t>sch 9 hdg</w:t>
      </w:r>
      <w:r>
        <w:tab/>
        <w:t>(prev ninth sch hdg) renum R2 LA</w:t>
      </w:r>
    </w:p>
    <w:p w:rsidR="00B40966" w:rsidRDefault="00B40966">
      <w:pPr>
        <w:pStyle w:val="AmdtsEntries"/>
      </w:pPr>
      <w:r>
        <w:t>sch 9</w:t>
      </w:r>
      <w:r>
        <w:tab/>
        <w:t>cl etc renum R2 LA</w:t>
      </w:r>
    </w:p>
    <w:p w:rsidR="00B40966" w:rsidRDefault="00B40966">
      <w:pPr>
        <w:pStyle w:val="Endnote2"/>
      </w:pPr>
      <w:bookmarkStart w:id="329" w:name="_Toc87258164"/>
      <w:r>
        <w:t>5</w:t>
      </w:r>
      <w:r>
        <w:tab/>
      </w:r>
      <w:r>
        <w:rPr>
          <w:rStyle w:val="charTableText"/>
        </w:rPr>
        <w:t>Earlier republications</w:t>
      </w:r>
      <w:bookmarkEnd w:id="329"/>
    </w:p>
    <w:p w:rsidR="00B40966" w:rsidRDefault="00B40966">
      <w:pPr>
        <w:pStyle w:val="EndNoteTextEPS"/>
        <w:keepNext/>
      </w:pPr>
      <w:r>
        <w:t xml:space="preserve">Some earlier republications were not numbered. The number in column 1 refers to the publication order.  </w:t>
      </w:r>
    </w:p>
    <w:p w:rsidR="00B40966" w:rsidRDefault="00B40966">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Except for the footer, electronic and printed versions of an authorised republication are identical. </w:t>
      </w:r>
    </w:p>
    <w:p w:rsidR="00B40966" w:rsidRDefault="00B40966">
      <w:pPr>
        <w:pStyle w:val="EndNoteTextEPS"/>
        <w:keepNext/>
      </w:pPr>
    </w:p>
    <w:tbl>
      <w:tblPr>
        <w:tblW w:w="0" w:type="auto"/>
        <w:tblInd w:w="1248" w:type="dxa"/>
        <w:tblLayout w:type="fixed"/>
        <w:tblLook w:val="0000" w:firstRow="0" w:lastRow="0" w:firstColumn="0" w:lastColumn="0" w:noHBand="0" w:noVBand="0"/>
      </w:tblPr>
      <w:tblGrid>
        <w:gridCol w:w="1930"/>
        <w:gridCol w:w="2350"/>
        <w:gridCol w:w="2350"/>
      </w:tblGrid>
      <w:tr w:rsidR="00B40966">
        <w:tc>
          <w:tcPr>
            <w:tcW w:w="1930" w:type="dxa"/>
          </w:tcPr>
          <w:p w:rsidR="00B40966" w:rsidRDefault="00B40966">
            <w:pPr>
              <w:pStyle w:val="EarlierRepubHdg"/>
            </w:pPr>
            <w:r>
              <w:t>Republication No</w:t>
            </w:r>
          </w:p>
        </w:tc>
        <w:tc>
          <w:tcPr>
            <w:tcW w:w="2350" w:type="dxa"/>
          </w:tcPr>
          <w:p w:rsidR="00B40966" w:rsidRDefault="00B40966">
            <w:pPr>
              <w:pStyle w:val="EarlierRepubHdg"/>
            </w:pPr>
            <w:r>
              <w:t>Amendments to</w:t>
            </w:r>
          </w:p>
        </w:tc>
        <w:tc>
          <w:tcPr>
            <w:tcW w:w="2350" w:type="dxa"/>
          </w:tcPr>
          <w:p w:rsidR="00B40966" w:rsidRDefault="00B40966">
            <w:pPr>
              <w:pStyle w:val="EarlierRepubHdg"/>
            </w:pPr>
            <w:r>
              <w:t>Republication date</w:t>
            </w:r>
          </w:p>
        </w:tc>
      </w:tr>
      <w:tr w:rsidR="00B40966">
        <w:tc>
          <w:tcPr>
            <w:tcW w:w="1930" w:type="dxa"/>
          </w:tcPr>
          <w:p w:rsidR="00B40966" w:rsidRDefault="00B40966">
            <w:pPr>
              <w:pStyle w:val="EarlierRepubEntries"/>
            </w:pPr>
            <w:r>
              <w:t>1</w:t>
            </w:r>
          </w:p>
        </w:tc>
        <w:tc>
          <w:tcPr>
            <w:tcW w:w="2350" w:type="dxa"/>
          </w:tcPr>
          <w:p w:rsidR="00B40966" w:rsidRDefault="00B40966">
            <w:pPr>
              <w:pStyle w:val="EarlierRepubEntries"/>
            </w:pPr>
            <w:r>
              <w:t>SL 1986 No 9</w:t>
            </w:r>
          </w:p>
        </w:tc>
        <w:tc>
          <w:tcPr>
            <w:tcW w:w="2350" w:type="dxa"/>
          </w:tcPr>
          <w:p w:rsidR="00B40966" w:rsidRDefault="00B40966">
            <w:pPr>
              <w:pStyle w:val="EarlierRepubEntries"/>
            </w:pPr>
            <w:r>
              <w:t>31 October 1993</w:t>
            </w:r>
          </w:p>
        </w:tc>
      </w:tr>
      <w:tr w:rsidR="00B40966">
        <w:tc>
          <w:tcPr>
            <w:tcW w:w="1930" w:type="dxa"/>
          </w:tcPr>
          <w:p w:rsidR="00B40966" w:rsidRDefault="00B40966">
            <w:pPr>
              <w:pStyle w:val="EarlierRepubEntries"/>
            </w:pPr>
            <w:r>
              <w:t>2</w:t>
            </w:r>
          </w:p>
        </w:tc>
        <w:tc>
          <w:tcPr>
            <w:tcW w:w="2350" w:type="dxa"/>
          </w:tcPr>
          <w:p w:rsidR="00B40966" w:rsidRDefault="00B40966">
            <w:pPr>
              <w:pStyle w:val="EarlierRepubEntries"/>
            </w:pPr>
            <w:r>
              <w:t>A2001-44</w:t>
            </w:r>
          </w:p>
        </w:tc>
        <w:tc>
          <w:tcPr>
            <w:tcW w:w="2350" w:type="dxa"/>
          </w:tcPr>
          <w:p w:rsidR="00B40966" w:rsidRDefault="00B40966">
            <w:pPr>
              <w:pStyle w:val="EarlierRepubEntries"/>
            </w:pPr>
            <w:r>
              <w:t>11 September 2002</w:t>
            </w:r>
          </w:p>
        </w:tc>
      </w:tr>
    </w:tbl>
    <w:p w:rsidR="00B40966" w:rsidRDefault="00B40966"/>
    <w:p w:rsidR="00B40966" w:rsidRDefault="00B40966">
      <w:pPr>
        <w:pStyle w:val="05EndNote"/>
        <w:sectPr w:rsidR="00B40966">
          <w:headerReference w:type="even" r:id="rId203"/>
          <w:headerReference w:type="default" r:id="rId204"/>
          <w:footerReference w:type="even" r:id="rId205"/>
          <w:footerReference w:type="default" r:id="rId206"/>
          <w:pgSz w:w="11907" w:h="16839" w:code="9"/>
          <w:pgMar w:top="3000" w:right="1900" w:bottom="2500" w:left="2300" w:header="2480" w:footer="2100" w:gutter="0"/>
          <w:cols w:space="720"/>
          <w:docGrid w:linePitch="254"/>
        </w:sectPr>
      </w:pPr>
    </w:p>
    <w:p w:rsidR="00B40966" w:rsidRDefault="00B40966"/>
    <w:p w:rsidR="00B40966" w:rsidRDefault="00B40966"/>
    <w:p w:rsidR="00B40966" w:rsidRDefault="00B40966"/>
    <w:p w:rsidR="00B40966" w:rsidRDefault="00B40966"/>
    <w:p w:rsidR="00B40966" w:rsidRDefault="00B40966"/>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p>
    <w:p w:rsidR="00B40966" w:rsidRDefault="00B40966">
      <w:pPr>
        <w:rPr>
          <w:color w:val="000000"/>
          <w:sz w:val="22"/>
        </w:rPr>
      </w:pPr>
      <w:r>
        <w:rPr>
          <w:color w:val="000000"/>
          <w:sz w:val="22"/>
        </w:rPr>
        <w:t>©  Australian Capital Territory 2004</w:t>
      </w:r>
    </w:p>
    <w:p w:rsidR="00B40966" w:rsidRDefault="00B40966">
      <w:pPr>
        <w:rPr>
          <w:color w:val="000000"/>
          <w:sz w:val="22"/>
        </w:rPr>
      </w:pPr>
    </w:p>
    <w:p w:rsidR="00B40966" w:rsidRDefault="00B40966"/>
    <w:p w:rsidR="00B40966" w:rsidRDefault="00B40966"/>
    <w:sectPr w:rsidR="00B40966">
      <w:headerReference w:type="first" r:id="rId207"/>
      <w:footerReference w:type="first" r:id="rId208"/>
      <w:type w:val="continuous"/>
      <w:pgSz w:w="11907" w:h="16839" w:code="9"/>
      <w:pgMar w:top="3000" w:right="1900" w:bottom="2500" w:left="2300" w:header="2480" w:footer="2100" w:gutter="0"/>
      <w:cols w:space="720"/>
      <w:titlePg/>
      <w:docGrid w:linePitch="7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0966" w:rsidRDefault="00B40966">
      <w:r>
        <w:separator/>
      </w:r>
    </w:p>
  </w:endnote>
  <w:endnote w:type="continuationSeparator" w:id="0">
    <w:p w:rsidR="00B40966" w:rsidRDefault="00B40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1)">
    <w:altName w:val="Arial"/>
    <w:charset w:val="00"/>
    <w:family w:val="swiss"/>
    <w:pitch w:val="variable"/>
    <w:sig w:usb0="E0002AFF" w:usb1="C0007843"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Times New (W1)">
    <w:altName w:val="Times New Roman"/>
    <w:charset w:val="00"/>
    <w:family w:val="roman"/>
    <w:pitch w:val="variable"/>
    <w:sig w:usb0="20007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Garamond Narrow">
    <w:altName w:val="Times New Roman"/>
    <w:panose1 w:val="00000000000000000000"/>
    <w:charset w:val="4D"/>
    <w:family w:val="auto"/>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Pr="00320F52" w:rsidRDefault="00B40966" w:rsidP="00320F52">
    <w:pPr>
      <w:pStyle w:val="Footer"/>
      <w:jc w:val="center"/>
      <w:rPr>
        <w:rFonts w:cs="Arial"/>
        <w:sz w:val="14"/>
      </w:rPr>
    </w:pPr>
    <w:r w:rsidRPr="00320F52">
      <w:rPr>
        <w:rFonts w:cs="Arial"/>
        <w:sz w:val="14"/>
      </w:rPr>
      <w:fldChar w:fldCharType="begin"/>
    </w:r>
    <w:r w:rsidRPr="00320F52">
      <w:rPr>
        <w:rFonts w:cs="Arial"/>
        <w:sz w:val="14"/>
      </w:rPr>
      <w:instrText xml:space="preserve"> DOCPROPERTY "Status" </w:instrText>
    </w:r>
    <w:r w:rsidRPr="00320F52">
      <w:rPr>
        <w:rFonts w:cs="Arial"/>
        <w:sz w:val="14"/>
      </w:rPr>
      <w:fldChar w:fldCharType="separate"/>
    </w:r>
    <w:r w:rsidR="00C67449" w:rsidRPr="00320F52">
      <w:rPr>
        <w:rFonts w:cs="Arial"/>
        <w:sz w:val="14"/>
      </w:rPr>
      <w:t xml:space="preserve"> </w:t>
    </w:r>
    <w:r w:rsidRPr="00320F52">
      <w:rPr>
        <w:rFonts w:cs="Arial"/>
        <w:sz w:val="14"/>
      </w:rPr>
      <w:fldChar w:fldCharType="end"/>
    </w:r>
    <w:r w:rsidR="00320F52" w:rsidRPr="00320F52">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169</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169</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w:instrText>
          </w:r>
          <w:r>
            <w:instrText xml:space="preserve">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169</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180</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w:instrText>
          </w:r>
          <w:r>
            <w:instrText xml:space="preserve">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180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180</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193</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w:instrText>
          </w:r>
          <w:r>
            <w:instrText xml:space="preserve">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193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193</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214</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Pr="00320F52" w:rsidRDefault="00B40966" w:rsidP="00320F52">
    <w:pPr>
      <w:pStyle w:val="Footer"/>
      <w:jc w:val="center"/>
      <w:rPr>
        <w:rFonts w:cs="Arial"/>
        <w:sz w:val="14"/>
      </w:rPr>
    </w:pPr>
    <w:r w:rsidRPr="00320F52">
      <w:rPr>
        <w:rFonts w:cs="Arial"/>
        <w:sz w:val="14"/>
      </w:rPr>
      <w:fldChar w:fldCharType="begin"/>
    </w:r>
    <w:r w:rsidRPr="00320F52">
      <w:rPr>
        <w:rFonts w:cs="Arial"/>
        <w:sz w:val="14"/>
      </w:rPr>
      <w:instrText xml:space="preserve"> DOCPROPERTY "Status" </w:instrText>
    </w:r>
    <w:r w:rsidRPr="00320F52">
      <w:rPr>
        <w:rFonts w:cs="Arial"/>
        <w:sz w:val="14"/>
      </w:rPr>
      <w:fldChar w:fldCharType="separate"/>
    </w:r>
    <w:r w:rsidR="00C67449" w:rsidRPr="00320F52">
      <w:rPr>
        <w:rFonts w:cs="Arial"/>
        <w:sz w:val="14"/>
      </w:rPr>
      <w:t xml:space="preserve"> </w:t>
    </w:r>
    <w:r w:rsidRPr="00320F52">
      <w:rPr>
        <w:rFonts w:cs="Arial"/>
        <w:sz w:val="14"/>
      </w:rPr>
      <w:fldChar w:fldCharType="end"/>
    </w:r>
    <w:r w:rsidRPr="00320F52">
      <w:rPr>
        <w:rFonts w:cs="Arial"/>
        <w:sz w:val="14"/>
      </w:rPr>
      <w:fldChar w:fldCharType="begin"/>
    </w:r>
    <w:r w:rsidRPr="00320F52">
      <w:rPr>
        <w:rFonts w:cs="Arial"/>
        <w:sz w:val="14"/>
      </w:rPr>
      <w:instrText xml:space="preserve"> COMMENTS  \* MERGEFORMAT </w:instrText>
    </w:r>
    <w:r w:rsidRPr="00320F52">
      <w:rPr>
        <w:rFonts w:cs="Arial"/>
        <w:sz w:val="14"/>
      </w:rPr>
      <w:fldChar w:fldCharType="end"/>
    </w:r>
    <w:r w:rsidR="00320F52" w:rsidRPr="00320F52">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214</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216</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216</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w:instrText>
          </w:r>
          <w:r>
            <w:instrText xml:space="preserve">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216</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270</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273</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273</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276</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49" w:rsidRPr="00320F52" w:rsidRDefault="00320F52" w:rsidP="00320F52">
    <w:pPr>
      <w:pStyle w:val="Footer"/>
      <w:jc w:val="center"/>
      <w:rPr>
        <w:rFonts w:cs="Arial"/>
        <w:sz w:val="14"/>
      </w:rPr>
    </w:pPr>
    <w:r w:rsidRPr="00320F52">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w:instrText>
          </w:r>
          <w:r>
            <w:instrText xml:space="preserve">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276</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278</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278</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278</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288</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w:instrText>
          </w:r>
          <w:r>
            <w:instrText xml:space="preserve">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288</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290</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290</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290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319</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w:instrText>
          </w:r>
          <w:r>
            <w:instrText xml:space="preserve">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B40966">
      <w:tc>
        <w:tcPr>
          <w:tcW w:w="846" w:type="pct"/>
        </w:tcPr>
        <w:p w:rsidR="00B40966" w:rsidRDefault="00B40966">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13</w:t>
          </w:r>
          <w:r>
            <w:rPr>
              <w:rStyle w:val="PageNumber"/>
            </w:rPr>
            <w:fldChar w:fldCharType="end"/>
          </w:r>
        </w:p>
      </w:tc>
      <w:tc>
        <w:tcPr>
          <w:tcW w:w="3093"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w:instrText>
          </w:r>
          <w:r>
            <w:fldChar w:fldCharType="separate"/>
          </w:r>
          <w:r w:rsidR="00C67449">
            <w:t xml:space="preserve">Effective:  </w:t>
          </w:r>
          <w:r>
            <w:fldChar w:fldCharType="end"/>
          </w:r>
          <w:r>
            <w:fldChar w:fldCharType="begin"/>
          </w:r>
          <w:r>
            <w:instrText xml:space="preserve"> DOCPROPERTY "StartDt"   </w:instrText>
          </w:r>
          <w:r>
            <w:fldChar w:fldCharType="separate"/>
          </w:r>
          <w:r w:rsidR="00C67449">
            <w:t>04/11/04</w:t>
          </w:r>
          <w:r>
            <w:fldChar w:fldCharType="end"/>
          </w:r>
          <w:r>
            <w:fldChar w:fldCharType="begin"/>
          </w:r>
          <w:r>
            <w:instrText xml:space="preserve"> DOCPROPERTY "EndDt"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w:instrText>
          </w:r>
          <w:r>
            <w:fldChar w:fldCharType="separate"/>
          </w:r>
          <w:r w:rsidR="00C67449">
            <w:t>R3</w:t>
          </w:r>
          <w:r>
            <w:fldChar w:fldCharType="end"/>
          </w:r>
          <w:r w:rsidR="00B40966">
            <w:br/>
          </w:r>
          <w:r>
            <w:fldChar w:fldCharType="begin"/>
          </w:r>
          <w:r>
            <w:instrText xml:space="preserve"> DOCPROPERTY "RepubDt"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319</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321</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321</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321</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353</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353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359</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359</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359</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366</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40966">
      <w:tc>
        <w:tcPr>
          <w:tcW w:w="1061" w:type="pct"/>
        </w:tcPr>
        <w:p w:rsidR="00B40966" w:rsidRDefault="00D46C11">
          <w:pPr>
            <w:pStyle w:val="Footer"/>
          </w:pPr>
          <w:r>
            <w:fldChar w:fldCharType="begin"/>
          </w:r>
          <w:r>
            <w:instrText xml:space="preserve"> DOCPROPERTY "Category"  </w:instrText>
          </w:r>
          <w:r>
            <w:fldChar w:fldCharType="separate"/>
          </w:r>
          <w:r w:rsidR="00C67449">
            <w:t>R3</w:t>
          </w:r>
          <w:r>
            <w:fldChar w:fldCharType="end"/>
          </w:r>
          <w:r w:rsidR="00B40966">
            <w:br/>
          </w:r>
          <w:r>
            <w:fldChar w:fldCharType="begin"/>
          </w:r>
          <w:r>
            <w:instrText xml:space="preserve"> DOCPROPERTY "RepubDt"  </w:instrText>
          </w:r>
          <w:r>
            <w:fldChar w:fldCharType="separate"/>
          </w:r>
          <w:r w:rsidR="00C67449">
            <w:t>04/11/04</w:t>
          </w:r>
          <w:r>
            <w:fldChar w:fldCharType="end"/>
          </w:r>
        </w:p>
      </w:tc>
      <w:tc>
        <w:tcPr>
          <w:tcW w:w="3093"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w:instrText>
          </w:r>
          <w:r>
            <w:fldChar w:fldCharType="separate"/>
          </w:r>
          <w:r w:rsidR="00C67449">
            <w:t xml:space="preserve">Effective:  </w:t>
          </w:r>
          <w:r>
            <w:fldChar w:fldCharType="end"/>
          </w:r>
          <w:r>
            <w:fldChar w:fldCharType="begin"/>
          </w:r>
          <w:r>
            <w:instrText xml:space="preserve"> DOCPROPERTY "StartDt"  </w:instrText>
          </w:r>
          <w:r>
            <w:fldChar w:fldCharType="separate"/>
          </w:r>
          <w:r w:rsidR="00C67449">
            <w:t>04/11/04</w:t>
          </w:r>
          <w:r>
            <w:fldChar w:fldCharType="end"/>
          </w:r>
          <w:r>
            <w:fldChar w:fldCharType="begin"/>
          </w:r>
          <w:r>
            <w:instrText xml:space="preserve"> DOCPROPERTY "EndDt"  </w:instrText>
          </w:r>
          <w:r>
            <w:fldChar w:fldCharType="separate"/>
          </w:r>
          <w:r w:rsidR="00C67449">
            <w:t>-11/04/07</w:t>
          </w:r>
          <w:r>
            <w:fldChar w:fldCharType="end"/>
          </w:r>
        </w:p>
      </w:tc>
      <w:tc>
        <w:tcPr>
          <w:tcW w:w="846" w:type="pct"/>
        </w:tcPr>
        <w:p w:rsidR="00B40966" w:rsidRDefault="00B4096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w:instrText>
          </w:r>
          <w:r>
            <w:instrText xml:space="preserve">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366</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p w:rsidR="00B40966" w:rsidRDefault="00B40966">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end"/>
    </w:r>
  </w:p>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395</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spacing w:before="0" w:after="0"/>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395</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410</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w:instrText>
          </w:r>
          <w:r>
            <w:instrText xml:space="preserve">"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410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410</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420</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w:instrText>
          </w:r>
          <w:r>
            <w:instrText xml:space="preserve">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477</w:t>
          </w:r>
          <w:r>
            <w:rPr>
              <w:rStyle w:val="PageNumber"/>
            </w:rPr>
            <w:fldChar w:fldCharType="end"/>
          </w:r>
        </w:p>
      </w:tc>
    </w:tr>
  </w:tbl>
  <w:p w:rsidR="00B40966" w:rsidRDefault="00D46C11">
    <w:pPr>
      <w:pStyle w:val="Status"/>
    </w:pPr>
    <w:r>
      <w:fldChar w:fldCharType="begin"/>
    </w:r>
    <w:r>
      <w:instrText xml:space="preserve"> DOCPROPERTY "Status" </w:instrText>
    </w:r>
    <w:r>
      <w:fldChar w:fldCharType="separate"/>
    </w:r>
    <w:r w:rsidR="00C67449">
      <w:t xml:space="preserve"> </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B40966">
      <w:tc>
        <w:tcPr>
          <w:tcW w:w="1061" w:type="pct"/>
        </w:tcPr>
        <w:p w:rsidR="00B40966" w:rsidRDefault="00D46C11">
          <w:pPr>
            <w:pStyle w:val="Footer"/>
          </w:pPr>
          <w:r>
            <w:fldChar w:fldCharType="begin"/>
          </w:r>
          <w:r>
            <w:instrText xml:space="preserve"> DOCPROPERTY "Category"  </w:instrText>
          </w:r>
          <w:r>
            <w:fldChar w:fldCharType="separate"/>
          </w:r>
          <w:r w:rsidR="00C67449">
            <w:t>R3</w:t>
          </w:r>
          <w:r>
            <w:fldChar w:fldCharType="end"/>
          </w:r>
          <w:r w:rsidR="00B40966">
            <w:br/>
          </w:r>
          <w:r>
            <w:fldChar w:fldCharType="begin"/>
          </w:r>
          <w:r>
            <w:instrText xml:space="preserve"> D</w:instrText>
          </w:r>
          <w:r>
            <w:instrText xml:space="preserve">OCPROPERTY "RepubDt"  </w:instrText>
          </w:r>
          <w:r>
            <w:fldChar w:fldCharType="separate"/>
          </w:r>
          <w:r w:rsidR="00C67449">
            <w:t>04/11/04</w:t>
          </w:r>
          <w:r>
            <w:fldChar w:fldCharType="end"/>
          </w:r>
        </w:p>
      </w:tc>
      <w:tc>
        <w:tcPr>
          <w:tcW w:w="3093"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w:instrText>
          </w:r>
          <w:r>
            <w:fldChar w:fldCharType="separate"/>
          </w:r>
          <w:r w:rsidR="00C67449">
            <w:t xml:space="preserve">Effective:  </w:t>
          </w:r>
          <w:r>
            <w:fldChar w:fldCharType="end"/>
          </w:r>
          <w:r>
            <w:fldChar w:fldCharType="begin"/>
          </w:r>
          <w:r>
            <w:instrText xml:space="preserve"> DOCPROPERTY "StartDt"   </w:instrText>
          </w:r>
          <w:r>
            <w:fldChar w:fldCharType="separate"/>
          </w:r>
          <w:r w:rsidR="00C67449">
            <w:t>04/11/04</w:t>
          </w:r>
          <w:r>
            <w:fldChar w:fldCharType="end"/>
          </w:r>
          <w:r>
            <w:fldChar w:fldCharType="begin"/>
          </w:r>
          <w:r>
            <w:instrText xml:space="preserve"> DOCPROPERTY "EndDt"  </w:instrText>
          </w:r>
          <w:r>
            <w:fldChar w:fldCharType="separate"/>
          </w:r>
          <w:r w:rsidR="00C67449">
            <w:t>-11/04/07</w:t>
          </w:r>
          <w:r>
            <w:fldChar w:fldCharType="end"/>
          </w:r>
        </w:p>
      </w:tc>
      <w:tc>
        <w:tcPr>
          <w:tcW w:w="846" w:type="pct"/>
        </w:tcPr>
        <w:p w:rsidR="00B40966" w:rsidRDefault="00B40966">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13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423</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w:instrText>
          </w:r>
          <w:r>
            <w:instrText xml:space="preserve">"Eff"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423</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B40966">
      <w:tc>
        <w:tcPr>
          <w:tcW w:w="1240" w:type="dxa"/>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454</w:t>
          </w:r>
          <w:r>
            <w:rPr>
              <w:rStyle w:val="PageNumber"/>
            </w:rP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553" w:type="dxa"/>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B40966">
      <w:tc>
        <w:tcPr>
          <w:tcW w:w="1553" w:type="dxa"/>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8580" w:type="dxa"/>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
            <w:jc w:val="center"/>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240" w:type="dxa"/>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454</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457</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457</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460</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w:instrText>
          </w:r>
          <w:r>
            <w:instrText xml:space="preserve">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460</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462</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462</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B40966">
      <w:tc>
        <w:tcPr>
          <w:tcW w:w="847" w:type="pct"/>
        </w:tcPr>
        <w:p w:rsidR="00B40966" w:rsidRDefault="00B40966">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478</w:t>
          </w:r>
          <w:r>
            <w:rPr>
              <w:rStyle w:val="PageNumber"/>
            </w:rP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1061" w:type="pct"/>
        </w:tcPr>
        <w:p w:rsidR="00B40966" w:rsidRDefault="00D46C11">
          <w:pPr>
            <w:pStyle w:val="Footer"/>
            <w:jc w:val="right"/>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478</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Pr="00320F52" w:rsidRDefault="00320F52" w:rsidP="00320F52">
    <w:pPr>
      <w:pStyle w:val="Footer"/>
      <w:jc w:val="center"/>
      <w:rPr>
        <w:rFonts w:cs="Arial"/>
        <w:sz w:val="14"/>
      </w:rPr>
    </w:pPr>
    <w:r w:rsidRPr="00320F52">
      <w:rPr>
        <w:rFonts w:cs="Arial"/>
        <w:sz w:val="14"/>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B40966">
      <w:tc>
        <w:tcPr>
          <w:tcW w:w="1061" w:type="pct"/>
        </w:tcPr>
        <w:p w:rsidR="00B40966" w:rsidRDefault="00D46C11">
          <w:pPr>
            <w:pStyle w:val="Footer"/>
          </w:pPr>
          <w:r>
            <w:fldChar w:fldCharType="begin"/>
          </w:r>
          <w:r>
            <w:instrText xml:space="preserve"> DOCPROPERTY "Category"  *\charformat  </w:instrText>
          </w:r>
          <w:r>
            <w:fldChar w:fldCharType="separate"/>
          </w:r>
          <w:r w:rsidR="00C67449">
            <w:t>R3</w:t>
          </w:r>
          <w:r>
            <w:fldChar w:fldCharType="end"/>
          </w:r>
          <w:r w:rsidR="00B40966">
            <w:br/>
          </w:r>
          <w:r>
            <w:fldChar w:fldCharType="begin"/>
          </w:r>
          <w:r>
            <w:instrText xml:space="preserve"> DOCPROPERTY "RepubDt"  *\charformat  </w:instrText>
          </w:r>
          <w:r>
            <w:fldChar w:fldCharType="separate"/>
          </w:r>
          <w:r w:rsidR="00C67449">
            <w:t>04/11/04</w:t>
          </w:r>
          <w:r>
            <w:fldChar w:fldCharType="end"/>
          </w:r>
        </w:p>
      </w:tc>
      <w:tc>
        <w:tcPr>
          <w:tcW w:w="3092" w:type="pct"/>
        </w:tcPr>
        <w:p w:rsidR="00B40966" w:rsidRDefault="00D46C11">
          <w:pPr>
            <w:pStyle w:val="Footer"/>
            <w:jc w:val="center"/>
          </w:pPr>
          <w:r>
            <w:fldChar w:fldCharType="begin"/>
          </w:r>
          <w:r>
            <w:instrText xml:space="preserve"> REF Citation *\charformat </w:instrText>
          </w:r>
          <w:r>
            <w:fldChar w:fldCharType="separate"/>
          </w:r>
          <w:r w:rsidR="00C67449">
            <w:t>Scaffolding and Lifts Regulation 1950</w:t>
          </w:r>
          <w:r>
            <w:fldChar w:fldCharType="end"/>
          </w:r>
        </w:p>
        <w:p w:rsidR="00B40966" w:rsidRDefault="00D46C11">
          <w:pPr>
            <w:pStyle w:val="FooterInfoCentre"/>
          </w:pPr>
          <w:r>
            <w:fldChar w:fldCharType="begin"/>
          </w:r>
          <w:r>
            <w:instrText xml:space="preserve"> DOCPROPERTY "Eff"  *\charformat </w:instrText>
          </w:r>
          <w:r>
            <w:fldChar w:fldCharType="separate"/>
          </w:r>
          <w:r w:rsidR="00C67449">
            <w:t xml:space="preserve">Effective:  </w:t>
          </w:r>
          <w:r>
            <w:fldChar w:fldCharType="end"/>
          </w:r>
          <w:r>
            <w:fldChar w:fldCharType="begin"/>
          </w:r>
          <w:r>
            <w:instrText xml:space="preserve"> DOCPROPERTY "StartDt"  *\charformat </w:instrText>
          </w:r>
          <w:r>
            <w:fldChar w:fldCharType="separate"/>
          </w:r>
          <w:r w:rsidR="00C67449">
            <w:t>04/11/04</w:t>
          </w:r>
          <w:r>
            <w:fldChar w:fldCharType="end"/>
          </w:r>
          <w:r>
            <w:fldChar w:fldCharType="begin"/>
          </w:r>
          <w:r>
            <w:instrText xml:space="preserve"> DOCPROPERTY "EndDt"  *\charformat </w:instrText>
          </w:r>
          <w:r>
            <w:fldChar w:fldCharType="separate"/>
          </w:r>
          <w:r w:rsidR="00C67449">
            <w:t>-11/04/07</w:t>
          </w:r>
          <w:r>
            <w:fldChar w:fldCharType="end"/>
          </w:r>
        </w:p>
      </w:tc>
      <w:tc>
        <w:tcPr>
          <w:tcW w:w="847" w:type="pct"/>
        </w:tcPr>
        <w:p w:rsidR="00B40966" w:rsidRDefault="00B40966">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sidR="00C67449">
            <w:rPr>
              <w:rStyle w:val="PageNumber"/>
              <w:noProof/>
            </w:rPr>
            <w:t>42</w:t>
          </w:r>
          <w:r>
            <w:rPr>
              <w:rStyle w:val="PageNumber"/>
            </w:rPr>
            <w:fldChar w:fldCharType="end"/>
          </w:r>
        </w:p>
      </w:tc>
    </w:tr>
  </w:tbl>
  <w:p w:rsidR="00B40966" w:rsidRPr="00320F52" w:rsidRDefault="00D46C11" w:rsidP="00320F52">
    <w:pPr>
      <w:pStyle w:val="Status"/>
      <w:rPr>
        <w:rFonts w:cs="Arial"/>
      </w:rPr>
    </w:pPr>
    <w:r w:rsidRPr="00320F52">
      <w:rPr>
        <w:rFonts w:cs="Arial"/>
      </w:rPr>
      <w:fldChar w:fldCharType="begin"/>
    </w:r>
    <w:r w:rsidRPr="00320F52">
      <w:rPr>
        <w:rFonts w:cs="Arial"/>
      </w:rPr>
      <w:instrText xml:space="preserve"> DOCPROPERTY "Status" </w:instrText>
    </w:r>
    <w:r w:rsidRPr="00320F52">
      <w:rPr>
        <w:rFonts w:cs="Arial"/>
      </w:rPr>
      <w:fldChar w:fldCharType="separate"/>
    </w:r>
    <w:r w:rsidR="00C67449" w:rsidRPr="00320F52">
      <w:rPr>
        <w:rFonts w:cs="Arial"/>
      </w:rPr>
      <w:t xml:space="preserve"> </w:t>
    </w:r>
    <w:r w:rsidRPr="00320F52">
      <w:rPr>
        <w:rFonts w:cs="Arial"/>
      </w:rPr>
      <w:fldChar w:fldCharType="end"/>
    </w:r>
    <w:r w:rsidR="00320F52" w:rsidRPr="00320F52">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0966" w:rsidRDefault="00B40966">
      <w:r>
        <w:separator/>
      </w:r>
    </w:p>
  </w:footnote>
  <w:footnote w:type="continuationSeparator" w:id="0">
    <w:p w:rsidR="00B40966" w:rsidRDefault="00B409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49" w:rsidRDefault="00C6744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8</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engaged in compressed air work</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separate"/>
          </w:r>
          <w:r w:rsidR="00C67449">
            <w:rPr>
              <w:b/>
              <w:noProof/>
            </w:rPr>
            <w:t>Division 8.3</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CharDivText \*charformat </w:instrText>
          </w:r>
          <w:r>
            <w:rPr>
              <w:noProof/>
            </w:rPr>
            <w:fldChar w:fldCharType="separate"/>
          </w:r>
          <w:r w:rsidR="00C67449">
            <w:rPr>
              <w:noProof/>
            </w:rPr>
            <w:t>Caissons</w:t>
          </w:r>
          <w:r>
            <w:rPr>
              <w:noProof/>
            </w:rP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101</w:t>
          </w:r>
          <w:r>
            <w:rPr>
              <w:noProof/>
            </w:rPr>
            <w:fldChar w:fldCharType="end"/>
          </w:r>
        </w:p>
      </w:tc>
    </w:tr>
  </w:tbl>
  <w:p w:rsidR="00B40966" w:rsidRDefault="00B4096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engaged in compressed air work</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8</w:t>
          </w:r>
          <w:r>
            <w:rPr>
              <w:b/>
            </w:rPr>
            <w:fldChar w:fldCharType="end"/>
          </w:r>
        </w:p>
      </w:tc>
    </w:tr>
    <w:tr w:rsidR="00B40966">
      <w:tc>
        <w:tcPr>
          <w:tcW w:w="4100" w:type="pct"/>
        </w:tcPr>
        <w:p w:rsidR="00B40966" w:rsidRDefault="00D46C11">
          <w:pPr>
            <w:pStyle w:val="HeaderEven"/>
            <w:jc w:val="right"/>
          </w:pPr>
          <w:r>
            <w:rPr>
              <w:noProof/>
            </w:rPr>
            <w:fldChar w:fldCharType="begin"/>
          </w:r>
          <w:r>
            <w:rPr>
              <w:noProof/>
            </w:rPr>
            <w:instrText xml:space="preserve"> STYLEREF CharDivText \*charformat </w:instrText>
          </w:r>
          <w:r>
            <w:rPr>
              <w:noProof/>
            </w:rPr>
            <w:fldChar w:fldCharType="separate"/>
          </w:r>
          <w:r w:rsidR="00C67449">
            <w:rPr>
              <w:noProof/>
            </w:rPr>
            <w:t>Caissons</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separate"/>
          </w:r>
          <w:r w:rsidR="00C67449">
            <w:rPr>
              <w:b/>
              <w:noProof/>
            </w:rPr>
            <w:t>Division 8.3</w: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101</w:t>
          </w:r>
          <w:r>
            <w:rPr>
              <w:noProof/>
            </w:rPr>
            <w:fldChar w:fldCharType="end"/>
          </w:r>
        </w:p>
      </w:tc>
    </w:tr>
  </w:tbl>
  <w:p w:rsidR="00B40966" w:rsidRDefault="00B4096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9A</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in connection with the use of explosive-powered tools in building work, excavation work and compressed air work</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118H</w:t>
          </w:r>
          <w:r>
            <w:rPr>
              <w:noProof/>
            </w:rPr>
            <w:fldChar w:fldCharType="end"/>
          </w:r>
        </w:p>
      </w:tc>
    </w:tr>
  </w:tbl>
  <w:p w:rsidR="00B40966" w:rsidRDefault="00B4096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in connection with the use of explosive-powered tools in building work, excavation work and compressed air work</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9A</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118H</w:t>
          </w:r>
          <w:r>
            <w:rPr>
              <w:noProof/>
            </w:rPr>
            <w:fldChar w:fldCharType="end"/>
          </w:r>
        </w:p>
      </w:tc>
    </w:tr>
  </w:tbl>
  <w:p w:rsidR="00B40966" w:rsidRDefault="00B40966">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10</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separate"/>
          </w:r>
          <w:r w:rsidR="00C67449">
            <w:rPr>
              <w:b/>
              <w:noProof/>
            </w:rPr>
            <w:t>Division 10.3</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CharDivText \*charformat </w:instrText>
          </w:r>
          <w:r>
            <w:rPr>
              <w:noProof/>
            </w:rPr>
            <w:fldChar w:fldCharType="separate"/>
          </w:r>
          <w:r w:rsidR="00C67449">
            <w:rPr>
              <w:noProof/>
            </w:rPr>
            <w:t>Sanitary conveniences and washing facilities</w:t>
          </w:r>
          <w:r>
            <w:rPr>
              <w:noProof/>
            </w:rPr>
            <w:fldChar w:fldCharType="end"/>
          </w:r>
        </w:p>
      </w:tc>
    </w:tr>
    <w:tr w:rsidR="00B40966">
      <w:trPr>
        <w:cantSplit/>
        <w:trHeight w:val="327"/>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121</w:t>
          </w:r>
          <w:r>
            <w:rPr>
              <w:noProof/>
            </w:rPr>
            <w:fldChar w:fldCharType="end"/>
          </w:r>
        </w:p>
      </w:tc>
    </w:tr>
  </w:tbl>
  <w:p w:rsidR="00B40966" w:rsidRDefault="00B4096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Measures to be taken for securing the health of persons in building work, excavation work and compressed air work by provision of first-aid equipment, shelter, change and dining accommodation, sanitary conveniences and washing facilities</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10</w:t>
          </w:r>
          <w:r>
            <w:rPr>
              <w:b/>
            </w:rPr>
            <w:fldChar w:fldCharType="end"/>
          </w:r>
        </w:p>
      </w:tc>
    </w:tr>
    <w:tr w:rsidR="00B40966">
      <w:tc>
        <w:tcPr>
          <w:tcW w:w="4100" w:type="pct"/>
        </w:tcPr>
        <w:p w:rsidR="00B40966" w:rsidRDefault="00D46C11">
          <w:pPr>
            <w:pStyle w:val="HeaderEven"/>
            <w:jc w:val="right"/>
          </w:pPr>
          <w:r>
            <w:rPr>
              <w:noProof/>
            </w:rPr>
            <w:fldChar w:fldCharType="begin"/>
          </w:r>
          <w:r>
            <w:rPr>
              <w:noProof/>
            </w:rPr>
            <w:instrText xml:space="preserve"> STYLEREF CharDivText \*charformat </w:instrText>
          </w:r>
          <w:r>
            <w:rPr>
              <w:noProof/>
            </w:rPr>
            <w:fldChar w:fldCharType="separate"/>
          </w:r>
          <w:r w:rsidR="00C67449">
            <w:rPr>
              <w:noProof/>
            </w:rPr>
            <w:t>Sanitary conveniences and washing facilities</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separate"/>
          </w:r>
          <w:r w:rsidR="00C67449">
            <w:rPr>
              <w:b/>
              <w:noProof/>
            </w:rPr>
            <w:t>Division 10.3</w: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121</w:t>
          </w:r>
          <w:r>
            <w:rPr>
              <w:noProof/>
            </w:rPr>
            <w:fldChar w:fldCharType="end"/>
          </w:r>
        </w:p>
      </w:tc>
    </w:tr>
  </w:tbl>
  <w:p w:rsidR="00B40966" w:rsidRDefault="00B40966">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w:instrText>
          </w:r>
          <w:r w:rsidR="00D46C11">
            <w:rPr>
              <w:noProof/>
            </w:rPr>
            <w:instrText xml:space="preserve">o \*charformat </w:instrText>
          </w:r>
          <w:r w:rsidR="00D46C11">
            <w:rPr>
              <w:noProof/>
            </w:rPr>
            <w:fldChar w:fldCharType="separate"/>
          </w:r>
          <w:r w:rsidR="00C67449">
            <w:rPr>
              <w:noProof/>
            </w:rPr>
            <w:t>126</w:t>
          </w:r>
          <w:r w:rsidR="00D46C11">
            <w:rPr>
              <w:noProof/>
            </w:rPr>
            <w:fldChar w:fldCharType="end"/>
          </w:r>
        </w:p>
      </w:tc>
    </w:tr>
  </w:tbl>
  <w:p w:rsidR="00B40966" w:rsidRDefault="00B4096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126</w:t>
          </w:r>
          <w:r w:rsidR="00D46C11">
            <w:rPr>
              <w:noProof/>
            </w:rPr>
            <w:fldChar w:fldCharType="end"/>
          </w:r>
        </w:p>
      </w:tc>
    </w:tr>
  </w:tbl>
  <w:p w:rsidR="00B40966" w:rsidRDefault="00B4096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w:instrText>
          </w:r>
          <w:r>
            <w:rPr>
              <w:noProof/>
            </w:rPr>
            <w:instrText xml:space="preserve">YLEREF CharSectNo \*charformat </w:instrText>
          </w:r>
          <w:r>
            <w:rPr>
              <w:noProof/>
            </w:rPr>
            <w:fldChar w:fldCharType="separate"/>
          </w:r>
          <w:r w:rsidR="00C67449">
            <w:rPr>
              <w:noProof/>
            </w:rPr>
            <w:t>126</w:t>
          </w:r>
          <w:r>
            <w:rPr>
              <w:noProof/>
            </w:rPr>
            <w:fldChar w:fldCharType="end"/>
          </w:r>
        </w:p>
      </w:tc>
    </w:tr>
  </w:tbl>
  <w:p w:rsidR="00B40966" w:rsidRDefault="00B4096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126</w:t>
          </w:r>
          <w:r>
            <w:rPr>
              <w:noProof/>
            </w:rPr>
            <w:fldChar w:fldCharType="end"/>
          </w:r>
        </w:p>
      </w:tc>
    </w:tr>
  </w:tbl>
  <w:p w:rsidR="00B40966" w:rsidRDefault="00B40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49" w:rsidRDefault="00C6744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128</w:t>
          </w:r>
          <w:r w:rsidR="00D46C11">
            <w:rPr>
              <w:noProof/>
            </w:rPr>
            <w:fldChar w:fldCharType="end"/>
          </w:r>
        </w:p>
      </w:tc>
    </w:tr>
  </w:tbl>
  <w:p w:rsidR="00B40966" w:rsidRDefault="00B4096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128</w:t>
          </w:r>
          <w:r w:rsidR="00D46C11">
            <w:rPr>
              <w:noProof/>
            </w:rPr>
            <w:fldChar w:fldCharType="end"/>
          </w:r>
        </w:p>
      </w:tc>
    </w:tr>
  </w:tbl>
  <w:p w:rsidR="00B40966" w:rsidRDefault="00B40966">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128</w:t>
          </w:r>
          <w:r>
            <w:rPr>
              <w:noProof/>
            </w:rPr>
            <w:fldChar w:fldCharType="end"/>
          </w:r>
        </w:p>
      </w:tc>
    </w:tr>
  </w:tbl>
  <w:p w:rsidR="00B40966" w:rsidRDefault="00B4096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128</w:t>
          </w:r>
          <w:r>
            <w:rPr>
              <w:noProof/>
            </w:rPr>
            <w:fldChar w:fldCharType="end"/>
          </w:r>
        </w:p>
      </w:tc>
    </w:tr>
  </w:tbl>
  <w:p w:rsidR="00B40966" w:rsidRDefault="00B4096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130</w:t>
          </w:r>
          <w:r w:rsidR="00D46C11">
            <w:rPr>
              <w:noProof/>
            </w:rPr>
            <w:fldChar w:fldCharType="end"/>
          </w:r>
        </w:p>
      </w:tc>
    </w:tr>
  </w:tbl>
  <w:p w:rsidR="00B40966" w:rsidRDefault="00B40966">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130</w:t>
          </w:r>
          <w:r w:rsidR="00D46C11">
            <w:rPr>
              <w:noProof/>
            </w:rPr>
            <w:fldChar w:fldCharType="end"/>
          </w:r>
        </w:p>
      </w:tc>
    </w:tr>
  </w:tbl>
  <w:p w:rsidR="00B40966" w:rsidRDefault="00B40966">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130</w:t>
          </w:r>
          <w:r>
            <w:rPr>
              <w:noProof/>
            </w:rPr>
            <w:fldChar w:fldCharType="end"/>
          </w:r>
        </w:p>
      </w:tc>
    </w:tr>
  </w:tbl>
  <w:p w:rsidR="00B40966" w:rsidRDefault="00B40966">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130</w:t>
          </w:r>
          <w:r>
            <w:rPr>
              <w:noProof/>
            </w:rPr>
            <w:fldChar w:fldCharType="end"/>
          </w:r>
        </w:p>
      </w:tc>
    </w:tr>
  </w:tbl>
  <w:p w:rsidR="00B40966" w:rsidRDefault="00B40966">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130</w:t>
          </w:r>
          <w:r w:rsidR="00D46C11">
            <w:rPr>
              <w:noProof/>
            </w:rPr>
            <w:fldChar w:fldCharType="end"/>
          </w:r>
        </w:p>
      </w:tc>
    </w:tr>
  </w:tbl>
  <w:p w:rsidR="00B40966" w:rsidRDefault="00B40966">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130</w:t>
          </w:r>
          <w:r w:rsidR="00D46C11">
            <w:rPr>
              <w:noProof/>
            </w:rPr>
            <w:fldChar w:fldCharType="end"/>
          </w:r>
        </w:p>
      </w:tc>
    </w:tr>
  </w:tbl>
  <w:p w:rsidR="00B40966" w:rsidRDefault="00B4096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7449" w:rsidRDefault="00C6744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130</w:t>
          </w:r>
          <w:r>
            <w:rPr>
              <w:noProof/>
            </w:rPr>
            <w:fldChar w:fldCharType="end"/>
          </w:r>
        </w:p>
      </w:tc>
    </w:tr>
  </w:tbl>
  <w:p w:rsidR="00B40966" w:rsidRDefault="00B40966">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130</w:t>
          </w:r>
          <w:r>
            <w:rPr>
              <w:noProof/>
            </w:rPr>
            <w:fldChar w:fldCharType="end"/>
          </w:r>
        </w:p>
      </w:tc>
    </w:tr>
  </w:tbl>
  <w:p w:rsidR="00B40966" w:rsidRDefault="00B40966">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139</w:t>
          </w:r>
          <w:r w:rsidR="00D46C11">
            <w:rPr>
              <w:noProof/>
            </w:rPr>
            <w:fldChar w:fldCharType="end"/>
          </w:r>
        </w:p>
      </w:tc>
    </w:tr>
  </w:tbl>
  <w:p w:rsidR="00B40966" w:rsidRDefault="00B40966">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139</w:t>
          </w:r>
          <w:r w:rsidR="00D46C11">
            <w:rPr>
              <w:noProof/>
            </w:rPr>
            <w:fldChar w:fldCharType="end"/>
          </w:r>
        </w:p>
      </w:tc>
    </w:tr>
  </w:tbl>
  <w:p w:rsidR="00B40966" w:rsidRDefault="00B40966">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139</w:t>
          </w:r>
          <w:r>
            <w:rPr>
              <w:noProof/>
            </w:rPr>
            <w:fldChar w:fldCharType="end"/>
          </w:r>
        </w:p>
      </w:tc>
    </w:tr>
  </w:tbl>
  <w:p w:rsidR="00B40966" w:rsidRDefault="00B40966">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Basic requirements about design and construction, erection, use, maintenance, inspection and testing with particular reference to cranes, lifts, hoists, scaffolding and plant</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11</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139</w:t>
          </w:r>
          <w:r>
            <w:rPr>
              <w:noProof/>
            </w:rPr>
            <w:fldChar w:fldCharType="end"/>
          </w:r>
        </w:p>
      </w:tc>
    </w:tr>
  </w:tbl>
  <w:p w:rsidR="00B40966" w:rsidRDefault="00B40966">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143</w:t>
          </w:r>
          <w:r w:rsidR="00D46C11">
            <w:rPr>
              <w:noProof/>
            </w:rPr>
            <w:fldChar w:fldCharType="end"/>
          </w:r>
        </w:p>
      </w:tc>
    </w:tr>
  </w:tbl>
  <w:p w:rsidR="00B40966" w:rsidRDefault="00B40966">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143</w:t>
          </w:r>
          <w:r w:rsidR="00D46C11">
            <w:rPr>
              <w:noProof/>
            </w:rPr>
            <w:fldChar w:fldCharType="end"/>
          </w:r>
        </w:p>
      </w:tc>
    </w:tr>
  </w:tbl>
  <w:p w:rsidR="00B40966" w:rsidRDefault="00B40966">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143</w:t>
          </w:r>
          <w:r>
            <w:rPr>
              <w:noProof/>
            </w:rPr>
            <w:fldChar w:fldCharType="end"/>
          </w:r>
        </w:p>
      </w:tc>
    </w:tr>
  </w:tbl>
  <w:p w:rsidR="00B40966" w:rsidRDefault="00B40966">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143</w:t>
          </w:r>
          <w:r>
            <w:rPr>
              <w:noProof/>
            </w:rPr>
            <w:fldChar w:fldCharType="end"/>
          </w:r>
        </w:p>
      </w:tc>
    </w:tr>
  </w:tbl>
  <w:p w:rsidR="00B40966" w:rsidRDefault="00B4096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pPr>
        </w:p>
      </w:tc>
      <w:tc>
        <w:tcPr>
          <w:tcW w:w="4100" w:type="pct"/>
        </w:tcPr>
        <w:p w:rsidR="00B40966" w:rsidRDefault="00B40966">
          <w:pPr>
            <w:pStyle w:val="HeaderEven"/>
          </w:pPr>
        </w:p>
      </w:tc>
    </w:tr>
    <w:tr w:rsidR="00B40966">
      <w:tc>
        <w:tcPr>
          <w:tcW w:w="4100" w:type="pct"/>
          <w:gridSpan w:val="2"/>
          <w:tcBorders>
            <w:bottom w:val="single" w:sz="4" w:space="0" w:color="auto"/>
          </w:tcBorders>
        </w:tcPr>
        <w:p w:rsidR="00B40966" w:rsidRDefault="00B40966">
          <w:pPr>
            <w:pStyle w:val="HeaderEven6"/>
          </w:pPr>
          <w:r>
            <w:fldChar w:fldCharType="begin"/>
          </w:r>
          <w:r>
            <w:instrText xml:space="preserve"> STYLEREF charContents \* MERGEFORMAT </w:instrText>
          </w:r>
          <w:r>
            <w:fldChar w:fldCharType="end"/>
          </w:r>
        </w:p>
      </w:tc>
    </w:tr>
  </w:tbl>
  <w:p w:rsidR="00B40966" w:rsidRDefault="00B40966">
    <w:pPr>
      <w:pStyle w:val="N-9pt"/>
    </w:pPr>
    <w:r>
      <w:tab/>
    </w:r>
    <w:r>
      <w:fldChar w:fldCharType="begin"/>
    </w:r>
    <w:r>
      <w:instrText xml:space="preserve"> STYLEREF charPage \* MERGEFORMAT </w:instrText>
    </w:r>
    <w: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CharDivNo \*charformat </w:instrText>
          </w:r>
          <w:r>
            <w:rPr>
              <w:b/>
            </w:rPr>
            <w:fldChar w:fldCharType="end"/>
          </w:r>
        </w:p>
      </w:tc>
      <w:tc>
        <w:tcPr>
          <w:tcW w:w="9840" w:type="dxa"/>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144</w:t>
          </w:r>
          <w:r w:rsidR="00D46C11">
            <w:rPr>
              <w:noProof/>
            </w:rPr>
            <w:fldChar w:fldCharType="end"/>
          </w:r>
        </w:p>
      </w:tc>
    </w:tr>
  </w:tbl>
  <w:p w:rsidR="00B40966" w:rsidRDefault="00B40966">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r>
    <w:tr w:rsidR="00B40966">
      <w:tc>
        <w:tcPr>
          <w:tcW w:w="9840" w:type="dxa"/>
        </w:tcPr>
        <w:p w:rsidR="00B40966" w:rsidRDefault="00B40966">
          <w:pPr>
            <w:pStyle w:val="HeaderOdd"/>
          </w:pPr>
          <w:r>
            <w:fldChar w:fldCharType="begin"/>
          </w:r>
          <w:r>
            <w:instrText xml:space="preserve"> STYLEREF CharDivText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CharDivNo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r>
            <w:t xml:space="preserve">Section </w:t>
          </w:r>
          <w:r w:rsidR="00D46C11">
            <w:rPr>
              <w:noProof/>
            </w:rPr>
            <w:fldChar w:fldCharType="begin"/>
          </w:r>
          <w:r w:rsidR="00D46C11">
            <w:rPr>
              <w:noProof/>
            </w:rPr>
            <w:instrText xml:space="preserve"> STYLEREF CharSectNo \*charformat </w:instrText>
          </w:r>
          <w:r w:rsidR="00D46C11">
            <w:rPr>
              <w:noProof/>
            </w:rPr>
            <w:fldChar w:fldCharType="separate"/>
          </w:r>
          <w:r w:rsidR="00C67449">
            <w:rPr>
              <w:noProof/>
            </w:rPr>
            <w:t>144</w:t>
          </w:r>
          <w:r w:rsidR="00D46C11">
            <w:rPr>
              <w:noProof/>
            </w:rPr>
            <w:fldChar w:fldCharType="end"/>
          </w:r>
        </w:p>
      </w:tc>
    </w:tr>
  </w:tbl>
  <w:p w:rsidR="00B40966" w:rsidRDefault="00B40966">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w:instrText>
          </w:r>
          <w:r>
            <w:rPr>
              <w:noProof/>
            </w:rPr>
            <w:instrText xml:space="preserve">STYLEREF CharSectNo \*charformat </w:instrText>
          </w:r>
          <w:r>
            <w:rPr>
              <w:noProof/>
            </w:rPr>
            <w:fldChar w:fldCharType="separate"/>
          </w:r>
          <w:r w:rsidR="00C67449">
            <w:rPr>
              <w:noProof/>
            </w:rPr>
            <w:t>144</w:t>
          </w:r>
          <w:r>
            <w:rPr>
              <w:noProof/>
            </w:rPr>
            <w:fldChar w:fldCharType="end"/>
          </w:r>
        </w:p>
      </w:tc>
    </w:tr>
  </w:tbl>
  <w:p w:rsidR="00B40966" w:rsidRDefault="00B40966">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144</w:t>
          </w:r>
          <w:r>
            <w:rPr>
              <w:noProof/>
            </w:rPr>
            <w:fldChar w:fldCharType="end"/>
          </w:r>
        </w:p>
      </w:tc>
    </w:tr>
  </w:tbl>
  <w:p w:rsidR="00B40966" w:rsidRDefault="00B40966">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157</w:t>
          </w:r>
          <w:r>
            <w:rPr>
              <w:noProof/>
            </w:rPr>
            <w:fldChar w:fldCharType="end"/>
          </w:r>
        </w:p>
      </w:tc>
    </w:tr>
  </w:tbl>
  <w:p w:rsidR="00B40966" w:rsidRDefault="00B40966">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Plant and gear</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12</w: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157</w:t>
          </w:r>
          <w:r>
            <w:rPr>
              <w:noProof/>
            </w:rPr>
            <w:fldChar w:fldCharType="end"/>
          </w:r>
        </w:p>
      </w:tc>
    </w:tr>
  </w:tbl>
  <w:p w:rsidR="00B40966" w:rsidRDefault="00B40966">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0966">
      <w:trPr>
        <w:jc w:val="center"/>
      </w:trPr>
      <w:tc>
        <w:tcPr>
          <w:tcW w:w="1560" w:type="dxa"/>
        </w:tcPr>
        <w:p w:rsidR="00B40966" w:rsidRDefault="00B40966">
          <w:pPr>
            <w:pStyle w:val="HeaderEven"/>
            <w:rPr>
              <w:b/>
            </w:rPr>
          </w:pPr>
          <w:r>
            <w:rPr>
              <w:b/>
            </w:rPr>
            <w:fldChar w:fldCharType="begin"/>
          </w:r>
          <w:r>
            <w:rPr>
              <w:b/>
            </w:rPr>
            <w:instrText xml:space="preserve"> STYLEREF CharChapNo \*charformat </w:instrText>
          </w:r>
          <w:r>
            <w:rPr>
              <w:b/>
            </w:rPr>
            <w:fldChar w:fldCharType="end"/>
          </w:r>
        </w:p>
      </w:tc>
      <w:tc>
        <w:tcPr>
          <w:tcW w:w="5741" w:type="dxa"/>
        </w:tcPr>
        <w:p w:rsidR="00B40966" w:rsidRDefault="00B40966">
          <w:pPr>
            <w:pStyle w:val="HeaderEven"/>
          </w:pPr>
          <w:r>
            <w:fldChar w:fldCharType="begin"/>
          </w:r>
          <w:r>
            <w:instrText xml:space="preserve"> STYLEREF CharChapText \*charformat </w:instrText>
          </w:r>
          <w:r>
            <w:fldChar w:fldCharType="end"/>
          </w:r>
        </w:p>
      </w:tc>
    </w:tr>
    <w:tr w:rsidR="00B40966">
      <w:trPr>
        <w:jc w:val="center"/>
      </w:trPr>
      <w:tc>
        <w:tcPr>
          <w:tcW w:w="1560" w:type="dxa"/>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16</w:t>
          </w:r>
          <w:r>
            <w:rPr>
              <w:b/>
            </w:rPr>
            <w:fldChar w:fldCharType="end"/>
          </w:r>
        </w:p>
      </w:tc>
      <w:tc>
        <w:tcPr>
          <w:tcW w:w="5741" w:type="dxa"/>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Miscellaneous and penalties</w:t>
          </w:r>
          <w:r>
            <w:rPr>
              <w:noProof/>
            </w:rPr>
            <w:fldChar w:fldCharType="end"/>
          </w:r>
        </w:p>
      </w:tc>
    </w:tr>
    <w:tr w:rsidR="00B40966">
      <w:trPr>
        <w:jc w:val="center"/>
      </w:trPr>
      <w:tc>
        <w:tcPr>
          <w:tcW w:w="7296" w:type="dxa"/>
          <w:gridSpan w:val="2"/>
          <w:tcBorders>
            <w:bottom w:val="single" w:sz="4" w:space="0" w:color="auto"/>
          </w:tcBorders>
        </w:tcPr>
        <w:p w:rsidR="00B40966" w:rsidRDefault="00B40966">
          <w:pPr>
            <w:pStyle w:val="HeaderEven6"/>
          </w:pPr>
        </w:p>
      </w:tc>
    </w:tr>
  </w:tbl>
  <w:p w:rsidR="00B40966" w:rsidRDefault="00B40966">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0966">
      <w:trPr>
        <w:jc w:val="center"/>
      </w:trPr>
      <w:tc>
        <w:tcPr>
          <w:tcW w:w="5741" w:type="dxa"/>
        </w:tcPr>
        <w:p w:rsidR="00B40966" w:rsidRDefault="00B40966">
          <w:pPr>
            <w:pStyle w:val="HeaderEven"/>
            <w:jc w:val="right"/>
          </w:pPr>
          <w:r>
            <w:fldChar w:fldCharType="begin"/>
          </w:r>
          <w:r>
            <w:instrText xml:space="preserve"> STYLEREF CharChapText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CharChapNo \*charformat </w:instrText>
          </w:r>
          <w:r>
            <w:rPr>
              <w:b/>
            </w:rPr>
            <w:fldChar w:fldCharType="end"/>
          </w:r>
        </w:p>
      </w:tc>
    </w:tr>
    <w:tr w:rsidR="00B40966">
      <w:trPr>
        <w:jc w:val="center"/>
      </w:trPr>
      <w:tc>
        <w:tcPr>
          <w:tcW w:w="5741" w:type="dxa"/>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Miscellaneous and penalties</w:t>
          </w:r>
          <w:r>
            <w:rPr>
              <w:noProof/>
            </w:rPr>
            <w:fldChar w:fldCharType="end"/>
          </w:r>
        </w:p>
      </w:tc>
      <w:tc>
        <w:tcPr>
          <w:tcW w:w="1560" w:type="dxa"/>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16</w:t>
          </w:r>
          <w:r>
            <w:rPr>
              <w:b/>
            </w:rPr>
            <w:fldChar w:fldCharType="end"/>
          </w:r>
        </w:p>
      </w:tc>
    </w:tr>
    <w:tr w:rsidR="00B40966">
      <w:trPr>
        <w:jc w:val="center"/>
      </w:trPr>
      <w:tc>
        <w:tcPr>
          <w:tcW w:w="7296" w:type="dxa"/>
          <w:gridSpan w:val="2"/>
          <w:tcBorders>
            <w:bottom w:val="single" w:sz="4" w:space="0" w:color="auto"/>
          </w:tcBorders>
        </w:tcPr>
        <w:p w:rsidR="00B40966" w:rsidRDefault="00B40966">
          <w:pPr>
            <w:pStyle w:val="HeaderOdd6"/>
          </w:pPr>
        </w:p>
      </w:tc>
    </w:tr>
  </w:tbl>
  <w:p w:rsidR="00B40966" w:rsidRDefault="00B40966">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B40966">
      <w:tc>
        <w:tcPr>
          <w:tcW w:w="1560" w:type="dxa"/>
        </w:tcPr>
        <w:p w:rsidR="00B40966" w:rsidRDefault="00B40966">
          <w:pPr>
            <w:pStyle w:val="HeaderEven"/>
          </w:pPr>
          <w:r>
            <w:rPr>
              <w:b/>
            </w:rPr>
            <w:fldChar w:fldCharType="begin"/>
          </w:r>
          <w:r>
            <w:rPr>
              <w:b/>
            </w:rPr>
            <w:instrText xml:space="preserve"> STYLEREF CharChapNo \*charformat  </w:instrText>
          </w:r>
          <w:r>
            <w:rPr>
              <w:b/>
            </w:rPr>
            <w:fldChar w:fldCharType="separate"/>
          </w:r>
          <w:r w:rsidR="00C67449">
            <w:rPr>
              <w:b/>
              <w:noProof/>
            </w:rPr>
            <w:t>4</w:t>
          </w:r>
          <w:r w:rsidR="00C67449">
            <w:rPr>
              <w:b/>
              <w:noProof/>
            </w:rPr>
            <w:tab/>
            <w:t>the lead salt contained in the clear filtrate is then to be precipitated as lead sulphide and weighed as lead sulphate</w:t>
          </w:r>
          <w:r w:rsidR="00C67449">
            <w:rPr>
              <w:b/>
              <w:noProof/>
            </w:rPr>
            <w:cr/>
          </w:r>
          <w:r>
            <w:rPr>
              <w:b/>
            </w:rPr>
            <w:fldChar w:fldCharType="end"/>
          </w:r>
        </w:p>
      </w:tc>
      <w:tc>
        <w:tcPr>
          <w:tcW w:w="9840" w:type="dxa"/>
        </w:tcPr>
        <w:p w:rsidR="00B40966" w:rsidRDefault="00D46C11">
          <w:pPr>
            <w:pStyle w:val="HeaderEven"/>
          </w:pPr>
          <w:r>
            <w:rPr>
              <w:noProof/>
            </w:rPr>
            <w:fldChar w:fldCharType="begin"/>
          </w:r>
          <w:r>
            <w:rPr>
              <w:noProof/>
            </w:rPr>
            <w:instrText xml:space="preserve"> STYLEREF CharChapText \*charformat  </w:instrText>
          </w:r>
          <w:r>
            <w:rPr>
              <w:noProof/>
            </w:rPr>
            <w:fldChar w:fldCharType="separate"/>
          </w:r>
          <w:r w:rsidR="00C67449">
            <w:rPr>
              <w:noProof/>
            </w:rPr>
            <w:t>Method of treatment of a lead compound for the purpose of determining the percentage of dry compound of lead</w:t>
          </w:r>
          <w:r>
            <w:rPr>
              <w:noProof/>
            </w:rPr>
            <w:fldChar w:fldCharType="end"/>
          </w:r>
        </w:p>
      </w:tc>
    </w:tr>
    <w:tr w:rsidR="00B40966">
      <w:tc>
        <w:tcPr>
          <w:tcW w:w="1560" w:type="dxa"/>
        </w:tcPr>
        <w:p w:rsidR="00B40966" w:rsidRDefault="00B40966">
          <w:pPr>
            <w:pStyle w:val="HeaderEven"/>
          </w:pPr>
          <w:r>
            <w:rPr>
              <w:b/>
            </w:rPr>
            <w:fldChar w:fldCharType="begin"/>
          </w:r>
          <w:r>
            <w:rPr>
              <w:b/>
            </w:rPr>
            <w:instrText xml:space="preserve"> STYLEREF CharPartNo \*charformat </w:instrText>
          </w:r>
          <w:r>
            <w:rPr>
              <w:b/>
            </w:rPr>
            <w:fldChar w:fldCharType="end"/>
          </w:r>
        </w:p>
      </w:tc>
      <w:tc>
        <w:tcPr>
          <w:tcW w:w="9840" w:type="dxa"/>
        </w:tcPr>
        <w:p w:rsidR="00B40966" w:rsidRDefault="00B40966">
          <w:pPr>
            <w:pStyle w:val="HeaderEven"/>
          </w:pPr>
          <w:r>
            <w:fldChar w:fldCharType="begin"/>
          </w:r>
          <w:r>
            <w:instrText xml:space="preserve"> STYLEREF CharPartText \*charformat </w:instrText>
          </w:r>
          <w:r>
            <w:fldChar w:fldCharType="end"/>
          </w:r>
        </w:p>
      </w:tc>
    </w:tr>
    <w:tr w:rsidR="00B40966">
      <w:trPr>
        <w:cantSplit/>
      </w:trPr>
      <w:tc>
        <w:tcPr>
          <w:tcW w:w="11400" w:type="dxa"/>
          <w:gridSpan w:val="2"/>
          <w:tcBorders>
            <w:bottom w:val="single" w:sz="4" w:space="0" w:color="auto"/>
          </w:tcBorders>
        </w:tcPr>
        <w:p w:rsidR="00B40966" w:rsidRDefault="00B40966">
          <w:pPr>
            <w:pStyle w:val="HeaderEven6"/>
          </w:pPr>
        </w:p>
      </w:tc>
    </w:tr>
  </w:tbl>
  <w:p w:rsidR="00B40966" w:rsidRDefault="00B40966">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B40966">
      <w:tc>
        <w:tcPr>
          <w:tcW w:w="9840" w:type="dxa"/>
        </w:tcPr>
        <w:p w:rsidR="00B40966" w:rsidRDefault="00D46C11">
          <w:pPr>
            <w:pStyle w:val="HeaderOdd"/>
          </w:pPr>
          <w:r>
            <w:rPr>
              <w:noProof/>
            </w:rPr>
            <w:fldChar w:fldCharType="begin"/>
          </w:r>
          <w:r>
            <w:rPr>
              <w:noProof/>
            </w:rPr>
            <w:instrText xml:space="preserve"> STYLEREF CharChapText \*charformat  </w:instrText>
          </w:r>
          <w:r>
            <w:rPr>
              <w:noProof/>
            </w:rPr>
            <w:fldChar w:fldCharType="separate"/>
          </w:r>
          <w:r w:rsidR="00C67449">
            <w:rPr>
              <w:noProof/>
            </w:rPr>
            <w:t>Method of treatment of a lead compound for the purpose of determining the percentage of dry compound of lead</w:t>
          </w:r>
          <w:r>
            <w:rPr>
              <w:noProof/>
            </w:rPr>
            <w:fldChar w:fldCharType="end"/>
          </w:r>
        </w:p>
      </w:tc>
      <w:tc>
        <w:tcPr>
          <w:tcW w:w="1560" w:type="dxa"/>
        </w:tcPr>
        <w:p w:rsidR="00B40966" w:rsidRDefault="00B40966">
          <w:pPr>
            <w:pStyle w:val="HeaderOdd"/>
            <w:rPr>
              <w:b/>
            </w:rPr>
          </w:pPr>
          <w:r>
            <w:rPr>
              <w:b/>
            </w:rPr>
            <w:fldChar w:fldCharType="begin"/>
          </w:r>
          <w:r>
            <w:rPr>
              <w:b/>
            </w:rPr>
            <w:instrText xml:space="preserve"> STYLEREF CharChapNo \*charformat  </w:instrText>
          </w:r>
          <w:r>
            <w:rPr>
              <w:b/>
            </w:rPr>
            <w:fldChar w:fldCharType="separate"/>
          </w:r>
          <w:r w:rsidR="00C67449">
            <w:rPr>
              <w:b/>
              <w:noProof/>
            </w:rPr>
            <w:t>4</w:t>
          </w:r>
          <w:r w:rsidR="00C67449">
            <w:rPr>
              <w:b/>
              <w:noProof/>
            </w:rPr>
            <w:tab/>
            <w:t>the lead salt contained in the clear filtrate is then to be precipitated as lead sulphide and weighed as lead sulphate</w:t>
          </w:r>
          <w:r w:rsidR="00C67449">
            <w:rPr>
              <w:b/>
              <w:noProof/>
            </w:rPr>
            <w:cr/>
          </w:r>
          <w:r>
            <w:rPr>
              <w:b/>
            </w:rPr>
            <w:fldChar w:fldCharType="end"/>
          </w:r>
        </w:p>
      </w:tc>
    </w:tr>
    <w:tr w:rsidR="00B40966">
      <w:tc>
        <w:tcPr>
          <w:tcW w:w="9840" w:type="dxa"/>
        </w:tcPr>
        <w:p w:rsidR="00B40966" w:rsidRDefault="00B40966">
          <w:pPr>
            <w:pStyle w:val="HeaderOdd"/>
          </w:pPr>
          <w:r>
            <w:fldChar w:fldCharType="begin"/>
          </w:r>
          <w:r>
            <w:instrText xml:space="preserve"> STYLEREF CharPartText \*charformat </w:instrText>
          </w:r>
          <w:r>
            <w:fldChar w:fldCharType="end"/>
          </w:r>
        </w:p>
      </w:tc>
      <w:tc>
        <w:tcPr>
          <w:tcW w:w="1560" w:type="dxa"/>
        </w:tcPr>
        <w:p w:rsidR="00B40966" w:rsidRDefault="00B40966">
          <w:pPr>
            <w:pStyle w:val="HeaderOdd"/>
          </w:pPr>
          <w:r>
            <w:rPr>
              <w:b/>
            </w:rPr>
            <w:fldChar w:fldCharType="begin"/>
          </w:r>
          <w:r>
            <w:rPr>
              <w:b/>
            </w:rPr>
            <w:instrText xml:space="preserve"> STYLEREF CharPartNo \*charformat </w:instrText>
          </w:r>
          <w:r>
            <w:rPr>
              <w:b/>
            </w:rPr>
            <w:fldChar w:fldCharType="end"/>
          </w:r>
        </w:p>
      </w:tc>
    </w:tr>
    <w:tr w:rsidR="00B40966">
      <w:trPr>
        <w:cantSplit/>
      </w:trPr>
      <w:tc>
        <w:tcPr>
          <w:tcW w:w="11400" w:type="dxa"/>
          <w:gridSpan w:val="2"/>
          <w:tcBorders>
            <w:bottom w:val="single" w:sz="4" w:space="0" w:color="auto"/>
          </w:tcBorders>
        </w:tcPr>
        <w:p w:rsidR="00B40966" w:rsidRDefault="00B40966">
          <w:pPr>
            <w:pStyle w:val="HeaderOdd6"/>
          </w:pPr>
        </w:p>
      </w:tc>
    </w:tr>
  </w:tbl>
  <w:p w:rsidR="00B40966" w:rsidRDefault="00B4096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B40966">
          <w:pPr>
            <w:pStyle w:val="HeaderOdd"/>
          </w:pPr>
        </w:p>
      </w:tc>
      <w:tc>
        <w:tcPr>
          <w:tcW w:w="900" w:type="pct"/>
        </w:tcPr>
        <w:p w:rsidR="00B40966" w:rsidRDefault="00B40966">
          <w:pPr>
            <w:pStyle w:val="HeaderOdd"/>
          </w:pPr>
        </w:p>
      </w:tc>
    </w:tr>
    <w:tr w:rsidR="00B40966">
      <w:tc>
        <w:tcPr>
          <w:tcW w:w="900" w:type="pct"/>
          <w:gridSpan w:val="2"/>
          <w:tcBorders>
            <w:bottom w:val="single" w:sz="4" w:space="0" w:color="auto"/>
          </w:tcBorders>
        </w:tcPr>
        <w:p w:rsidR="00B40966" w:rsidRDefault="00B40966">
          <w:pPr>
            <w:pStyle w:val="HeaderOdd6"/>
          </w:pPr>
          <w:r>
            <w:fldChar w:fldCharType="begin"/>
          </w:r>
          <w:r>
            <w:instrText xml:space="preserve"> STYLEREF charContents \* MERGEFORMAT </w:instrText>
          </w:r>
          <w:r>
            <w:fldChar w:fldCharType="end"/>
          </w:r>
        </w:p>
      </w:tc>
    </w:tr>
  </w:tbl>
  <w:p w:rsidR="00B40966" w:rsidRDefault="00B40966">
    <w:pPr>
      <w:pStyle w:val="N-9pt"/>
    </w:pPr>
    <w:r>
      <w:tab/>
    </w:r>
    <w:r>
      <w:fldChar w:fldCharType="begin"/>
    </w:r>
    <w:r>
      <w:instrText xml:space="preserve"> STYLEREF charPage \* MERGEFORMAT </w:instrText>
    </w:r>
    <w: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0966">
      <w:trPr>
        <w:jc w:val="center"/>
      </w:trPr>
      <w:tc>
        <w:tcPr>
          <w:tcW w:w="1560" w:type="dxa"/>
        </w:tcPr>
        <w:p w:rsidR="00B40966" w:rsidRDefault="00B40966">
          <w:pPr>
            <w:pStyle w:val="HeaderEven"/>
            <w:rPr>
              <w:b/>
            </w:rPr>
          </w:pPr>
          <w:r>
            <w:rPr>
              <w:b/>
            </w:rPr>
            <w:fldChar w:fldCharType="begin"/>
          </w:r>
          <w:r>
            <w:rPr>
              <w:b/>
            </w:rPr>
            <w:instrText xml:space="preserve"> STYLEREF CharChapNo \*charformat </w:instrText>
          </w:r>
          <w:r>
            <w:rPr>
              <w:b/>
            </w:rPr>
            <w:fldChar w:fldCharType="separate"/>
          </w:r>
          <w:r w:rsidR="00C67449">
            <w:rPr>
              <w:b/>
              <w:noProof/>
            </w:rPr>
            <w:t>Schedule 7</w:t>
          </w:r>
          <w:r>
            <w:rPr>
              <w:b/>
            </w:rPr>
            <w:fldChar w:fldCharType="end"/>
          </w:r>
        </w:p>
      </w:tc>
      <w:tc>
        <w:tcPr>
          <w:tcW w:w="5741" w:type="dxa"/>
        </w:tcPr>
        <w:p w:rsidR="00B40966" w:rsidRDefault="00B40966">
          <w:pPr>
            <w:pStyle w:val="HeaderEven"/>
          </w:pPr>
          <w:r>
            <w:fldChar w:fldCharType="begin"/>
          </w:r>
          <w:r>
            <w:instrText xml:space="preserve"> STYLEREF CharChapText \*charformat </w:instrText>
          </w:r>
          <w:r>
            <w:fldChar w:fldCharType="end"/>
          </w:r>
        </w:p>
      </w:tc>
    </w:tr>
    <w:tr w:rsidR="00B40966">
      <w:trPr>
        <w:jc w:val="center"/>
      </w:trPr>
      <w:tc>
        <w:tcPr>
          <w:tcW w:w="1560" w:type="dxa"/>
        </w:tcPr>
        <w:p w:rsidR="00B40966" w:rsidRDefault="00B40966">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40966" w:rsidRDefault="00B40966">
          <w:pPr>
            <w:pStyle w:val="HeaderEven"/>
          </w:pPr>
          <w:r>
            <w:fldChar w:fldCharType="begin"/>
          </w:r>
          <w:r>
            <w:instrText xml:space="preserve"> STYLEREF CharPartText \*charformat </w:instrText>
          </w:r>
          <w:r>
            <w:fldChar w:fldCharType="end"/>
          </w:r>
        </w:p>
      </w:tc>
    </w:tr>
    <w:tr w:rsidR="00B40966">
      <w:trPr>
        <w:jc w:val="center"/>
      </w:trPr>
      <w:tc>
        <w:tcPr>
          <w:tcW w:w="7296" w:type="dxa"/>
          <w:gridSpan w:val="2"/>
          <w:tcBorders>
            <w:bottom w:val="single" w:sz="4" w:space="0" w:color="auto"/>
          </w:tcBorders>
        </w:tcPr>
        <w:p w:rsidR="00B40966" w:rsidRDefault="00B40966">
          <w:pPr>
            <w:pStyle w:val="HeaderEven6"/>
          </w:pPr>
        </w:p>
      </w:tc>
    </w:tr>
  </w:tbl>
  <w:p w:rsidR="00B40966" w:rsidRDefault="00B40966">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0966">
      <w:trPr>
        <w:jc w:val="center"/>
      </w:trPr>
      <w:tc>
        <w:tcPr>
          <w:tcW w:w="5741" w:type="dxa"/>
        </w:tcPr>
        <w:p w:rsidR="00B40966" w:rsidRDefault="00B40966">
          <w:pPr>
            <w:pStyle w:val="HeaderEven"/>
            <w:jc w:val="right"/>
          </w:pPr>
          <w:r>
            <w:fldChar w:fldCharType="begin"/>
          </w:r>
          <w:r>
            <w:instrText xml:space="preserve"> STYLEREF CharChapText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CharChapNo \*charformat </w:instrText>
          </w:r>
          <w:r>
            <w:rPr>
              <w:b/>
            </w:rPr>
            <w:fldChar w:fldCharType="separate"/>
          </w:r>
          <w:r w:rsidR="00C67449">
            <w:rPr>
              <w:b/>
              <w:noProof/>
            </w:rPr>
            <w:t>Schedule 7</w:t>
          </w:r>
          <w:r>
            <w:rPr>
              <w:b/>
            </w:rPr>
            <w:fldChar w:fldCharType="end"/>
          </w:r>
        </w:p>
      </w:tc>
    </w:tr>
    <w:tr w:rsidR="00B40966">
      <w:trPr>
        <w:jc w:val="center"/>
      </w:trPr>
      <w:tc>
        <w:tcPr>
          <w:tcW w:w="5741" w:type="dxa"/>
        </w:tcPr>
        <w:p w:rsidR="00B40966" w:rsidRDefault="00B40966">
          <w:pPr>
            <w:pStyle w:val="HeaderEven"/>
            <w:jc w:val="right"/>
          </w:pPr>
          <w:r>
            <w:fldChar w:fldCharType="begin"/>
          </w:r>
          <w:r>
            <w:instrText xml:space="preserve"> STYLEREF CharPartText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CharPartNo \*charformat </w:instrText>
          </w:r>
          <w:r>
            <w:rPr>
              <w:b/>
            </w:rPr>
            <w:fldChar w:fldCharType="end"/>
          </w:r>
        </w:p>
      </w:tc>
    </w:tr>
    <w:tr w:rsidR="00B40966">
      <w:trPr>
        <w:jc w:val="center"/>
      </w:trPr>
      <w:tc>
        <w:tcPr>
          <w:tcW w:w="7296" w:type="dxa"/>
          <w:gridSpan w:val="2"/>
          <w:tcBorders>
            <w:bottom w:val="single" w:sz="4" w:space="0" w:color="auto"/>
          </w:tcBorders>
        </w:tcPr>
        <w:p w:rsidR="00B40966" w:rsidRDefault="00B40966">
          <w:pPr>
            <w:pStyle w:val="HeaderOdd6"/>
          </w:pPr>
        </w:p>
      </w:tc>
    </w:tr>
  </w:tbl>
  <w:p w:rsidR="00B40966" w:rsidRDefault="00B40966">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0966">
      <w:trPr>
        <w:jc w:val="center"/>
      </w:trPr>
      <w:tc>
        <w:tcPr>
          <w:tcW w:w="1560" w:type="dxa"/>
        </w:tcPr>
        <w:p w:rsidR="00B40966" w:rsidRDefault="00B40966">
          <w:pPr>
            <w:pStyle w:val="HeaderEven"/>
            <w:rPr>
              <w:b/>
            </w:rPr>
          </w:pPr>
          <w:r>
            <w:rPr>
              <w:b/>
            </w:rPr>
            <w:fldChar w:fldCharType="begin"/>
          </w:r>
          <w:r>
            <w:rPr>
              <w:b/>
            </w:rPr>
            <w:instrText xml:space="preserve"> STYLEREF CharChapNo \*charformat </w:instrText>
          </w:r>
          <w:r>
            <w:rPr>
              <w:b/>
            </w:rPr>
            <w:fldChar w:fldCharType="separate"/>
          </w:r>
          <w:r w:rsidR="00C67449">
            <w:rPr>
              <w:b/>
              <w:noProof/>
            </w:rPr>
            <w:t>Schedule 7</w:t>
          </w:r>
          <w:r>
            <w:rPr>
              <w:b/>
            </w:rPr>
            <w:fldChar w:fldCharType="end"/>
          </w:r>
        </w:p>
      </w:tc>
      <w:tc>
        <w:tcPr>
          <w:tcW w:w="5741" w:type="dxa"/>
        </w:tcPr>
        <w:p w:rsidR="00B40966" w:rsidRDefault="00B40966">
          <w:pPr>
            <w:pStyle w:val="HeaderEven"/>
          </w:pPr>
          <w:r>
            <w:fldChar w:fldCharType="begin"/>
          </w:r>
          <w:r>
            <w:instrText xml:space="preserve"> STYLEREF CharChapText \*charformat </w:instrText>
          </w:r>
          <w:r>
            <w:fldChar w:fldCharType="end"/>
          </w:r>
        </w:p>
      </w:tc>
    </w:tr>
    <w:tr w:rsidR="00B40966">
      <w:trPr>
        <w:jc w:val="center"/>
      </w:trPr>
      <w:tc>
        <w:tcPr>
          <w:tcW w:w="1560" w:type="dxa"/>
        </w:tcPr>
        <w:p w:rsidR="00B40966" w:rsidRDefault="00B40966">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40966" w:rsidRDefault="00B40966">
          <w:pPr>
            <w:pStyle w:val="HeaderEven"/>
          </w:pPr>
          <w:r>
            <w:fldChar w:fldCharType="begin"/>
          </w:r>
          <w:r>
            <w:instrText xml:space="preserve"> STYLEREF CharPartText \*charformat </w:instrText>
          </w:r>
          <w:r>
            <w:fldChar w:fldCharType="end"/>
          </w:r>
        </w:p>
      </w:tc>
    </w:tr>
    <w:tr w:rsidR="00B40966">
      <w:trPr>
        <w:jc w:val="center"/>
      </w:trPr>
      <w:tc>
        <w:tcPr>
          <w:tcW w:w="7296" w:type="dxa"/>
          <w:gridSpan w:val="2"/>
          <w:tcBorders>
            <w:bottom w:val="single" w:sz="4" w:space="0" w:color="auto"/>
          </w:tcBorders>
        </w:tcPr>
        <w:p w:rsidR="00B40966" w:rsidRDefault="00B40966">
          <w:pPr>
            <w:pStyle w:val="HeaderEven6"/>
          </w:pPr>
        </w:p>
      </w:tc>
    </w:tr>
  </w:tbl>
  <w:p w:rsidR="00B40966" w:rsidRDefault="00B40966">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0966">
      <w:trPr>
        <w:jc w:val="center"/>
      </w:trPr>
      <w:tc>
        <w:tcPr>
          <w:tcW w:w="5741" w:type="dxa"/>
        </w:tcPr>
        <w:p w:rsidR="00B40966" w:rsidRDefault="00B40966">
          <w:pPr>
            <w:pStyle w:val="HeaderEven"/>
            <w:jc w:val="right"/>
          </w:pPr>
          <w:r>
            <w:fldChar w:fldCharType="begin"/>
          </w:r>
          <w:r>
            <w:instrText xml:space="preserve"> STYLEREF CharChapText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CharChapNo \*charformat </w:instrText>
          </w:r>
          <w:r>
            <w:rPr>
              <w:b/>
            </w:rPr>
            <w:fldChar w:fldCharType="separate"/>
          </w:r>
          <w:r w:rsidR="00C67449">
            <w:rPr>
              <w:b/>
              <w:noProof/>
            </w:rPr>
            <w:t>Schedule 7</w:t>
          </w:r>
          <w:r>
            <w:rPr>
              <w:b/>
            </w:rPr>
            <w:fldChar w:fldCharType="end"/>
          </w:r>
        </w:p>
      </w:tc>
    </w:tr>
    <w:tr w:rsidR="00B40966">
      <w:trPr>
        <w:jc w:val="center"/>
      </w:trPr>
      <w:tc>
        <w:tcPr>
          <w:tcW w:w="5741" w:type="dxa"/>
        </w:tcPr>
        <w:p w:rsidR="00B40966" w:rsidRDefault="00B40966">
          <w:pPr>
            <w:pStyle w:val="HeaderEven"/>
            <w:jc w:val="right"/>
          </w:pPr>
          <w:r>
            <w:fldChar w:fldCharType="begin"/>
          </w:r>
          <w:r>
            <w:instrText xml:space="preserve"> STYLEREF CharPartText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CharPartNo \*charformat </w:instrText>
          </w:r>
          <w:r>
            <w:rPr>
              <w:b/>
            </w:rPr>
            <w:fldChar w:fldCharType="end"/>
          </w:r>
        </w:p>
      </w:tc>
    </w:tr>
    <w:tr w:rsidR="00B40966">
      <w:trPr>
        <w:jc w:val="center"/>
      </w:trPr>
      <w:tc>
        <w:tcPr>
          <w:tcW w:w="7296" w:type="dxa"/>
          <w:gridSpan w:val="2"/>
          <w:tcBorders>
            <w:bottom w:val="single" w:sz="4" w:space="0" w:color="auto"/>
          </w:tcBorders>
        </w:tcPr>
        <w:p w:rsidR="00B40966" w:rsidRDefault="00B40966">
          <w:pPr>
            <w:pStyle w:val="HeaderOdd6"/>
          </w:pPr>
        </w:p>
      </w:tc>
    </w:tr>
  </w:tbl>
  <w:p w:rsidR="00B40966" w:rsidRDefault="00B40966">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B40966">
      <w:trPr>
        <w:jc w:val="center"/>
      </w:trPr>
      <w:tc>
        <w:tcPr>
          <w:tcW w:w="1560" w:type="dxa"/>
        </w:tcPr>
        <w:p w:rsidR="00B40966" w:rsidRDefault="00B40966">
          <w:pPr>
            <w:pStyle w:val="HeaderEven"/>
            <w:rPr>
              <w:b/>
            </w:rPr>
          </w:pPr>
          <w:r>
            <w:rPr>
              <w:b/>
            </w:rPr>
            <w:fldChar w:fldCharType="begin"/>
          </w:r>
          <w:r>
            <w:rPr>
              <w:b/>
            </w:rPr>
            <w:instrText xml:space="preserve"> STYLEREF CharChapNo \*charformat </w:instrText>
          </w:r>
          <w:r>
            <w:rPr>
              <w:b/>
            </w:rPr>
            <w:fldChar w:fldCharType="separate"/>
          </w:r>
          <w:r w:rsidR="00C67449">
            <w:rPr>
              <w:b/>
              <w:noProof/>
            </w:rPr>
            <w:t>Schedule 8</w:t>
          </w:r>
          <w:r>
            <w:rPr>
              <w:b/>
            </w:rPr>
            <w:fldChar w:fldCharType="end"/>
          </w:r>
        </w:p>
      </w:tc>
      <w:tc>
        <w:tcPr>
          <w:tcW w:w="5741" w:type="dxa"/>
        </w:tcPr>
        <w:p w:rsidR="00B40966" w:rsidRDefault="00D46C11">
          <w:pPr>
            <w:pStyle w:val="HeaderEven"/>
          </w:pPr>
          <w:r>
            <w:rPr>
              <w:noProof/>
            </w:rPr>
            <w:fldChar w:fldCharType="begin"/>
          </w:r>
          <w:r>
            <w:rPr>
              <w:noProof/>
            </w:rPr>
            <w:instrText xml:space="preserve"> STYLEREF CharChapText \*charformat </w:instrText>
          </w:r>
          <w:r>
            <w:rPr>
              <w:noProof/>
            </w:rPr>
            <w:fldChar w:fldCharType="separate"/>
          </w:r>
          <w:r w:rsidR="00C67449">
            <w:rPr>
              <w:noProof/>
            </w:rPr>
            <w:t>Medical standards and examination report for compressed air workers</w:t>
          </w:r>
          <w:r>
            <w:rPr>
              <w:noProof/>
            </w:rPr>
            <w:fldChar w:fldCharType="end"/>
          </w:r>
        </w:p>
      </w:tc>
    </w:tr>
    <w:tr w:rsidR="00B40966">
      <w:trPr>
        <w:jc w:val="center"/>
      </w:trPr>
      <w:tc>
        <w:tcPr>
          <w:tcW w:w="1560" w:type="dxa"/>
        </w:tcPr>
        <w:p w:rsidR="00B40966" w:rsidRDefault="00B40966">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B40966" w:rsidRDefault="00B40966">
          <w:pPr>
            <w:pStyle w:val="HeaderEven"/>
          </w:pPr>
          <w:r>
            <w:fldChar w:fldCharType="begin"/>
          </w:r>
          <w:r>
            <w:instrText xml:space="preserve"> STYLEREF CharPartText \*charformat </w:instrText>
          </w:r>
          <w:r>
            <w:fldChar w:fldCharType="end"/>
          </w:r>
        </w:p>
      </w:tc>
    </w:tr>
    <w:tr w:rsidR="00B40966">
      <w:trPr>
        <w:jc w:val="center"/>
      </w:trPr>
      <w:tc>
        <w:tcPr>
          <w:tcW w:w="7296" w:type="dxa"/>
          <w:gridSpan w:val="2"/>
          <w:tcBorders>
            <w:bottom w:val="single" w:sz="4" w:space="0" w:color="auto"/>
          </w:tcBorders>
        </w:tcPr>
        <w:p w:rsidR="00B40966" w:rsidRDefault="00B40966">
          <w:pPr>
            <w:pStyle w:val="HeaderEven6"/>
          </w:pPr>
        </w:p>
      </w:tc>
    </w:tr>
  </w:tbl>
  <w:p w:rsidR="00B40966" w:rsidRDefault="00B40966">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B40966">
      <w:trPr>
        <w:jc w:val="center"/>
      </w:trPr>
      <w:tc>
        <w:tcPr>
          <w:tcW w:w="5741" w:type="dxa"/>
        </w:tcPr>
        <w:p w:rsidR="00B40966" w:rsidRDefault="00D46C11">
          <w:pPr>
            <w:pStyle w:val="HeaderEven"/>
            <w:jc w:val="right"/>
          </w:pPr>
          <w:r>
            <w:rPr>
              <w:noProof/>
            </w:rPr>
            <w:fldChar w:fldCharType="begin"/>
          </w:r>
          <w:r>
            <w:rPr>
              <w:noProof/>
            </w:rPr>
            <w:instrText xml:space="preserve"> STYLERE</w:instrText>
          </w:r>
          <w:r>
            <w:rPr>
              <w:noProof/>
            </w:rPr>
            <w:instrText xml:space="preserve">F CharChapText \*charformat </w:instrText>
          </w:r>
          <w:r>
            <w:rPr>
              <w:noProof/>
            </w:rPr>
            <w:fldChar w:fldCharType="separate"/>
          </w:r>
          <w:r w:rsidR="00C67449">
            <w:rPr>
              <w:noProof/>
            </w:rPr>
            <w:t>Medical standards and examination report for compressed air workers</w:t>
          </w:r>
          <w:r>
            <w:rPr>
              <w:noProof/>
            </w:rPr>
            <w:fldChar w:fldCharType="end"/>
          </w:r>
        </w:p>
      </w:tc>
      <w:tc>
        <w:tcPr>
          <w:tcW w:w="1560" w:type="dxa"/>
        </w:tcPr>
        <w:p w:rsidR="00B40966" w:rsidRDefault="00B40966">
          <w:pPr>
            <w:pStyle w:val="HeaderEven"/>
            <w:jc w:val="right"/>
            <w:rPr>
              <w:b/>
            </w:rPr>
          </w:pPr>
          <w:r>
            <w:rPr>
              <w:b/>
            </w:rPr>
            <w:fldChar w:fldCharType="begin"/>
          </w:r>
          <w:r>
            <w:rPr>
              <w:b/>
            </w:rPr>
            <w:instrText xml:space="preserve"> STYLEREF CharChapNo \*charformat </w:instrText>
          </w:r>
          <w:r>
            <w:rPr>
              <w:b/>
            </w:rPr>
            <w:fldChar w:fldCharType="separate"/>
          </w:r>
          <w:r w:rsidR="00C67449">
            <w:rPr>
              <w:b/>
              <w:noProof/>
            </w:rPr>
            <w:t>Schedule 8</w:t>
          </w:r>
          <w:r>
            <w:rPr>
              <w:b/>
            </w:rPr>
            <w:fldChar w:fldCharType="end"/>
          </w:r>
        </w:p>
      </w:tc>
    </w:tr>
    <w:tr w:rsidR="00B40966">
      <w:trPr>
        <w:jc w:val="center"/>
      </w:trPr>
      <w:tc>
        <w:tcPr>
          <w:tcW w:w="5741" w:type="dxa"/>
        </w:tcPr>
        <w:p w:rsidR="00B40966" w:rsidRDefault="00B40966">
          <w:pPr>
            <w:pStyle w:val="HeaderEven"/>
            <w:jc w:val="right"/>
          </w:pPr>
          <w:r>
            <w:fldChar w:fldCharType="begin"/>
          </w:r>
          <w:r>
            <w:instrText xml:space="preserve"> STYLEREF CharPartText \*charformat </w:instrText>
          </w:r>
          <w:r>
            <w:fldChar w:fldCharType="end"/>
          </w:r>
        </w:p>
      </w:tc>
      <w:tc>
        <w:tcPr>
          <w:tcW w:w="1560" w:type="dxa"/>
        </w:tcPr>
        <w:p w:rsidR="00B40966" w:rsidRDefault="00B40966">
          <w:pPr>
            <w:pStyle w:val="HeaderEven"/>
            <w:jc w:val="right"/>
            <w:rPr>
              <w:b/>
            </w:rPr>
          </w:pPr>
          <w:r>
            <w:rPr>
              <w:b/>
            </w:rPr>
            <w:fldChar w:fldCharType="begin"/>
          </w:r>
          <w:r>
            <w:rPr>
              <w:b/>
            </w:rPr>
            <w:instrText xml:space="preserve"> STYLEREF CharPartNo \*charformat </w:instrText>
          </w:r>
          <w:r>
            <w:rPr>
              <w:b/>
            </w:rPr>
            <w:fldChar w:fldCharType="end"/>
          </w:r>
        </w:p>
      </w:tc>
    </w:tr>
    <w:tr w:rsidR="00B40966">
      <w:trPr>
        <w:jc w:val="center"/>
      </w:trPr>
      <w:tc>
        <w:tcPr>
          <w:tcW w:w="7296" w:type="dxa"/>
          <w:gridSpan w:val="2"/>
          <w:tcBorders>
            <w:bottom w:val="single" w:sz="4" w:space="0" w:color="auto"/>
          </w:tcBorders>
        </w:tcPr>
        <w:p w:rsidR="00B40966" w:rsidRDefault="00B40966">
          <w:pPr>
            <w:pStyle w:val="HeaderOdd6"/>
          </w:pPr>
        </w:p>
      </w:tc>
    </w:tr>
  </w:tbl>
  <w:p w:rsidR="00B40966" w:rsidRDefault="00B40966">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B40966">
      <w:trPr>
        <w:jc w:val="center"/>
      </w:trPr>
      <w:tc>
        <w:tcPr>
          <w:tcW w:w="1234" w:type="dxa"/>
          <w:gridSpan w:val="2"/>
        </w:tcPr>
        <w:p w:rsidR="00B40966" w:rsidRDefault="00B40966">
          <w:pPr>
            <w:pStyle w:val="HeaderEven"/>
            <w:rPr>
              <w:b/>
            </w:rPr>
          </w:pPr>
          <w:r>
            <w:rPr>
              <w:b/>
            </w:rPr>
            <w:t>Endnotes</w:t>
          </w:r>
        </w:p>
      </w:tc>
      <w:tc>
        <w:tcPr>
          <w:tcW w:w="6062" w:type="dxa"/>
        </w:tcPr>
        <w:p w:rsidR="00B40966" w:rsidRDefault="00B40966">
          <w:pPr>
            <w:pStyle w:val="HeaderEven"/>
          </w:pPr>
        </w:p>
      </w:tc>
    </w:tr>
    <w:tr w:rsidR="00B40966">
      <w:trPr>
        <w:cantSplit/>
        <w:jc w:val="center"/>
      </w:trPr>
      <w:tc>
        <w:tcPr>
          <w:tcW w:w="7296" w:type="dxa"/>
          <w:gridSpan w:val="3"/>
        </w:tcPr>
        <w:p w:rsidR="00B40966" w:rsidRDefault="00B40966">
          <w:pPr>
            <w:pStyle w:val="HeaderEven"/>
          </w:pPr>
        </w:p>
      </w:tc>
    </w:tr>
    <w:tr w:rsidR="00B40966">
      <w:trPr>
        <w:cantSplit/>
        <w:jc w:val="center"/>
      </w:trPr>
      <w:tc>
        <w:tcPr>
          <w:tcW w:w="700" w:type="dxa"/>
          <w:tcBorders>
            <w:bottom w:val="single" w:sz="4" w:space="0" w:color="auto"/>
          </w:tcBorders>
        </w:tcPr>
        <w:p w:rsidR="00B40966" w:rsidRDefault="00D46C11">
          <w:pPr>
            <w:pStyle w:val="HeaderEven6"/>
          </w:pPr>
          <w:r>
            <w:rPr>
              <w:noProof/>
            </w:rPr>
            <w:fldChar w:fldCharType="begin"/>
          </w:r>
          <w:r>
            <w:rPr>
              <w:noProof/>
            </w:rPr>
            <w:instrText xml:space="preserve"> STYLEREF charTableNo \*charformat </w:instrText>
          </w:r>
          <w:r>
            <w:rPr>
              <w:noProof/>
            </w:rPr>
            <w:fldChar w:fldCharType="separate"/>
          </w:r>
          <w:r w:rsidR="00C67449">
            <w:rPr>
              <w:noProof/>
            </w:rPr>
            <w:t>1</w:t>
          </w:r>
          <w:r>
            <w:rPr>
              <w:noProof/>
            </w:rPr>
            <w:fldChar w:fldCharType="end"/>
          </w:r>
        </w:p>
      </w:tc>
      <w:tc>
        <w:tcPr>
          <w:tcW w:w="6600" w:type="dxa"/>
          <w:gridSpan w:val="2"/>
          <w:tcBorders>
            <w:bottom w:val="single" w:sz="4" w:space="0" w:color="auto"/>
          </w:tcBorders>
        </w:tcPr>
        <w:p w:rsidR="00B40966" w:rsidRDefault="00D46C11">
          <w:pPr>
            <w:pStyle w:val="HeaderEven6"/>
          </w:pPr>
          <w:r>
            <w:rPr>
              <w:noProof/>
            </w:rPr>
            <w:fldChar w:fldCharType="begin"/>
          </w:r>
          <w:r>
            <w:rPr>
              <w:noProof/>
            </w:rPr>
            <w:instrText xml:space="preserve"> STYLEREF charTableText \*charformat </w:instrText>
          </w:r>
          <w:r>
            <w:rPr>
              <w:noProof/>
            </w:rPr>
            <w:fldChar w:fldCharType="separate"/>
          </w:r>
          <w:r w:rsidR="00C67449">
            <w:rPr>
              <w:noProof/>
            </w:rPr>
            <w:t>About the endnotes</w:t>
          </w:r>
          <w:r>
            <w:rPr>
              <w:noProof/>
            </w:rPr>
            <w:fldChar w:fldCharType="end"/>
          </w:r>
        </w:p>
      </w:tc>
    </w:tr>
  </w:tbl>
  <w:p w:rsidR="00B40966" w:rsidRDefault="00B40966">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B40966">
      <w:trPr>
        <w:jc w:val="center"/>
      </w:trPr>
      <w:tc>
        <w:tcPr>
          <w:tcW w:w="5741" w:type="dxa"/>
        </w:tcPr>
        <w:p w:rsidR="00B40966" w:rsidRDefault="00B40966">
          <w:pPr>
            <w:pStyle w:val="HeaderEven"/>
            <w:jc w:val="right"/>
          </w:pPr>
        </w:p>
      </w:tc>
      <w:tc>
        <w:tcPr>
          <w:tcW w:w="1560" w:type="dxa"/>
          <w:gridSpan w:val="2"/>
        </w:tcPr>
        <w:p w:rsidR="00B40966" w:rsidRDefault="00B40966">
          <w:pPr>
            <w:pStyle w:val="HeaderEven"/>
            <w:jc w:val="right"/>
            <w:rPr>
              <w:b/>
            </w:rPr>
          </w:pPr>
          <w:r>
            <w:rPr>
              <w:b/>
            </w:rPr>
            <w:t>Endnotes</w:t>
          </w:r>
        </w:p>
      </w:tc>
    </w:tr>
    <w:tr w:rsidR="00B40966">
      <w:trPr>
        <w:jc w:val="center"/>
      </w:trPr>
      <w:tc>
        <w:tcPr>
          <w:tcW w:w="7301" w:type="dxa"/>
          <w:gridSpan w:val="3"/>
        </w:tcPr>
        <w:p w:rsidR="00B40966" w:rsidRDefault="00B40966">
          <w:pPr>
            <w:pStyle w:val="HeaderEven"/>
            <w:jc w:val="right"/>
            <w:rPr>
              <w:b/>
            </w:rPr>
          </w:pPr>
        </w:p>
      </w:tc>
    </w:tr>
    <w:tr w:rsidR="00B40966">
      <w:trPr>
        <w:jc w:val="center"/>
      </w:trPr>
      <w:tc>
        <w:tcPr>
          <w:tcW w:w="6600" w:type="dxa"/>
          <w:gridSpan w:val="2"/>
          <w:tcBorders>
            <w:bottom w:val="single" w:sz="4" w:space="0" w:color="auto"/>
          </w:tcBorders>
        </w:tcPr>
        <w:p w:rsidR="00B40966" w:rsidRDefault="00D46C11">
          <w:pPr>
            <w:pStyle w:val="HeaderOdd6"/>
          </w:pPr>
          <w:r>
            <w:rPr>
              <w:noProof/>
            </w:rPr>
            <w:fldChar w:fldCharType="begin"/>
          </w:r>
          <w:r>
            <w:rPr>
              <w:noProof/>
            </w:rPr>
            <w:instrText xml:space="preserve"> STYLEREF charTableText \*charformat </w:instrText>
          </w:r>
          <w:r>
            <w:rPr>
              <w:noProof/>
            </w:rPr>
            <w:fldChar w:fldCharType="separate"/>
          </w:r>
          <w:r w:rsidR="00C67449">
            <w:rPr>
              <w:noProof/>
            </w:rPr>
            <w:t>About the endnotes</w:t>
          </w:r>
          <w:r>
            <w:rPr>
              <w:noProof/>
            </w:rPr>
            <w:fldChar w:fldCharType="end"/>
          </w:r>
        </w:p>
      </w:tc>
      <w:tc>
        <w:tcPr>
          <w:tcW w:w="700" w:type="dxa"/>
          <w:tcBorders>
            <w:bottom w:val="single" w:sz="4" w:space="0" w:color="auto"/>
          </w:tcBorders>
        </w:tcPr>
        <w:p w:rsidR="00B40966" w:rsidRDefault="00D46C11">
          <w:pPr>
            <w:pStyle w:val="HeaderOdd6"/>
          </w:pPr>
          <w:r>
            <w:rPr>
              <w:noProof/>
            </w:rPr>
            <w:fldChar w:fldCharType="begin"/>
          </w:r>
          <w:r>
            <w:rPr>
              <w:noProof/>
            </w:rPr>
            <w:instrText xml:space="preserve"> STYLEREF charTableNo \*charformat </w:instrText>
          </w:r>
          <w:r>
            <w:rPr>
              <w:noProof/>
            </w:rPr>
            <w:fldChar w:fldCharType="separate"/>
          </w:r>
          <w:r w:rsidR="00C67449">
            <w:rPr>
              <w:noProof/>
            </w:rPr>
            <w:t>1</w:t>
          </w:r>
          <w:r>
            <w:rPr>
              <w:noProof/>
            </w:rPr>
            <w:fldChar w:fldCharType="end"/>
          </w:r>
        </w:p>
      </w:tc>
    </w:tr>
  </w:tbl>
  <w:p w:rsidR="00B40966" w:rsidRDefault="00B40966">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966" w:rsidRDefault="00B409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B40966" w:rsidRDefault="00B40966">
          <w:pPr>
            <w:pStyle w:val="HeaderEven"/>
          </w:pPr>
          <w:r>
            <w:fldChar w:fldCharType="begin"/>
          </w:r>
          <w:r>
            <w:instrText xml:space="preserve"> STYLEREF CharPartText \*charformat </w:instrText>
          </w:r>
          <w: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end"/>
          </w:r>
        </w:p>
      </w:tc>
      <w:tc>
        <w:tcPr>
          <w:tcW w:w="4100" w:type="pct"/>
        </w:tcPr>
        <w:p w:rsidR="00B40966" w:rsidRDefault="00B40966">
          <w:pPr>
            <w:pStyle w:val="HeaderEven"/>
          </w:pPr>
          <w:r>
            <w:fldChar w:fldCharType="begin"/>
          </w:r>
          <w:r>
            <w:instrText xml:space="preserve"> STYLEREF CharDivText \*charformat </w:instrText>
          </w:r>
          <w: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sidR="00B40966">
            <w:fldChar w:fldCharType="begin"/>
          </w:r>
          <w:r w:rsidR="00B40966">
            <w:instrText xml:space="preserve"> STYLEREF CharSectNo \*charformat </w:instrText>
          </w:r>
          <w:r w:rsidR="00B40966">
            <w:fldChar w:fldCharType="end"/>
          </w:r>
        </w:p>
      </w:tc>
    </w:tr>
  </w:tbl>
  <w:p w:rsidR="00B40966" w:rsidRDefault="00B4096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B40966">
          <w:pPr>
            <w:pStyle w:val="HeaderEven"/>
            <w:jc w:val="right"/>
          </w:pPr>
          <w:r>
            <w:fldChar w:fldCharType="begin"/>
          </w:r>
          <w:r>
            <w:instrText xml:space="preserve"> STYLEREF CharPartText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end"/>
          </w:r>
        </w:p>
      </w:tc>
    </w:tr>
    <w:tr w:rsidR="00B40966">
      <w:tc>
        <w:tcPr>
          <w:tcW w:w="4100" w:type="pct"/>
        </w:tcPr>
        <w:p w:rsidR="00B40966" w:rsidRDefault="00B40966">
          <w:pPr>
            <w:pStyle w:val="HeaderEven"/>
            <w:jc w:val="right"/>
          </w:pPr>
          <w:r>
            <w:fldChar w:fldCharType="begin"/>
          </w:r>
          <w:r>
            <w:instrText xml:space="preserve"> STYLEREF CharDivText \*charformat </w:instrText>
          </w:r>
          <w: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sidR="00B40966">
            <w:fldChar w:fldCharType="begin"/>
          </w:r>
          <w:r w:rsidR="00B40966">
            <w:instrText xml:space="preserve"> STYLEREF CharSectNo \*charformat </w:instrText>
          </w:r>
          <w:r w:rsidR="00B40966">
            <w:fldChar w:fldCharType="end"/>
          </w:r>
        </w:p>
      </w:tc>
    </w:tr>
  </w:tbl>
  <w:p w:rsidR="00B40966" w:rsidRDefault="00B4096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B40966">
      <w:tc>
        <w:tcPr>
          <w:tcW w:w="900" w:type="pct"/>
        </w:tcPr>
        <w:p w:rsidR="00B40966" w:rsidRDefault="00B40966">
          <w:pPr>
            <w:pStyle w:val="HeaderEven"/>
            <w:rPr>
              <w:b/>
            </w:rPr>
          </w:pPr>
          <w:r>
            <w:rPr>
              <w:b/>
            </w:rPr>
            <w:fldChar w:fldCharType="begin"/>
          </w:r>
          <w:r>
            <w:rPr>
              <w:b/>
            </w:rPr>
            <w:instrText xml:space="preserve"> STYLEREF CharPartNo \*charformat </w:instrText>
          </w:r>
          <w:r>
            <w:rPr>
              <w:b/>
            </w:rPr>
            <w:fldChar w:fldCharType="separate"/>
          </w:r>
          <w:r w:rsidR="00C67449">
            <w:rPr>
              <w:b/>
              <w:noProof/>
            </w:rPr>
            <w:t>Part 5</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engaged in building work</w:t>
          </w:r>
          <w:r>
            <w:rPr>
              <w:noProof/>
            </w:rPr>
            <w:fldChar w:fldCharType="end"/>
          </w:r>
        </w:p>
      </w:tc>
    </w:tr>
    <w:tr w:rsidR="00B40966">
      <w:tc>
        <w:tcPr>
          <w:tcW w:w="900" w:type="pct"/>
        </w:tcPr>
        <w:p w:rsidR="00B40966" w:rsidRDefault="00B40966">
          <w:pPr>
            <w:pStyle w:val="HeaderEven"/>
            <w:rPr>
              <w:b/>
            </w:rPr>
          </w:pPr>
          <w:r>
            <w:rPr>
              <w:b/>
            </w:rPr>
            <w:fldChar w:fldCharType="begin"/>
          </w:r>
          <w:r>
            <w:rPr>
              <w:b/>
            </w:rPr>
            <w:instrText xml:space="preserve"> STYLEREF CharDivNo \*charformat </w:instrText>
          </w:r>
          <w:r>
            <w:rPr>
              <w:b/>
            </w:rPr>
            <w:fldChar w:fldCharType="separate"/>
          </w:r>
          <w:r w:rsidR="00C67449">
            <w:rPr>
              <w:b/>
              <w:noProof/>
            </w:rPr>
            <w:t>Division 5.1</w:t>
          </w:r>
          <w:r>
            <w:rPr>
              <w:b/>
            </w:rPr>
            <w:fldChar w:fldCharType="end"/>
          </w:r>
        </w:p>
      </w:tc>
      <w:tc>
        <w:tcPr>
          <w:tcW w:w="4100" w:type="pct"/>
        </w:tcPr>
        <w:p w:rsidR="00B40966" w:rsidRDefault="00D46C11">
          <w:pPr>
            <w:pStyle w:val="HeaderEven"/>
          </w:pPr>
          <w:r>
            <w:rPr>
              <w:noProof/>
            </w:rPr>
            <w:fldChar w:fldCharType="begin"/>
          </w:r>
          <w:r>
            <w:rPr>
              <w:noProof/>
            </w:rPr>
            <w:instrText xml:space="preserve"> STYLEREF CharDivText \*charformat </w:instrText>
          </w:r>
          <w:r>
            <w:rPr>
              <w:noProof/>
            </w:rPr>
            <w:fldChar w:fldCharType="separate"/>
          </w:r>
          <w:r w:rsidR="00C67449">
            <w:rPr>
              <w:noProof/>
            </w:rPr>
            <w:t>General</w:t>
          </w:r>
          <w:r>
            <w:rPr>
              <w:noProof/>
            </w:rPr>
            <w:fldChar w:fldCharType="end"/>
          </w:r>
        </w:p>
      </w:tc>
    </w:tr>
    <w:tr w:rsidR="00B40966">
      <w:trPr>
        <w:cantSplit/>
      </w:trPr>
      <w:tc>
        <w:tcPr>
          <w:tcW w:w="4997" w:type="pct"/>
          <w:gridSpan w:val="2"/>
          <w:tcBorders>
            <w:bottom w:val="single" w:sz="4" w:space="0" w:color="auto"/>
          </w:tcBorders>
        </w:tcPr>
        <w:p w:rsidR="00B40966" w:rsidRDefault="00D46C11">
          <w:pPr>
            <w:pStyle w:val="HeaderEven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75</w:t>
          </w:r>
          <w:r>
            <w:rPr>
              <w:noProof/>
            </w:rPr>
            <w:fldChar w:fldCharType="end"/>
          </w:r>
        </w:p>
      </w:tc>
    </w:tr>
  </w:tbl>
  <w:p w:rsidR="00B40966" w:rsidRDefault="00B4096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B40966">
      <w:tc>
        <w:tcPr>
          <w:tcW w:w="4100" w:type="pct"/>
        </w:tcPr>
        <w:p w:rsidR="00B40966" w:rsidRDefault="00D46C11">
          <w:pPr>
            <w:pStyle w:val="HeaderEven"/>
            <w:jc w:val="right"/>
          </w:pPr>
          <w:r>
            <w:rPr>
              <w:noProof/>
            </w:rPr>
            <w:fldChar w:fldCharType="begin"/>
          </w:r>
          <w:r>
            <w:rPr>
              <w:noProof/>
            </w:rPr>
            <w:instrText xml:space="preserve"> STYLEREF CharPartText \*charformat </w:instrText>
          </w:r>
          <w:r>
            <w:rPr>
              <w:noProof/>
            </w:rPr>
            <w:fldChar w:fldCharType="separate"/>
          </w:r>
          <w:r w:rsidR="00C67449">
            <w:rPr>
              <w:noProof/>
            </w:rPr>
            <w:t>Safeguards and measures to be taken for securing the safety and health of persons engaged in building work</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CharPartNo \*charformat </w:instrText>
          </w:r>
          <w:r>
            <w:rPr>
              <w:b/>
            </w:rPr>
            <w:fldChar w:fldCharType="separate"/>
          </w:r>
          <w:r w:rsidR="00C67449">
            <w:rPr>
              <w:b/>
              <w:noProof/>
            </w:rPr>
            <w:t>Part 5</w:t>
          </w:r>
          <w:r>
            <w:rPr>
              <w:b/>
            </w:rPr>
            <w:fldChar w:fldCharType="end"/>
          </w:r>
        </w:p>
      </w:tc>
    </w:tr>
    <w:tr w:rsidR="00B40966">
      <w:tc>
        <w:tcPr>
          <w:tcW w:w="4100" w:type="pct"/>
        </w:tcPr>
        <w:p w:rsidR="00B40966" w:rsidRDefault="00D46C11">
          <w:pPr>
            <w:pStyle w:val="HeaderEven"/>
            <w:jc w:val="right"/>
          </w:pPr>
          <w:r>
            <w:rPr>
              <w:noProof/>
            </w:rPr>
            <w:fldChar w:fldCharType="begin"/>
          </w:r>
          <w:r>
            <w:rPr>
              <w:noProof/>
            </w:rPr>
            <w:instrText xml:space="preserve"> STYLEREF CharDivText \*charformat </w:instrText>
          </w:r>
          <w:r>
            <w:rPr>
              <w:noProof/>
            </w:rPr>
            <w:fldChar w:fldCharType="separate"/>
          </w:r>
          <w:r w:rsidR="00C67449">
            <w:rPr>
              <w:noProof/>
            </w:rPr>
            <w:t>General</w:t>
          </w:r>
          <w:r>
            <w:rPr>
              <w:noProof/>
            </w:rPr>
            <w:fldChar w:fldCharType="end"/>
          </w:r>
        </w:p>
      </w:tc>
      <w:tc>
        <w:tcPr>
          <w:tcW w:w="900" w:type="pct"/>
        </w:tcPr>
        <w:p w:rsidR="00B40966" w:rsidRDefault="00B40966">
          <w:pPr>
            <w:pStyle w:val="HeaderEven"/>
            <w:jc w:val="right"/>
            <w:rPr>
              <w:b/>
            </w:rPr>
          </w:pPr>
          <w:r>
            <w:rPr>
              <w:b/>
            </w:rPr>
            <w:fldChar w:fldCharType="begin"/>
          </w:r>
          <w:r>
            <w:rPr>
              <w:b/>
            </w:rPr>
            <w:instrText xml:space="preserve"> STYLEREF CharDivNo \*charformat </w:instrText>
          </w:r>
          <w:r>
            <w:rPr>
              <w:b/>
            </w:rPr>
            <w:fldChar w:fldCharType="separate"/>
          </w:r>
          <w:r w:rsidR="00C67449">
            <w:rPr>
              <w:b/>
              <w:noProof/>
            </w:rPr>
            <w:t>Division 5.1</w:t>
          </w:r>
          <w:r>
            <w:rPr>
              <w:b/>
            </w:rPr>
            <w:fldChar w:fldCharType="end"/>
          </w:r>
        </w:p>
      </w:tc>
    </w:tr>
    <w:tr w:rsidR="00B40966">
      <w:trPr>
        <w:cantSplit/>
      </w:trPr>
      <w:tc>
        <w:tcPr>
          <w:tcW w:w="5000" w:type="pct"/>
          <w:gridSpan w:val="2"/>
          <w:tcBorders>
            <w:bottom w:val="single" w:sz="4" w:space="0" w:color="auto"/>
          </w:tcBorders>
        </w:tcPr>
        <w:p w:rsidR="00B40966" w:rsidRDefault="00D46C11">
          <w:pPr>
            <w:pStyle w:val="HeaderOdd6"/>
          </w:pPr>
          <w:r>
            <w:fldChar w:fldCharType="begin"/>
          </w:r>
          <w:r>
            <w:instrText xml:space="preserve"> DOCPROPERTY "Company"  \* MERGEFORMAT </w:instrText>
          </w:r>
          <w:r>
            <w:fldChar w:fldCharType="separate"/>
          </w:r>
          <w:r w:rsidR="00C67449">
            <w:t>Section</w:t>
          </w:r>
          <w:r>
            <w:fldChar w:fldCharType="end"/>
          </w:r>
          <w:r w:rsidR="00B40966">
            <w:t xml:space="preserve"> </w:t>
          </w:r>
          <w:r>
            <w:rPr>
              <w:noProof/>
            </w:rPr>
            <w:fldChar w:fldCharType="begin"/>
          </w:r>
          <w:r>
            <w:rPr>
              <w:noProof/>
            </w:rPr>
            <w:instrText xml:space="preserve"> STYLEREF CharSectNo \*charformat </w:instrText>
          </w:r>
          <w:r>
            <w:rPr>
              <w:noProof/>
            </w:rPr>
            <w:fldChar w:fldCharType="separate"/>
          </w:r>
          <w:r w:rsidR="00C67449">
            <w:rPr>
              <w:noProof/>
            </w:rPr>
            <w:t>75</w:t>
          </w:r>
          <w:r>
            <w:rPr>
              <w:noProof/>
            </w:rPr>
            <w:fldChar w:fldCharType="end"/>
          </w:r>
        </w:p>
      </w:tc>
    </w:tr>
  </w:tbl>
  <w:p w:rsidR="00B40966" w:rsidRDefault="00B409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F68C01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850026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6385E5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34818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FEF28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2"/>
    <w:multiLevelType w:val="singleLevel"/>
    <w:tmpl w:val="27C4EBF0"/>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89921B08"/>
    <w:lvl w:ilvl="0">
      <w:start w:val="1"/>
      <w:numFmt w:val="bullet"/>
      <w:pStyle w:val="ListBullet2"/>
      <w:lvlText w:val=""/>
      <w:lvlJc w:val="left"/>
      <w:pPr>
        <w:tabs>
          <w:tab w:val="num" w:pos="643"/>
        </w:tabs>
        <w:ind w:left="643" w:hanging="360"/>
      </w:pPr>
      <w:rPr>
        <w:rFonts w:ascii="Symbol" w:hAnsi="Symbol" w:hint="default"/>
      </w:rPr>
    </w:lvl>
  </w:abstractNum>
  <w:abstractNum w:abstractNumId="7" w15:restartNumberingAfterBreak="0">
    <w:nsid w:val="FFFFFF88"/>
    <w:multiLevelType w:val="singleLevel"/>
    <w:tmpl w:val="E66E9858"/>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EA61D60"/>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5001021"/>
    <w:multiLevelType w:val="multilevel"/>
    <w:tmpl w:val="D54C69B4"/>
    <w:name w:val="SchedHeading22"/>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Restart w:val="0"/>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 w15:restartNumberingAfterBreak="0">
    <w:nsid w:val="0C234202"/>
    <w:multiLevelType w:val="multilevel"/>
    <w:tmpl w:val="CAC0CDCA"/>
    <w:name w:val="Section"/>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right"/>
      <w:pPr>
        <w:tabs>
          <w:tab w:val="num" w:pos="700"/>
        </w:tabs>
        <w:ind w:left="700" w:hanging="200"/>
      </w:pPr>
    </w:lvl>
    <w:lvl w:ilvl="6">
      <w:start w:val="1"/>
      <w:numFmt w:val="lowerLetter"/>
      <w:lvlText w:val="(%7)"/>
      <w:lvlJc w:val="right"/>
      <w:pPr>
        <w:tabs>
          <w:tab w:val="num" w:pos="1200"/>
        </w:tabs>
        <w:ind w:left="1200" w:hanging="200"/>
      </w:pPr>
    </w:lvl>
    <w:lvl w:ilvl="7">
      <w:start w:val="1"/>
      <w:numFmt w:val="lowerRoman"/>
      <w:lvlText w:val="(%8)"/>
      <w:lvlJc w:val="right"/>
      <w:pPr>
        <w:tabs>
          <w:tab w:val="num" w:pos="1600"/>
        </w:tabs>
        <w:ind w:left="1600" w:hanging="200"/>
      </w:pPr>
    </w:lvl>
    <w:lvl w:ilvl="8">
      <w:start w:val="1"/>
      <w:numFmt w:val="upperLetter"/>
      <w:lvlText w:val="(%9)"/>
      <w:lvlJc w:val="right"/>
      <w:pPr>
        <w:tabs>
          <w:tab w:val="num" w:pos="2100"/>
        </w:tabs>
        <w:ind w:left="2100" w:hanging="200"/>
      </w:pPr>
    </w:lvl>
  </w:abstractNum>
  <w:abstractNum w:abstractNumId="11" w15:restartNumberingAfterBreak="0">
    <w:nsid w:val="144B2F01"/>
    <w:multiLevelType w:val="singleLevel"/>
    <w:tmpl w:val="98D46A76"/>
    <w:lvl w:ilvl="0">
      <w:start w:val="1"/>
      <w:numFmt w:val="bullet"/>
      <w:pStyle w:val="Actbullet"/>
      <w:lvlText w:val=""/>
      <w:lvlJc w:val="left"/>
      <w:pPr>
        <w:tabs>
          <w:tab w:val="num" w:pos="960"/>
        </w:tabs>
        <w:ind w:left="900" w:hanging="300"/>
      </w:pPr>
      <w:rPr>
        <w:rFonts w:ascii="Symbol" w:hAnsi="Symbol" w:hint="default"/>
        <w:sz w:val="18"/>
      </w:rPr>
    </w:lvl>
  </w:abstractNum>
  <w:abstractNum w:abstractNumId="12" w15:restartNumberingAfterBreak="0">
    <w:nsid w:val="15884613"/>
    <w:multiLevelType w:val="multilevel"/>
    <w:tmpl w:val="04883E96"/>
    <w:name w:val="SchedHeading"/>
    <w:lvl w:ilvl="0">
      <w:start w:val="1"/>
      <w:numFmt w:val="decimal"/>
      <w:lvlText w:val="Schedule %1"/>
      <w:lvlJc w:val="left"/>
      <w:pPr>
        <w:tabs>
          <w:tab w:val="num" w:pos="2600"/>
        </w:tabs>
        <w:ind w:left="2600" w:hanging="2600"/>
      </w:pPr>
    </w:lvl>
    <w:lvl w:ilvl="1">
      <w:start w:val="1"/>
      <w:numFmt w:val="decimal"/>
      <w:lvlText w:val="Part %2"/>
      <w:lvlJc w:val="left"/>
      <w:pPr>
        <w:tabs>
          <w:tab w:val="num" w:pos="2600"/>
        </w:tabs>
        <w:ind w:left="2600" w:hanging="2600"/>
      </w:pPr>
    </w:lvl>
    <w:lvl w:ilvl="2">
      <w:start w:val="1"/>
      <w:numFmt w:val="decimal"/>
      <w:lvlText w:val="Division %3"/>
      <w:lvlJc w:val="left"/>
      <w:pPr>
        <w:tabs>
          <w:tab w:val="num" w:pos="2600"/>
        </w:tabs>
        <w:ind w:left="2600" w:hanging="2600"/>
      </w:pPr>
    </w:lvl>
    <w:lvl w:ilvl="3">
      <w:start w:val="1"/>
      <w:numFmt w:val="decimal"/>
      <w:lvlText w:val="[%1.%4]"/>
      <w:lvlJc w:val="left"/>
      <w:pPr>
        <w:tabs>
          <w:tab w:val="num" w:pos="700"/>
        </w:tabs>
        <w:ind w:left="700" w:hanging="700"/>
      </w:pPr>
    </w:lvl>
    <w:lvl w:ilvl="4">
      <w:start w:val="1"/>
      <w:numFmt w:val="decimal"/>
      <w:lvlText w:val="%5"/>
      <w:lvlJc w:val="left"/>
      <w:pPr>
        <w:tabs>
          <w:tab w:val="num" w:pos="700"/>
        </w:tabs>
        <w:ind w:left="700" w:hanging="70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3"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4" w15:restartNumberingAfterBreak="0">
    <w:nsid w:val="24FF0832"/>
    <w:multiLevelType w:val="multilevel"/>
    <w:tmpl w:val="7C0AEE0C"/>
    <w:name w:val="defs"/>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suff w:val="nothing"/>
      <w:lvlText w:val=""/>
      <w:lvlJc w:val="left"/>
      <w:pPr>
        <w:ind w:left="700" w:firstLine="0"/>
      </w:pPr>
    </w:lvl>
    <w:lvl w:ilvl="6">
      <w:start w:val="1"/>
      <w:numFmt w:val="lowerLetter"/>
      <w:lvlText w:val="(%7)"/>
      <w:lvlJc w:val="right"/>
      <w:pPr>
        <w:tabs>
          <w:tab w:val="num" w:pos="1200"/>
        </w:tabs>
        <w:ind w:left="1200" w:hanging="200"/>
      </w:pPr>
      <w:rPr>
        <w:b w:val="0"/>
        <w:i w:val="0"/>
      </w:rPr>
    </w:lvl>
    <w:lvl w:ilvl="7">
      <w:start w:val="1"/>
      <w:numFmt w:val="lowerRoman"/>
      <w:lvlText w:val="(%8)"/>
      <w:lvlJc w:val="right"/>
      <w:pPr>
        <w:tabs>
          <w:tab w:val="num" w:pos="1740"/>
        </w:tabs>
        <w:ind w:left="1740" w:hanging="200"/>
      </w:pPr>
    </w:lvl>
    <w:lvl w:ilvl="8">
      <w:start w:val="1"/>
      <w:numFmt w:val="decimal"/>
      <w:lvlText w:val="%1.%2.%3.%4.%5.%6.%7.%8.%9"/>
      <w:lvlJc w:val="left"/>
      <w:pPr>
        <w:tabs>
          <w:tab w:val="num" w:pos="1584"/>
        </w:tabs>
        <w:ind w:left="1584" w:hanging="1584"/>
      </w:pPr>
    </w:lvl>
  </w:abstractNum>
  <w:abstractNum w:abstractNumId="15" w15:restartNumberingAfterBreak="0">
    <w:nsid w:val="2FC7291F"/>
    <w:multiLevelType w:val="multilevel"/>
    <w:tmpl w:val="52029D9E"/>
    <w:lvl w:ilvl="0">
      <w:start w:val="1"/>
      <w:numFmt w:val="decimal"/>
      <w:pStyle w:val="bulletregs"/>
      <w:lvlText w:val="Schedule %1"/>
      <w:lvlJc w:val="left"/>
      <w:pPr>
        <w:tabs>
          <w:tab w:val="num" w:pos="2400"/>
        </w:tabs>
        <w:ind w:left="2400" w:hanging="24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180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6" w15:restartNumberingAfterBreak="0">
    <w:nsid w:val="35123B54"/>
    <w:multiLevelType w:val="multilevel"/>
    <w:tmpl w:val="B0124224"/>
    <w:name w:val="Schedule"/>
    <w:lvl w:ilvl="0">
      <w:start w:val="1"/>
      <w:numFmt w:val="decimal"/>
      <w:lvlText w:val="Schedule %1"/>
      <w:lvlJc w:val="left"/>
      <w:pPr>
        <w:tabs>
          <w:tab w:val="num" w:pos="2600"/>
        </w:tabs>
        <w:ind w:left="2600" w:hanging="2600"/>
      </w:pPr>
      <w:rPr>
        <w:rFonts w:ascii="Arial" w:hAnsi="Arial" w:hint="default"/>
      </w:rPr>
    </w:lvl>
    <w:lvl w:ilvl="1">
      <w:start w:val="1"/>
      <w:numFmt w:val="decimal"/>
      <w:lvlText w:val="Part %2"/>
      <w:lvlJc w:val="left"/>
      <w:pPr>
        <w:tabs>
          <w:tab w:val="num" w:pos="2400"/>
        </w:tabs>
        <w:ind w:left="2400" w:hanging="2400"/>
      </w:pPr>
      <w:rPr>
        <w:rFonts w:ascii="Arial" w:hAnsi="Arial" w:hint="default"/>
      </w:rPr>
    </w:lvl>
    <w:lvl w:ilvl="2">
      <w:start w:val="1"/>
      <w:numFmt w:val="decimal"/>
      <w:lvlText w:val="Form %3"/>
      <w:lvlJc w:val="left"/>
      <w:pPr>
        <w:tabs>
          <w:tab w:val="num" w:pos="2400"/>
        </w:tabs>
        <w:ind w:left="2400" w:hanging="2400"/>
      </w:pPr>
      <w:rPr>
        <w:rFonts w:ascii="Arial" w:hAnsi="Arial" w:hint="default"/>
      </w:rPr>
    </w:lvl>
    <w:lvl w:ilvl="3">
      <w:start w:val="1"/>
      <w:numFmt w:val="decimal"/>
      <w:isLgl/>
      <w:lvlText w:val="%1.%2.%3.%4."/>
      <w:lvlJc w:val="left"/>
      <w:pPr>
        <w:tabs>
          <w:tab w:val="num" w:pos="2520"/>
        </w:tabs>
        <w:ind w:left="1800" w:hanging="720"/>
      </w:pPr>
      <w:rPr>
        <w:rFonts w:hint="default"/>
      </w:rPr>
    </w:lvl>
    <w:lvl w:ilvl="4">
      <w:start w:val="1"/>
      <w:numFmt w:val="decimal"/>
      <w:lvlText w:val="%5"/>
      <w:lvlJc w:val="left"/>
      <w:pPr>
        <w:tabs>
          <w:tab w:val="num" w:pos="700"/>
        </w:tabs>
        <w:ind w:left="700" w:hanging="70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17" w15:restartNumberingAfterBreak="0">
    <w:nsid w:val="37296F46"/>
    <w:multiLevelType w:val="multilevel"/>
    <w:tmpl w:val="73F87CC0"/>
    <w:name w:val="Sections"/>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Restart w:val="0"/>
      <w:lvlText w:val="%5"/>
      <w:lvlJc w:val="left"/>
      <w:pPr>
        <w:tabs>
          <w:tab w:val="num" w:pos="700"/>
        </w:tabs>
        <w:ind w:left="700" w:hanging="700"/>
      </w:pPr>
    </w:lvl>
    <w:lvl w:ilvl="5">
      <w:start w:val="1"/>
      <w:numFmt w:val="decimal"/>
      <w:lvlText w:val="(%6)"/>
      <w:lvlJc w:val="left"/>
      <w:pPr>
        <w:tabs>
          <w:tab w:val="num" w:pos="860"/>
        </w:tabs>
        <w:ind w:left="700" w:hanging="20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4C4964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65418E3"/>
    <w:multiLevelType w:val="multilevel"/>
    <w:tmpl w:val="EAFEB598"/>
    <w:name w:val="SchClaus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15:restartNumberingAfterBreak="0">
    <w:nsid w:val="59E325CC"/>
    <w:multiLevelType w:val="multilevel"/>
    <w:tmpl w:val="155A5DE0"/>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5C8639AD"/>
    <w:multiLevelType w:val="multilevel"/>
    <w:tmpl w:val="87044F96"/>
    <w:name w:val="Lower"/>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lowerLetter"/>
      <w:suff w:val="nothing"/>
      <w:lvlText w:val="(%3)"/>
      <w:lvlJc w:val="left"/>
      <w:pPr>
        <w:ind w:left="0" w:firstLine="0"/>
      </w:pPr>
    </w:lvl>
    <w:lvl w:ilvl="3">
      <w:start w:val="1"/>
      <w:numFmt w:val="lowerRoman"/>
      <w:suff w:val="nothing"/>
      <w:lvlText w:val="(%4)"/>
      <w:lvlJc w:val="left"/>
      <w:pPr>
        <w:ind w:left="0" w:firstLine="0"/>
      </w:pPr>
    </w:lvl>
    <w:lvl w:ilvl="4">
      <w:start w:val="1"/>
      <w:numFmt w:val="upperLetter"/>
      <w:suff w:val="nothing"/>
      <w:lvlText w:val="(%5)"/>
      <w:lvlJc w:val="left"/>
      <w:pPr>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F800AF9"/>
    <w:multiLevelType w:val="multilevel"/>
    <w:tmpl w:val="3A843A0A"/>
    <w:name w:val="Shading"/>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62BF1189"/>
    <w:multiLevelType w:val="multilevel"/>
    <w:tmpl w:val="4150EC4C"/>
    <w:name w:val="SchClause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5]"/>
      <w:lvlJc w:val="left"/>
      <w:pPr>
        <w:tabs>
          <w:tab w:val="num" w:pos="700"/>
        </w:tabs>
        <w:ind w:left="700" w:hanging="70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5"/>
  </w:num>
  <w:num w:numId="2">
    <w:abstractNumId w:val="18"/>
  </w:num>
  <w:num w:numId="3">
    <w:abstractNumId w:val="8"/>
  </w:num>
  <w:num w:numId="4">
    <w:abstractNumId w:val="6"/>
  </w:num>
  <w:num w:numId="5">
    <w:abstractNumId w:val="5"/>
  </w:num>
  <w:num w:numId="6">
    <w:abstractNumId w:val="4"/>
  </w:num>
  <w:num w:numId="7">
    <w:abstractNumId w:val="7"/>
  </w:num>
  <w:num w:numId="8">
    <w:abstractNumId w:val="3"/>
  </w:num>
  <w:num w:numId="9">
    <w:abstractNumId w:val="2"/>
  </w:num>
  <w:num w:numId="10">
    <w:abstractNumId w:val="1"/>
  </w:num>
  <w:num w:numId="11">
    <w:abstractNumId w:val="0"/>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evenAndOddHeaders/>
  <w:drawingGridHorizontalSpacing w:val="57"/>
  <w:drawingGridVerticalSpacing w:val="39"/>
  <w:displayHorizontalDrawingGridEvery w:val="0"/>
  <w:displayVerticalDrawingGridEvery w:val="0"/>
  <w:noPunctuationKerning/>
  <w:characterSpacingControl w:val="doNotCompress"/>
  <w:hdrShapeDefaults>
    <o:shapedefaults v:ext="edit" spidmax="51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62A"/>
    <w:rsid w:val="000963ED"/>
    <w:rsid w:val="002B10A6"/>
    <w:rsid w:val="00320F52"/>
    <w:rsid w:val="0095732E"/>
    <w:rsid w:val="00AB162A"/>
    <w:rsid w:val="00B40966"/>
    <w:rsid w:val="00C67449"/>
    <w:rsid w:val="00DA6E8C"/>
    <w:rsid w:val="00EB6F65"/>
    <w:rsid w:val="00EB7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chartTrackingRefBased/>
  <w15:docId w15:val="{D2D446E9-AAD0-4BEF-9DC1-26960E3A1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eastAsia="en-US"/>
    </w:rPr>
  </w:style>
  <w:style w:type="paragraph" w:styleId="Heading1">
    <w:name w:val="heading 1"/>
    <w:basedOn w:val="Normal"/>
    <w:next w:val="Normal"/>
    <w:qFormat/>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pPr>
      <w:keepNext/>
      <w:shd w:val="clear" w:color="auto" w:fill="E0E0E0"/>
      <w:spacing w:before="320" w:after="60"/>
      <w:outlineLvl w:val="1"/>
    </w:pPr>
    <w:rPr>
      <w:rFonts w:ascii="Arial" w:hAnsi="Arial" w:cs="Arial"/>
      <w:b/>
      <w:bCs/>
      <w:iCs/>
      <w:sz w:val="28"/>
      <w:szCs w:val="28"/>
    </w:rPr>
  </w:style>
  <w:style w:type="paragraph" w:styleId="Heading4">
    <w:name w:val="heading 4"/>
    <w:basedOn w:val="Normal"/>
    <w:next w:val="Normal"/>
    <w:qFormat/>
    <w:pPr>
      <w:keepNext/>
      <w:spacing w:before="240" w:after="60"/>
      <w:outlineLvl w:val="3"/>
    </w:pPr>
    <w:rPr>
      <w:rFonts w:ascii="Arial" w:hAnsi="Arial"/>
      <w:b/>
      <w:b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style>
  <w:style w:type="paragraph" w:customStyle="1" w:styleId="00ClientCover">
    <w:name w:val="00ClientCover"/>
    <w:basedOn w:val="Normal"/>
  </w:style>
  <w:style w:type="paragraph" w:customStyle="1" w:styleId="02Text">
    <w:name w:val="02Text"/>
    <w:basedOn w:val="Normal"/>
  </w:style>
  <w:style w:type="paragraph" w:customStyle="1" w:styleId="BillBasic">
    <w:name w:val="BillBasic"/>
    <w:pPr>
      <w:spacing w:before="80" w:after="60"/>
      <w:jc w:val="both"/>
    </w:pPr>
    <w:rPr>
      <w:sz w:val="24"/>
      <w:lang w:eastAsia="en-US"/>
    </w:rPr>
  </w:style>
  <w:style w:type="paragraph" w:styleId="Header">
    <w:name w:val="header"/>
    <w:basedOn w:val="Normal"/>
    <w:semiHidden/>
    <w:pPr>
      <w:tabs>
        <w:tab w:val="center" w:pos="4153"/>
        <w:tab w:val="right" w:pos="8306"/>
      </w:tabs>
    </w:pPr>
  </w:style>
  <w:style w:type="paragraph" w:styleId="Footer">
    <w:name w:val="footer"/>
    <w:basedOn w:val="Normal"/>
    <w:semiHidden/>
    <w:pPr>
      <w:spacing w:before="120" w:after="60" w:line="240" w:lineRule="exact"/>
    </w:pPr>
    <w:rPr>
      <w:rFonts w:ascii="Arial" w:hAnsi="Arial"/>
      <w:sz w:val="18"/>
    </w:rPr>
  </w:style>
  <w:style w:type="paragraph" w:customStyle="1" w:styleId="Billname">
    <w:name w:val="Billname"/>
    <w:basedOn w:val="Normal"/>
    <w:pPr>
      <w:spacing w:before="1220" w:after="100"/>
    </w:pPr>
    <w:rPr>
      <w:rFonts w:ascii="Arial" w:hAnsi="Arial"/>
      <w:b/>
      <w:sz w:val="40"/>
    </w:rPr>
  </w:style>
  <w:style w:type="paragraph" w:customStyle="1" w:styleId="BillBasicHeading">
    <w:name w:val="BillBasicHeading"/>
    <w:basedOn w:val="BillBasic"/>
    <w:pPr>
      <w:keepNext/>
      <w:tabs>
        <w:tab w:val="left" w:pos="2600"/>
      </w:tabs>
      <w:jc w:val="left"/>
    </w:pPr>
    <w:rPr>
      <w:rFonts w:ascii="Arial" w:hAnsi="Arial"/>
      <w:b/>
    </w:rPr>
  </w:style>
  <w:style w:type="paragraph" w:customStyle="1" w:styleId="draft">
    <w:name w:val="draft"/>
    <w:basedOn w:val="Normal"/>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BillCrest">
    <w:name w:val="Bill Crest"/>
    <w:basedOn w:val="Normal"/>
    <w:next w:val="Normal"/>
    <w:pPr>
      <w:tabs>
        <w:tab w:val="center" w:pos="3160"/>
      </w:tabs>
      <w:spacing w:after="60"/>
    </w:pPr>
    <w:rPr>
      <w:sz w:val="216"/>
    </w:rPr>
  </w:style>
  <w:style w:type="paragraph" w:customStyle="1" w:styleId="Amain">
    <w:name w:val="A main"/>
    <w:basedOn w:val="BillBasic"/>
    <w:pPr>
      <w:tabs>
        <w:tab w:val="right" w:pos="900"/>
        <w:tab w:val="left" w:pos="1100"/>
      </w:tabs>
      <w:ind w:left="1100" w:hanging="1100"/>
      <w:outlineLvl w:val="5"/>
    </w:pPr>
  </w:style>
  <w:style w:type="paragraph" w:customStyle="1" w:styleId="Amainreturn">
    <w:name w:val="A main return"/>
    <w:basedOn w:val="BillBasic"/>
    <w:pPr>
      <w:ind w:left="1100"/>
    </w:pPr>
  </w:style>
  <w:style w:type="paragraph" w:customStyle="1" w:styleId="Apara">
    <w:name w:val="A para"/>
    <w:basedOn w:val="BillBasic"/>
    <w:pPr>
      <w:tabs>
        <w:tab w:val="right" w:pos="1400"/>
        <w:tab w:val="left" w:pos="1600"/>
      </w:tabs>
      <w:ind w:left="1600" w:hanging="1600"/>
      <w:outlineLvl w:val="6"/>
    </w:pPr>
  </w:style>
  <w:style w:type="paragraph" w:customStyle="1" w:styleId="Asubpara">
    <w:name w:val="A subpara"/>
    <w:basedOn w:val="BillBasic"/>
    <w:pPr>
      <w:tabs>
        <w:tab w:val="right" w:pos="1900"/>
        <w:tab w:val="left" w:pos="2100"/>
      </w:tabs>
      <w:ind w:left="2100" w:hanging="2100"/>
      <w:outlineLvl w:val="7"/>
    </w:pPr>
  </w:style>
  <w:style w:type="paragraph" w:customStyle="1" w:styleId="Asubsubpara">
    <w:name w:val="A subsubpara"/>
    <w:basedOn w:val="BillBasic"/>
    <w:pPr>
      <w:tabs>
        <w:tab w:val="right" w:pos="2400"/>
        <w:tab w:val="left" w:pos="2600"/>
      </w:tabs>
      <w:ind w:left="2600" w:hanging="2600"/>
      <w:outlineLvl w:val="8"/>
    </w:pPr>
  </w:style>
  <w:style w:type="paragraph" w:customStyle="1" w:styleId="aDef">
    <w:name w:val="aDef"/>
    <w:basedOn w:val="BillBasic"/>
    <w:pPr>
      <w:ind w:left="1100"/>
    </w:pPr>
  </w:style>
  <w:style w:type="paragraph" w:customStyle="1" w:styleId="aExamHead">
    <w:name w:val="aExam Head"/>
    <w:basedOn w:val="BillBasicHeading"/>
    <w:next w:val="aExam"/>
    <w:pPr>
      <w:tabs>
        <w:tab w:val="clear" w:pos="2600"/>
      </w:tabs>
      <w:ind w:left="1100"/>
    </w:pPr>
    <w:rPr>
      <w:sz w:val="18"/>
    </w:rPr>
  </w:style>
  <w:style w:type="paragraph" w:customStyle="1" w:styleId="aExam">
    <w:name w:val="aExam"/>
    <w:basedOn w:val="aNote"/>
    <w:pPr>
      <w:spacing w:before="0"/>
      <w:ind w:left="1100" w:firstLine="0"/>
    </w:pPr>
  </w:style>
  <w:style w:type="paragraph" w:customStyle="1" w:styleId="aNote">
    <w:name w:val="aNote"/>
    <w:basedOn w:val="BillBasic"/>
    <w:pPr>
      <w:ind w:left="1900" w:hanging="800"/>
    </w:pPr>
    <w:rPr>
      <w:sz w:val="20"/>
    </w:rPr>
  </w:style>
  <w:style w:type="paragraph" w:customStyle="1" w:styleId="HeaderEven">
    <w:name w:val="HeaderEven"/>
    <w:basedOn w:val="Normal"/>
    <w:rPr>
      <w:rFonts w:ascii="Arial" w:hAnsi="Arial"/>
      <w:sz w:val="18"/>
    </w:rPr>
  </w:style>
  <w:style w:type="paragraph" w:customStyle="1" w:styleId="HeaderEven6">
    <w:name w:val="HeaderEven6"/>
    <w:basedOn w:val="HeaderEven"/>
    <w:pPr>
      <w:spacing w:before="120" w:after="60"/>
    </w:pPr>
  </w:style>
  <w:style w:type="paragraph" w:customStyle="1" w:styleId="HeaderOdd6">
    <w:name w:val="HeaderOdd6"/>
    <w:basedOn w:val="HeaderEven6"/>
    <w:pPr>
      <w:jc w:val="right"/>
    </w:pPr>
  </w:style>
  <w:style w:type="paragraph" w:customStyle="1" w:styleId="HeaderOdd">
    <w:name w:val="HeaderOdd"/>
    <w:basedOn w:val="HeaderEven"/>
    <w:pPr>
      <w:jc w:val="right"/>
    </w:pPr>
  </w:style>
  <w:style w:type="paragraph" w:customStyle="1" w:styleId="BillNo">
    <w:name w:val="BillNo"/>
    <w:basedOn w:val="BillBasicHeading"/>
    <w:pPr>
      <w:keepNext w:val="0"/>
      <w:spacing w:before="240"/>
      <w:jc w:val="both"/>
    </w:pPr>
  </w:style>
  <w:style w:type="paragraph" w:customStyle="1" w:styleId="N-TOCheading">
    <w:name w:val="N-TOCheading"/>
    <w:basedOn w:val="BillBasicHeading"/>
    <w:next w:val="N-9pt"/>
    <w:pPr>
      <w:keepNext w:val="0"/>
      <w:pBdr>
        <w:bottom w:val="single" w:sz="4" w:space="1" w:color="auto"/>
      </w:pBdr>
      <w:spacing w:before="800" w:after="20"/>
    </w:pPr>
    <w:rPr>
      <w:sz w:val="32"/>
    </w:rPr>
  </w:style>
  <w:style w:type="paragraph" w:customStyle="1" w:styleId="N-9pt">
    <w:name w:val="N-9pt"/>
    <w:basedOn w:val="BillBasic"/>
    <w:next w:val="BillBasic"/>
    <w:pPr>
      <w:tabs>
        <w:tab w:val="right" w:pos="7707"/>
      </w:tabs>
      <w:spacing w:before="120" w:after="20"/>
    </w:pPr>
    <w:rPr>
      <w:rFonts w:ascii="Arial" w:hAnsi="Arial"/>
      <w:sz w:val="18"/>
    </w:rPr>
  </w:style>
  <w:style w:type="paragraph" w:customStyle="1" w:styleId="N-14pt">
    <w:name w:val="N-14pt"/>
    <w:basedOn w:val="BillBasic"/>
    <w:pPr>
      <w:spacing w:before="0"/>
    </w:pPr>
    <w:rPr>
      <w:b/>
      <w:sz w:val="28"/>
    </w:rPr>
  </w:style>
  <w:style w:type="paragraph" w:customStyle="1" w:styleId="N-16pt">
    <w:name w:val="N-16pt"/>
    <w:basedOn w:val="BillBasic"/>
    <w:pPr>
      <w:spacing w:before="800"/>
    </w:pPr>
    <w:rPr>
      <w:b/>
      <w:sz w:val="32"/>
    </w:rPr>
  </w:style>
  <w:style w:type="paragraph" w:customStyle="1" w:styleId="N-line3">
    <w:name w:val="N-line3"/>
    <w:basedOn w:val="BillBasic"/>
    <w:next w:val="BillBasic"/>
    <w:pPr>
      <w:pBdr>
        <w:bottom w:val="single" w:sz="12" w:space="1" w:color="auto"/>
      </w:pBdr>
      <w:spacing w:before="0" w:after="0"/>
    </w:pPr>
  </w:style>
  <w:style w:type="paragraph" w:customStyle="1" w:styleId="EnactingWords">
    <w:name w:val="EnactingWords"/>
    <w:basedOn w:val="BillBasic"/>
    <w:pPr>
      <w:spacing w:before="60"/>
    </w:pPr>
  </w:style>
  <w:style w:type="paragraph" w:customStyle="1" w:styleId="Comment">
    <w:name w:val="Comment"/>
    <w:basedOn w:val="BillBasic"/>
    <w:pPr>
      <w:tabs>
        <w:tab w:val="left" w:pos="1800"/>
      </w:tabs>
      <w:ind w:left="1300"/>
      <w:jc w:val="left"/>
    </w:pPr>
    <w:rPr>
      <w:b/>
      <w:sz w:val="18"/>
    </w:rPr>
  </w:style>
  <w:style w:type="paragraph" w:customStyle="1" w:styleId="FooterInfo">
    <w:name w:val="FooterInfo"/>
    <w:basedOn w:val="Normal"/>
    <w:pPr>
      <w:tabs>
        <w:tab w:val="right" w:pos="7707"/>
      </w:tabs>
    </w:pPr>
    <w:rPr>
      <w:rFonts w:ascii="Arial" w:hAnsi="Arial"/>
      <w:sz w:val="18"/>
    </w:rPr>
  </w:style>
  <w:style w:type="paragraph" w:customStyle="1" w:styleId="AH1Chapter">
    <w:name w:val="A H1 Chapter"/>
    <w:basedOn w:val="BillBasicHeading"/>
    <w:next w:val="AH2Part"/>
    <w:pPr>
      <w:spacing w:before="320"/>
      <w:ind w:left="2600" w:hanging="2600"/>
      <w:outlineLvl w:val="0"/>
    </w:pPr>
    <w:rPr>
      <w:sz w:val="34"/>
    </w:rPr>
  </w:style>
  <w:style w:type="paragraph" w:customStyle="1" w:styleId="AH2Part">
    <w:name w:val="A H2 Part"/>
    <w:basedOn w:val="BillBasicHeading"/>
    <w:next w:val="AH3Div"/>
    <w:pPr>
      <w:spacing w:before="320"/>
      <w:ind w:left="2600" w:hanging="2600"/>
      <w:outlineLvl w:val="1"/>
    </w:pPr>
    <w:rPr>
      <w:sz w:val="32"/>
    </w:rPr>
  </w:style>
  <w:style w:type="paragraph" w:customStyle="1" w:styleId="AH3Div">
    <w:name w:val="A H3 Div"/>
    <w:basedOn w:val="BillBasicHeading"/>
    <w:next w:val="AH5Sec"/>
    <w:pPr>
      <w:spacing w:before="180"/>
      <w:ind w:left="2600" w:hanging="2600"/>
      <w:outlineLvl w:val="2"/>
    </w:pPr>
    <w:rPr>
      <w:sz w:val="28"/>
    </w:rPr>
  </w:style>
  <w:style w:type="paragraph" w:customStyle="1" w:styleId="AH5Sec">
    <w:name w:val="A H5 Sec"/>
    <w:basedOn w:val="BillBasicHeading"/>
    <w:next w:val="Amain"/>
    <w:pPr>
      <w:tabs>
        <w:tab w:val="clear" w:pos="2600"/>
        <w:tab w:val="left" w:pos="1100"/>
      </w:tabs>
      <w:spacing w:before="180"/>
      <w:ind w:left="1100" w:hanging="1100"/>
      <w:outlineLvl w:val="4"/>
    </w:pPr>
  </w:style>
  <w:style w:type="paragraph" w:customStyle="1" w:styleId="AH4SubDiv">
    <w:name w:val="A H4 SubDiv"/>
    <w:basedOn w:val="BillBasicHeading"/>
    <w:next w:val="AH5Sec"/>
    <w:pPr>
      <w:spacing w:before="180"/>
      <w:ind w:left="2600" w:hanging="2600"/>
      <w:outlineLvl w:val="3"/>
    </w:pPr>
    <w:rPr>
      <w:sz w:val="26"/>
    </w:rPr>
  </w:style>
  <w:style w:type="paragraph" w:customStyle="1" w:styleId="Sched-heading">
    <w:name w:val="Sched-heading"/>
    <w:basedOn w:val="BillBasicHeading"/>
    <w:next w:val="ref"/>
    <w:pPr>
      <w:spacing w:before="320"/>
      <w:ind w:left="2600" w:hanging="2600"/>
      <w:outlineLvl w:val="0"/>
    </w:pPr>
    <w:rPr>
      <w:sz w:val="34"/>
    </w:rPr>
  </w:style>
  <w:style w:type="paragraph" w:customStyle="1" w:styleId="ref">
    <w:name w:val="ref"/>
    <w:basedOn w:val="BillBasic"/>
    <w:next w:val="Normal"/>
    <w:pPr>
      <w:spacing w:before="0"/>
    </w:pPr>
    <w:rPr>
      <w:sz w:val="18"/>
    </w:rPr>
  </w:style>
  <w:style w:type="paragraph" w:customStyle="1" w:styleId="Sched-Part">
    <w:name w:val="Sched-Part"/>
    <w:basedOn w:val="BillBasicHeading"/>
    <w:next w:val="Sched-Form"/>
    <w:pPr>
      <w:spacing w:before="320"/>
      <w:ind w:left="2600" w:hanging="2600"/>
      <w:outlineLvl w:val="1"/>
    </w:pPr>
    <w:rPr>
      <w:sz w:val="32"/>
    </w:rPr>
  </w:style>
  <w:style w:type="paragraph" w:customStyle="1" w:styleId="Sched-Form">
    <w:name w:val="Sched-Form"/>
    <w:basedOn w:val="BillBasicHeading"/>
    <w:next w:val="Schclauseheading"/>
    <w:pPr>
      <w:tabs>
        <w:tab w:val="right" w:pos="7200"/>
      </w:tabs>
      <w:spacing w:before="180"/>
      <w:ind w:left="2600" w:hanging="2600"/>
      <w:outlineLvl w:val="2"/>
    </w:pPr>
    <w:rPr>
      <w:sz w:val="28"/>
    </w:rPr>
  </w:style>
  <w:style w:type="paragraph" w:customStyle="1" w:styleId="Schclauseheading">
    <w:name w:val="Sch clause heading"/>
    <w:basedOn w:val="BillBasic"/>
    <w:next w:val="SchAmain"/>
    <w:pPr>
      <w:keepNext/>
      <w:tabs>
        <w:tab w:val="left" w:pos="1100"/>
      </w:tabs>
      <w:spacing w:before="160" w:after="0"/>
      <w:ind w:left="1100" w:hanging="1100"/>
      <w:jc w:val="left"/>
      <w:outlineLvl w:val="4"/>
    </w:pPr>
    <w:rPr>
      <w:rFonts w:ascii="Arial" w:hAnsi="Arial"/>
      <w:b/>
    </w:rPr>
  </w:style>
  <w:style w:type="paragraph" w:customStyle="1" w:styleId="Dict-Heading">
    <w:name w:val="Dict-Heading"/>
    <w:basedOn w:val="BillBasicHeading"/>
    <w:next w:val="Normal"/>
    <w:pPr>
      <w:spacing w:before="320"/>
      <w:ind w:left="2600" w:hanging="2600"/>
      <w:jc w:val="both"/>
      <w:outlineLvl w:val="0"/>
    </w:pPr>
    <w:rPr>
      <w:sz w:val="34"/>
    </w:rPr>
  </w:style>
  <w:style w:type="paragraph" w:customStyle="1" w:styleId="Sched-Form-18Space">
    <w:name w:val="Sched-Form-18Space"/>
    <w:basedOn w:val="Normal"/>
    <w:pPr>
      <w:spacing w:before="360" w:after="60"/>
    </w:pPr>
    <w:rPr>
      <w:sz w:val="22"/>
    </w:rPr>
  </w:style>
  <w:style w:type="paragraph" w:customStyle="1" w:styleId="Endnote1">
    <w:name w:val="Endnote1"/>
    <w:basedOn w:val="BillBasic"/>
    <w:next w:val="Normal"/>
    <w:pPr>
      <w:keepNext/>
      <w:tabs>
        <w:tab w:val="left" w:pos="400"/>
      </w:tabs>
      <w:spacing w:before="0" w:after="0"/>
      <w:jc w:val="left"/>
    </w:pPr>
    <w:rPr>
      <w:rFonts w:ascii="Arial" w:hAnsi="Arial"/>
      <w:b/>
      <w:sz w:val="28"/>
    </w:rPr>
  </w:style>
  <w:style w:type="paragraph" w:customStyle="1" w:styleId="Endnote2">
    <w:name w:val="Endnote2"/>
    <w:basedOn w:val="Normal"/>
    <w:pPr>
      <w:keepNext/>
      <w:tabs>
        <w:tab w:val="left" w:pos="1100"/>
      </w:tabs>
      <w:spacing w:before="320" w:after="60"/>
    </w:pPr>
    <w:rPr>
      <w:rFonts w:ascii="Arial" w:hAnsi="Arial"/>
      <w:b/>
    </w:rPr>
  </w:style>
  <w:style w:type="paragraph" w:customStyle="1" w:styleId="AH1ChapterSymb">
    <w:name w:val="A H1 Chapter Symb"/>
    <w:basedOn w:val="AH1Chapter"/>
    <w:next w:val="AH2Part"/>
    <w:pPr>
      <w:tabs>
        <w:tab w:val="clear" w:pos="2600"/>
        <w:tab w:val="left" w:pos="0"/>
      </w:tabs>
      <w:ind w:left="2480" w:hanging="2960"/>
    </w:pPr>
  </w:style>
  <w:style w:type="paragraph" w:customStyle="1" w:styleId="IH1Chap">
    <w:name w:val="I H1 Chap"/>
    <w:basedOn w:val="BillBasicHeading"/>
    <w:next w:val="Normal"/>
    <w:pPr>
      <w:spacing w:before="320"/>
      <w:ind w:left="2600" w:hanging="2600"/>
    </w:pPr>
    <w:rPr>
      <w:sz w:val="34"/>
    </w:rPr>
  </w:style>
  <w:style w:type="paragraph" w:customStyle="1" w:styleId="IH2Part">
    <w:name w:val="I H2 Part"/>
    <w:basedOn w:val="BillBasicHeading"/>
    <w:next w:val="Normal"/>
    <w:pPr>
      <w:spacing w:before="320"/>
      <w:ind w:left="2600" w:hanging="2600"/>
    </w:pPr>
    <w:rPr>
      <w:sz w:val="32"/>
    </w:rPr>
  </w:style>
  <w:style w:type="paragraph" w:customStyle="1" w:styleId="IH3Div">
    <w:name w:val="I H3 Div"/>
    <w:basedOn w:val="BillBasicHeading"/>
    <w:next w:val="Normal"/>
    <w:pPr>
      <w:spacing w:before="180"/>
      <w:ind w:left="2600" w:hanging="2600"/>
    </w:pPr>
    <w:rPr>
      <w:sz w:val="28"/>
    </w:rPr>
  </w:style>
  <w:style w:type="paragraph" w:customStyle="1" w:styleId="IH5Sec">
    <w:name w:val="I H5 Sec"/>
    <w:basedOn w:val="BillBasicHeading"/>
    <w:next w:val="Normal"/>
    <w:pPr>
      <w:tabs>
        <w:tab w:val="clear" w:pos="2600"/>
        <w:tab w:val="left" w:pos="1100"/>
      </w:tabs>
      <w:spacing w:before="180"/>
      <w:ind w:left="1100" w:hanging="1100"/>
    </w:pPr>
  </w:style>
  <w:style w:type="paragraph" w:customStyle="1" w:styleId="IMain">
    <w:name w:val="I Main"/>
    <w:basedOn w:val="Amain"/>
  </w:style>
  <w:style w:type="paragraph" w:customStyle="1" w:styleId="IH4SubDiv">
    <w:name w:val="I H4 SubDiv"/>
    <w:basedOn w:val="BillBasicHeading"/>
    <w:next w:val="Normal"/>
    <w:pPr>
      <w:spacing w:before="180"/>
      <w:ind w:left="2600" w:hanging="2600"/>
      <w:jc w:val="both"/>
    </w:pPr>
    <w:rPr>
      <w:sz w:val="26"/>
    </w:rPr>
  </w:style>
  <w:style w:type="character" w:styleId="LineNumber">
    <w:name w:val="line number"/>
    <w:semiHidden/>
    <w:rPr>
      <w:rFonts w:ascii="Arial" w:hAnsi="Arial"/>
      <w:sz w:val="16"/>
    </w:rPr>
  </w:style>
  <w:style w:type="paragraph" w:customStyle="1" w:styleId="PageBreak">
    <w:name w:val="PageBreak"/>
    <w:basedOn w:val="Normal"/>
    <w:rPr>
      <w:sz w:val="4"/>
    </w:rPr>
  </w:style>
  <w:style w:type="paragraph" w:customStyle="1" w:styleId="04Dictionary">
    <w:name w:val="04Dictionary"/>
    <w:basedOn w:val="Normal"/>
  </w:style>
  <w:style w:type="paragraph" w:customStyle="1" w:styleId="N-line1">
    <w:name w:val="N-line1"/>
    <w:basedOn w:val="BillBasic"/>
    <w:pPr>
      <w:pBdr>
        <w:bottom w:val="single" w:sz="4" w:space="0" w:color="auto"/>
      </w:pBdr>
      <w:spacing w:before="100" w:after="200"/>
      <w:ind w:left="2980" w:right="3020"/>
      <w:jc w:val="center"/>
    </w:pPr>
  </w:style>
  <w:style w:type="paragraph" w:customStyle="1" w:styleId="N-line2">
    <w:name w:val="N-line2"/>
    <w:basedOn w:val="Normal"/>
    <w:pPr>
      <w:pBdr>
        <w:bottom w:val="single" w:sz="8" w:space="0" w:color="auto"/>
      </w:pBdr>
    </w:pPr>
  </w:style>
  <w:style w:type="paragraph" w:customStyle="1" w:styleId="EndNote">
    <w:name w:val="EndNote"/>
    <w:basedOn w:val="BillBasicHeading"/>
    <w:pPr>
      <w:keepNext w:val="0"/>
      <w:tabs>
        <w:tab w:val="clear" w:pos="2600"/>
        <w:tab w:val="left" w:pos="1100"/>
      </w:tabs>
      <w:spacing w:before="160" w:after="160"/>
      <w:ind w:left="1100" w:hanging="1100"/>
      <w:jc w:val="both"/>
    </w:pPr>
  </w:style>
  <w:style w:type="paragraph" w:customStyle="1" w:styleId="EndnotesAbbrev">
    <w:name w:val="EndnotesAbbrev"/>
    <w:basedOn w:val="Normal"/>
    <w:pPr>
      <w:spacing w:before="20"/>
    </w:pPr>
    <w:rPr>
      <w:rFonts w:ascii="Arial" w:hAnsi="Arial"/>
      <w:color w:val="000000"/>
      <w:sz w:val="16"/>
    </w:rPr>
  </w:style>
  <w:style w:type="paragraph" w:customStyle="1" w:styleId="PenaltyHeading">
    <w:name w:val="PenaltyHeading"/>
    <w:basedOn w:val="Normal"/>
    <w:pPr>
      <w:tabs>
        <w:tab w:val="left" w:pos="1100"/>
      </w:tabs>
      <w:spacing w:before="120"/>
      <w:ind w:left="1100" w:hanging="1100"/>
    </w:pPr>
    <w:rPr>
      <w:rFonts w:ascii="Arial" w:hAnsi="Arial"/>
      <w:b/>
      <w:sz w:val="20"/>
    </w:rPr>
  </w:style>
  <w:style w:type="paragraph" w:customStyle="1" w:styleId="05EndNote">
    <w:name w:val="05EndNote"/>
    <w:basedOn w:val="Normal"/>
  </w:style>
  <w:style w:type="paragraph" w:customStyle="1" w:styleId="03Schedule">
    <w:name w:val="03Schedule"/>
    <w:basedOn w:val="Normal"/>
  </w:style>
  <w:style w:type="paragraph" w:customStyle="1" w:styleId="ISched-heading">
    <w:name w:val="I Sched-heading"/>
    <w:basedOn w:val="BillBasicHeading"/>
    <w:next w:val="Normal"/>
    <w:pPr>
      <w:spacing w:before="320"/>
      <w:ind w:left="2600" w:hanging="2600"/>
    </w:pPr>
    <w:rPr>
      <w:sz w:val="34"/>
    </w:rPr>
  </w:style>
  <w:style w:type="paragraph" w:customStyle="1" w:styleId="ISched-Part">
    <w:name w:val="I Sched-Part"/>
    <w:basedOn w:val="BillBasicHeading"/>
    <w:pPr>
      <w:spacing w:before="320"/>
      <w:ind w:left="2600" w:hanging="2600"/>
    </w:pPr>
    <w:rPr>
      <w:sz w:val="32"/>
    </w:rPr>
  </w:style>
  <w:style w:type="paragraph" w:customStyle="1" w:styleId="ISched-form">
    <w:name w:val="I Sched-form"/>
    <w:basedOn w:val="BillBasicHeading"/>
    <w:pPr>
      <w:tabs>
        <w:tab w:val="right" w:pos="7200"/>
      </w:tabs>
      <w:spacing w:before="180"/>
      <w:ind w:left="2600" w:hanging="2600"/>
    </w:pPr>
    <w:rPr>
      <w:sz w:val="28"/>
    </w:rPr>
  </w:style>
  <w:style w:type="paragraph" w:customStyle="1" w:styleId="ISchclauseheading">
    <w:name w:val="I Sch clause heading"/>
    <w:basedOn w:val="BillBasic"/>
    <w:pPr>
      <w:keepNext/>
      <w:tabs>
        <w:tab w:val="left" w:pos="1100"/>
      </w:tabs>
      <w:spacing w:before="160" w:after="0"/>
      <w:ind w:left="1100" w:hanging="1100"/>
      <w:jc w:val="left"/>
    </w:pPr>
    <w:rPr>
      <w:rFonts w:ascii="Arial" w:hAnsi="Arial"/>
      <w:b/>
    </w:rPr>
  </w:style>
  <w:style w:type="paragraph" w:customStyle="1" w:styleId="Ipara">
    <w:name w:val="I para"/>
    <w:basedOn w:val="Apara"/>
    <w:pPr>
      <w:outlineLvl w:val="9"/>
    </w:pPr>
  </w:style>
  <w:style w:type="paragraph" w:customStyle="1" w:styleId="Isubpara">
    <w:name w:val="I subpara"/>
    <w:basedOn w:val="Asubpara"/>
    <w:pPr>
      <w:tabs>
        <w:tab w:val="clear" w:pos="1900"/>
        <w:tab w:val="clear" w:pos="2100"/>
        <w:tab w:val="right" w:pos="1940"/>
        <w:tab w:val="left" w:pos="2140"/>
      </w:tabs>
      <w:ind w:left="2140" w:hanging="2140"/>
      <w:outlineLvl w:val="9"/>
    </w:pPr>
  </w:style>
  <w:style w:type="paragraph" w:customStyle="1" w:styleId="Isubsubpara">
    <w:name w:val="I subsubpara"/>
    <w:basedOn w:val="Asubsubpara"/>
    <w:pPr>
      <w:tabs>
        <w:tab w:val="clear" w:pos="2400"/>
        <w:tab w:val="clear" w:pos="2600"/>
        <w:tab w:val="right" w:pos="2460"/>
        <w:tab w:val="left" w:pos="2660"/>
      </w:tabs>
      <w:ind w:left="2660" w:hanging="2660"/>
    </w:pPr>
  </w:style>
  <w:style w:type="character" w:customStyle="1" w:styleId="CharSectNo">
    <w:name w:val="CharSectNo"/>
    <w:basedOn w:val="DefaultParagraphFont"/>
  </w:style>
  <w:style w:type="character" w:customStyle="1" w:styleId="CharDivNo">
    <w:name w:val="CharDivNo"/>
    <w:basedOn w:val="DefaultParagraphFont"/>
  </w:style>
  <w:style w:type="character" w:customStyle="1" w:styleId="CharDivText">
    <w:name w:val="CharDivText"/>
    <w:basedOn w:val="DefaultParagraphFont"/>
  </w:style>
  <w:style w:type="character" w:customStyle="1" w:styleId="CharPartNo">
    <w:name w:val="CharPartNo"/>
    <w:basedOn w:val="DefaultParagraphFont"/>
  </w:style>
  <w:style w:type="paragraph" w:customStyle="1" w:styleId="Placeholder">
    <w:name w:val="Placeholder"/>
    <w:basedOn w:val="Normal"/>
    <w:rPr>
      <w:sz w:val="10"/>
    </w:rPr>
  </w:style>
  <w:style w:type="paragraph" w:styleId="PlainText">
    <w:name w:val="Plain Text"/>
    <w:basedOn w:val="Normal"/>
    <w:semiHidden/>
    <w:rPr>
      <w:rFonts w:ascii="Courier New" w:hAnsi="Courier New"/>
      <w:sz w:val="20"/>
    </w:rPr>
  </w:style>
  <w:style w:type="character" w:customStyle="1" w:styleId="CharChapNo">
    <w:name w:val="CharChapNo"/>
    <w:basedOn w:val="DefaultParagraphFont"/>
  </w:style>
  <w:style w:type="character" w:customStyle="1" w:styleId="CharChapText">
    <w:name w:val="CharChapText"/>
    <w:basedOn w:val="DefaultParagraphFont"/>
  </w:style>
  <w:style w:type="character" w:customStyle="1" w:styleId="CharPartText">
    <w:name w:val="CharPartText"/>
    <w:basedOn w:val="DefaultParagraphFont"/>
  </w:style>
  <w:style w:type="paragraph" w:styleId="TOC1">
    <w:name w:val="toc 1"/>
    <w:basedOn w:val="Normal"/>
    <w:next w:val="Normal"/>
    <w:autoRedefine/>
    <w:semiHidden/>
    <w:pPr>
      <w:keepNext/>
      <w:tabs>
        <w:tab w:val="left" w:pos="1800"/>
        <w:tab w:val="right" w:pos="7672"/>
      </w:tabs>
      <w:spacing w:before="480" w:after="20"/>
      <w:ind w:left="1800" w:right="360" w:hanging="1800"/>
    </w:pPr>
    <w:rPr>
      <w:rFonts w:ascii="Arial" w:hAnsi="Arial"/>
      <w:b/>
      <w:noProof/>
    </w:rPr>
  </w:style>
  <w:style w:type="paragraph" w:styleId="TOC2">
    <w:name w:val="toc 2"/>
    <w:basedOn w:val="Normal"/>
    <w:next w:val="Normal"/>
    <w:autoRedefine/>
    <w:semiHidden/>
    <w:pPr>
      <w:keepNext/>
      <w:tabs>
        <w:tab w:val="left" w:pos="1800"/>
        <w:tab w:val="right" w:pos="7672"/>
      </w:tabs>
      <w:spacing w:before="240" w:after="20"/>
      <w:ind w:left="1800" w:right="360" w:hanging="1800"/>
    </w:pPr>
    <w:rPr>
      <w:rFonts w:ascii="Arial" w:hAnsi="Arial"/>
      <w:b/>
      <w:noProof/>
    </w:rPr>
  </w:style>
  <w:style w:type="paragraph" w:styleId="TOC3">
    <w:name w:val="toc 3"/>
    <w:basedOn w:val="Normal"/>
    <w:next w:val="Normal"/>
    <w:autoRedefine/>
    <w:semiHidden/>
    <w:pPr>
      <w:keepNext/>
      <w:tabs>
        <w:tab w:val="left" w:pos="1800"/>
        <w:tab w:val="right" w:pos="7672"/>
      </w:tabs>
      <w:spacing w:before="120" w:after="40"/>
      <w:ind w:left="1800" w:right="360" w:hanging="1800"/>
    </w:pPr>
    <w:rPr>
      <w:rFonts w:ascii="Arial" w:hAnsi="Arial"/>
      <w:b/>
      <w:noProof/>
      <w:sz w:val="20"/>
    </w:rPr>
  </w:style>
  <w:style w:type="paragraph" w:styleId="TOC4">
    <w:name w:val="toc 4"/>
    <w:basedOn w:val="Normal"/>
    <w:next w:val="Normal"/>
    <w:autoRedefine/>
    <w:semiHidden/>
    <w:pPr>
      <w:keepNext/>
      <w:tabs>
        <w:tab w:val="left" w:pos="1800"/>
        <w:tab w:val="right" w:pos="7672"/>
      </w:tabs>
      <w:spacing w:before="80" w:after="40"/>
      <w:ind w:left="1800" w:right="360" w:hanging="1800"/>
    </w:pPr>
    <w:rPr>
      <w:rFonts w:ascii="Arial" w:hAnsi="Arial"/>
      <w:b/>
      <w:noProof/>
      <w:sz w:val="20"/>
    </w:rPr>
  </w:style>
  <w:style w:type="paragraph" w:styleId="TOC5">
    <w:name w:val="toc 5"/>
    <w:basedOn w:val="Normal"/>
    <w:next w:val="Normal"/>
    <w:autoRedefine/>
    <w:semiHidden/>
    <w:pPr>
      <w:tabs>
        <w:tab w:val="right" w:pos="400"/>
        <w:tab w:val="left" w:pos="1000"/>
        <w:tab w:val="right" w:pos="7672"/>
      </w:tabs>
      <w:spacing w:before="40" w:after="20"/>
      <w:ind w:left="1000" w:right="360" w:hanging="1000"/>
    </w:pPr>
    <w:rPr>
      <w:rFonts w:ascii="Arial" w:hAnsi="Arial"/>
      <w:noProof/>
      <w:sz w:val="20"/>
    </w:rPr>
  </w:style>
  <w:style w:type="paragraph" w:styleId="TOC6">
    <w:name w:val="toc 6"/>
    <w:basedOn w:val="TOC1"/>
    <w:next w:val="Normal"/>
    <w:autoRedefine/>
    <w:semiHidden/>
    <w:pPr>
      <w:keepNext w:val="0"/>
    </w:pPr>
  </w:style>
  <w:style w:type="paragraph" w:customStyle="1" w:styleId="RepubNo">
    <w:name w:val="RepubNo"/>
    <w:basedOn w:val="BillBasicHeading"/>
    <w:pPr>
      <w:keepNext w:val="0"/>
      <w:spacing w:before="600"/>
      <w:jc w:val="both"/>
    </w:pPr>
    <w:rPr>
      <w:sz w:val="26"/>
    </w:rPr>
  </w:style>
  <w:style w:type="paragraph" w:styleId="Signature">
    <w:name w:val="Signature"/>
    <w:basedOn w:val="Normal"/>
    <w:semiHidden/>
    <w:pPr>
      <w:ind w:left="4252"/>
    </w:pPr>
  </w:style>
  <w:style w:type="paragraph" w:customStyle="1" w:styleId="direction">
    <w:name w:val="direction"/>
    <w:basedOn w:val="BillBasic"/>
    <w:next w:val="Amainreturn"/>
    <w:pPr>
      <w:ind w:left="1100"/>
    </w:pPr>
    <w:rPr>
      <w:i/>
    </w:rPr>
  </w:style>
  <w:style w:type="paragraph" w:customStyle="1" w:styleId="ActNo">
    <w:name w:val="ActNo"/>
    <w:basedOn w:val="BillBasicHeading"/>
    <w:pPr>
      <w:keepNext w:val="0"/>
      <w:tabs>
        <w:tab w:val="clear" w:pos="2600"/>
      </w:tabs>
      <w:spacing w:before="120"/>
    </w:pPr>
  </w:style>
  <w:style w:type="paragraph" w:customStyle="1" w:styleId="aParaNote">
    <w:name w:val="aParaNote"/>
    <w:basedOn w:val="BillBasic"/>
    <w:pPr>
      <w:ind w:left="2840" w:hanging="1240"/>
    </w:pPr>
    <w:rPr>
      <w:sz w:val="20"/>
    </w:rPr>
  </w:style>
  <w:style w:type="paragraph" w:customStyle="1" w:styleId="aExamNum">
    <w:name w:val="aExamNum"/>
    <w:basedOn w:val="aExam"/>
    <w:pPr>
      <w:ind w:left="1500" w:hanging="400"/>
    </w:pPr>
  </w:style>
  <w:style w:type="paragraph" w:customStyle="1" w:styleId="ShadedSchClause">
    <w:name w:val="Shaded Sch Clause"/>
    <w:basedOn w:val="Schclauseheading"/>
    <w:next w:val="direction"/>
    <w:pPr>
      <w:shd w:val="pct25" w:color="auto" w:fill="auto"/>
      <w:outlineLvl w:val="3"/>
    </w:pPr>
  </w:style>
  <w:style w:type="paragraph" w:styleId="TOC7">
    <w:name w:val="toc 7"/>
    <w:basedOn w:val="TOC2"/>
    <w:next w:val="Normal"/>
    <w:autoRedefine/>
    <w:semiHidden/>
    <w:pPr>
      <w:keepNext w:val="0"/>
      <w:spacing w:before="120"/>
    </w:pPr>
    <w:rPr>
      <w:sz w:val="20"/>
    </w:rPr>
  </w:style>
  <w:style w:type="paragraph" w:customStyle="1" w:styleId="Minister">
    <w:name w:val="Minister"/>
    <w:basedOn w:val="BillBasic"/>
    <w:pPr>
      <w:spacing w:before="880"/>
      <w:jc w:val="right"/>
    </w:pPr>
    <w:rPr>
      <w:caps/>
    </w:rPr>
  </w:style>
  <w:style w:type="paragraph" w:customStyle="1" w:styleId="DateLine">
    <w:name w:val="DateLine"/>
    <w:basedOn w:val="BillBasic"/>
    <w:pPr>
      <w:tabs>
        <w:tab w:val="left" w:pos="4320"/>
      </w:tabs>
    </w:pPr>
  </w:style>
  <w:style w:type="paragraph" w:customStyle="1" w:styleId="madeunder">
    <w:name w:val="made under"/>
    <w:basedOn w:val="BillBasic"/>
    <w:pPr>
      <w:spacing w:before="180"/>
    </w:pPr>
  </w:style>
  <w:style w:type="paragraph" w:customStyle="1" w:styleId="NewAct">
    <w:name w:val="New Act"/>
    <w:basedOn w:val="Normal"/>
    <w:next w:val="Actdetails"/>
    <w:pPr>
      <w:keepNext/>
      <w:spacing w:before="180"/>
      <w:ind w:left="1100"/>
    </w:pPr>
    <w:rPr>
      <w:rFonts w:ascii="Arial" w:hAnsi="Arial"/>
      <w:b/>
      <w:sz w:val="20"/>
    </w:rPr>
  </w:style>
  <w:style w:type="paragraph" w:customStyle="1" w:styleId="Actdetails">
    <w:name w:val="Act details"/>
    <w:basedOn w:val="Normal"/>
    <w:pPr>
      <w:spacing w:before="20"/>
      <w:ind w:left="1400"/>
    </w:pPr>
    <w:rPr>
      <w:rFonts w:ascii="Arial" w:hAnsi="Arial"/>
      <w:sz w:val="20"/>
    </w:rPr>
  </w:style>
  <w:style w:type="paragraph" w:customStyle="1" w:styleId="EndNoteText">
    <w:name w:val="EndNoteText"/>
    <w:basedOn w:val="BillBasic"/>
    <w:pPr>
      <w:tabs>
        <w:tab w:val="left" w:pos="700"/>
        <w:tab w:val="right" w:pos="6160"/>
      </w:tabs>
      <w:ind w:left="700" w:hanging="700"/>
    </w:pPr>
    <w:rPr>
      <w:sz w:val="20"/>
    </w:rPr>
  </w:style>
  <w:style w:type="paragraph" w:customStyle="1" w:styleId="BillBasicItalics">
    <w:name w:val="BillBasicItalics"/>
    <w:basedOn w:val="BillBasic"/>
    <w:rPr>
      <w:i/>
    </w:rPr>
  </w:style>
  <w:style w:type="paragraph" w:customStyle="1" w:styleId="00SigningPage">
    <w:name w:val="00SigningPage"/>
    <w:basedOn w:val="Normal"/>
  </w:style>
  <w:style w:type="paragraph" w:customStyle="1" w:styleId="Aparareturn">
    <w:name w:val="A para return"/>
    <w:basedOn w:val="BillBasic"/>
    <w:pPr>
      <w:ind w:left="1600"/>
    </w:pPr>
  </w:style>
  <w:style w:type="paragraph" w:customStyle="1" w:styleId="Asubparareturn">
    <w:name w:val="A subpara return"/>
    <w:basedOn w:val="BillBasic"/>
    <w:pPr>
      <w:ind w:left="2100"/>
    </w:pPr>
  </w:style>
  <w:style w:type="paragraph" w:customStyle="1" w:styleId="CommentNum">
    <w:name w:val="CommentNum"/>
    <w:basedOn w:val="Comment"/>
    <w:pPr>
      <w:ind w:left="1800" w:hanging="1800"/>
    </w:pPr>
  </w:style>
  <w:style w:type="paragraph" w:styleId="TOC8">
    <w:name w:val="toc 8"/>
    <w:basedOn w:val="TOC3"/>
    <w:next w:val="Normal"/>
    <w:autoRedefine/>
    <w:semiHidden/>
    <w:pPr>
      <w:keepNext w:val="0"/>
    </w:pPr>
  </w:style>
  <w:style w:type="paragraph" w:customStyle="1" w:styleId="Amainbullet">
    <w:name w:val="A main bullet"/>
    <w:basedOn w:val="BillBasic"/>
    <w:pPr>
      <w:spacing w:before="0" w:after="40"/>
      <w:ind w:left="1500" w:hanging="400"/>
    </w:pPr>
  </w:style>
  <w:style w:type="paragraph" w:customStyle="1" w:styleId="Aparabullet">
    <w:name w:val="A para bullet"/>
    <w:basedOn w:val="BillBasic"/>
    <w:pPr>
      <w:spacing w:before="0" w:after="40"/>
      <w:ind w:left="2000" w:hanging="400"/>
    </w:pPr>
  </w:style>
  <w:style w:type="paragraph" w:customStyle="1" w:styleId="Asubparabullet">
    <w:name w:val="A subpara bullet"/>
    <w:basedOn w:val="BillBasic"/>
    <w:pPr>
      <w:spacing w:before="0" w:after="40"/>
      <w:ind w:left="2540" w:hanging="400"/>
    </w:pPr>
  </w:style>
  <w:style w:type="paragraph" w:customStyle="1" w:styleId="aDefpara">
    <w:name w:val="aDef para"/>
    <w:basedOn w:val="Apara"/>
  </w:style>
  <w:style w:type="paragraph" w:customStyle="1" w:styleId="aDefsubpara">
    <w:name w:val="aDef subpara"/>
    <w:basedOn w:val="Asubpara"/>
  </w:style>
  <w:style w:type="paragraph" w:customStyle="1" w:styleId="BillFor">
    <w:name w:val="BillFor"/>
    <w:basedOn w:val="BillBasicHeading"/>
    <w:pPr>
      <w:keepNext w:val="0"/>
      <w:spacing w:before="320"/>
      <w:jc w:val="both"/>
    </w:pPr>
    <w:rPr>
      <w:sz w:val="28"/>
    </w:rPr>
  </w:style>
  <w:style w:type="paragraph" w:customStyle="1" w:styleId="EnactingWordsRules">
    <w:name w:val="EnactingWordsRules"/>
    <w:basedOn w:val="EnactingWords"/>
    <w:pPr>
      <w:spacing w:before="240"/>
    </w:pPr>
  </w:style>
  <w:style w:type="paragraph" w:customStyle="1" w:styleId="Formula">
    <w:name w:val="Formula"/>
    <w:basedOn w:val="BillBasic"/>
    <w:pPr>
      <w:spacing w:line="260" w:lineRule="atLeast"/>
      <w:jc w:val="center"/>
    </w:pPr>
  </w:style>
  <w:style w:type="paragraph" w:customStyle="1" w:styleId="Idefpara">
    <w:name w:val="I def para"/>
    <w:basedOn w:val="Ipara"/>
  </w:style>
  <w:style w:type="paragraph" w:customStyle="1" w:styleId="Idefsubpara">
    <w:name w:val="I def subpara"/>
    <w:basedOn w:val="Isubpara"/>
  </w:style>
  <w:style w:type="paragraph" w:customStyle="1" w:styleId="Judges">
    <w:name w:val="Judges"/>
    <w:basedOn w:val="Minister"/>
    <w:pPr>
      <w:spacing w:before="180" w:after="40"/>
    </w:pPr>
  </w:style>
  <w:style w:type="paragraph" w:customStyle="1" w:styleId="CoverInForce">
    <w:name w:val="CoverInForce"/>
    <w:basedOn w:val="BillBasicHeading"/>
    <w:pPr>
      <w:keepNext w:val="0"/>
      <w:spacing w:before="200"/>
    </w:pPr>
    <w:rPr>
      <w:rFonts w:ascii="Arial (W1)" w:hAnsi="Arial (W1)"/>
      <w:b w:val="0"/>
    </w:rPr>
  </w:style>
  <w:style w:type="paragraph" w:customStyle="1" w:styleId="LongTitle">
    <w:name w:val="LongTitle"/>
    <w:basedOn w:val="BillBasic"/>
    <w:pPr>
      <w:spacing w:before="240"/>
    </w:pPr>
  </w:style>
  <w:style w:type="paragraph" w:styleId="Subtitle">
    <w:name w:val="Subtitle"/>
    <w:basedOn w:val="Normal"/>
    <w:qFormat/>
    <w:pPr>
      <w:spacing w:after="60"/>
      <w:jc w:val="center"/>
      <w:outlineLvl w:val="1"/>
    </w:pPr>
    <w:rPr>
      <w:rFonts w:ascii="Arial" w:hAnsi="Arial"/>
    </w:rPr>
  </w:style>
  <w:style w:type="paragraph" w:customStyle="1" w:styleId="CoverActName">
    <w:name w:val="CoverActName"/>
    <w:basedOn w:val="BillBasicHeading"/>
    <w:pPr>
      <w:keepNext w:val="0"/>
      <w:spacing w:before="200"/>
    </w:pPr>
  </w:style>
  <w:style w:type="paragraph" w:customStyle="1" w:styleId="FormRule">
    <w:name w:val="FormRule"/>
    <w:basedOn w:val="Normal"/>
    <w:pPr>
      <w:pBdr>
        <w:top w:val="single" w:sz="4" w:space="1" w:color="auto"/>
      </w:pBdr>
      <w:spacing w:before="160" w:after="40"/>
      <w:ind w:left="3220" w:right="3260"/>
    </w:pPr>
    <w:rPr>
      <w:sz w:val="8"/>
    </w:rPr>
  </w:style>
  <w:style w:type="paragraph" w:customStyle="1" w:styleId="Notified">
    <w:name w:val="Notified"/>
    <w:basedOn w:val="BillBasic"/>
    <w:pPr>
      <w:spacing w:before="360"/>
      <w:jc w:val="right"/>
    </w:pPr>
    <w:rPr>
      <w:i/>
    </w:rPr>
  </w:style>
  <w:style w:type="paragraph" w:customStyle="1" w:styleId="IDict-Heading">
    <w:name w:val="I Dict-Heading"/>
    <w:basedOn w:val="BillBasicHeading"/>
    <w:pPr>
      <w:spacing w:before="320"/>
      <w:ind w:left="2600" w:hanging="2600"/>
      <w:jc w:val="both"/>
    </w:pPr>
    <w:rPr>
      <w:sz w:val="34"/>
    </w:rPr>
  </w:style>
  <w:style w:type="paragraph" w:customStyle="1" w:styleId="03ScheduleLandscape">
    <w:name w:val="03ScheduleLandscape"/>
    <w:basedOn w:val="Normal"/>
  </w:style>
  <w:style w:type="paragraph" w:customStyle="1" w:styleId="aNoteBullet">
    <w:name w:val="aNoteBullet"/>
    <w:basedOn w:val="aNote"/>
    <w:pPr>
      <w:tabs>
        <w:tab w:val="left" w:pos="2200"/>
      </w:tabs>
      <w:spacing w:before="0" w:after="40"/>
      <w:ind w:left="2600" w:hanging="700"/>
    </w:pPr>
  </w:style>
  <w:style w:type="paragraph" w:customStyle="1" w:styleId="aParaNoteBullet">
    <w:name w:val="aParaNoteBullet"/>
    <w:basedOn w:val="aParaNote"/>
    <w:pPr>
      <w:tabs>
        <w:tab w:val="left" w:pos="2700"/>
      </w:tabs>
      <w:spacing w:before="0" w:after="40"/>
      <w:ind w:left="3100" w:hanging="700"/>
    </w:pPr>
  </w:style>
  <w:style w:type="paragraph" w:customStyle="1" w:styleId="SchSubClause">
    <w:name w:val="Sch SubClause"/>
    <w:basedOn w:val="Schclauseheading"/>
    <w:rPr>
      <w:b w:val="0"/>
    </w:rPr>
  </w:style>
  <w:style w:type="paragraph" w:customStyle="1" w:styleId="Asamby">
    <w:name w:val="As am by"/>
    <w:basedOn w:val="Normal"/>
    <w:next w:val="Normal"/>
    <w:pPr>
      <w:spacing w:before="240"/>
      <w:ind w:left="1100"/>
    </w:pPr>
    <w:rPr>
      <w:rFonts w:ascii="Arial" w:hAnsi="Arial"/>
      <w:sz w:val="20"/>
    </w:rPr>
  </w:style>
  <w:style w:type="paragraph" w:customStyle="1" w:styleId="AmdtsEntries">
    <w:name w:val="AmdtsEntries"/>
    <w:basedOn w:val="BillBasicHeading"/>
    <w:pPr>
      <w:keepNext w:val="0"/>
      <w:tabs>
        <w:tab w:val="clear" w:pos="2600"/>
        <w:tab w:val="left" w:pos="2700"/>
      </w:tabs>
      <w:spacing w:before="0" w:after="0"/>
      <w:ind w:left="2800" w:hanging="1700"/>
    </w:pPr>
    <w:rPr>
      <w:rFonts w:ascii="Arial (W1)" w:hAnsi="Arial (W1)"/>
      <w:b w:val="0"/>
      <w:sz w:val="18"/>
    </w:rPr>
  </w:style>
  <w:style w:type="paragraph" w:customStyle="1" w:styleId="AH2PartSymb">
    <w:name w:val="A H2 Part Symb"/>
    <w:basedOn w:val="AH2Part"/>
    <w:next w:val="AH3Div"/>
    <w:pPr>
      <w:tabs>
        <w:tab w:val="clear" w:pos="2600"/>
        <w:tab w:val="left" w:pos="0"/>
      </w:tabs>
      <w:ind w:left="2480" w:hanging="2960"/>
    </w:pPr>
  </w:style>
  <w:style w:type="character" w:customStyle="1" w:styleId="charBold">
    <w:name w:val="charBold"/>
    <w:rPr>
      <w:b/>
    </w:rPr>
  </w:style>
  <w:style w:type="paragraph" w:customStyle="1" w:styleId="AmdtsEntryHd">
    <w:name w:val="AmdtsEntryHd"/>
    <w:basedOn w:val="BillBasicHeading"/>
    <w:next w:val="AmdtsEntries"/>
    <w:pPr>
      <w:tabs>
        <w:tab w:val="clear" w:pos="2600"/>
      </w:tabs>
      <w:spacing w:before="120" w:after="0"/>
      <w:ind w:left="1100"/>
    </w:pPr>
    <w:rPr>
      <w:sz w:val="18"/>
    </w:rPr>
  </w:style>
  <w:style w:type="paragraph" w:customStyle="1" w:styleId="EndNoteParas">
    <w:name w:val="EndNoteParas"/>
    <w:basedOn w:val="EndNoteTextEPS"/>
    <w:pPr>
      <w:tabs>
        <w:tab w:val="right" w:pos="1432"/>
      </w:tabs>
      <w:spacing w:after="0"/>
      <w:ind w:left="1840" w:hanging="1840"/>
    </w:pPr>
  </w:style>
  <w:style w:type="paragraph" w:customStyle="1" w:styleId="EndNoteTextEPS">
    <w:name w:val="EndNoteTextEPS"/>
    <w:basedOn w:val="Normal"/>
    <w:pPr>
      <w:spacing w:after="40"/>
      <w:ind w:left="1100"/>
      <w:jc w:val="both"/>
    </w:pPr>
    <w:rPr>
      <w:sz w:val="20"/>
    </w:rPr>
  </w:style>
  <w:style w:type="paragraph" w:customStyle="1" w:styleId="NewReg">
    <w:name w:val="New Reg"/>
    <w:basedOn w:val="NewAct"/>
    <w:next w:val="Actdetails"/>
  </w:style>
  <w:style w:type="paragraph" w:customStyle="1" w:styleId="aExamPara">
    <w:name w:val="aExamPara"/>
    <w:basedOn w:val="aExam"/>
    <w:pPr>
      <w:tabs>
        <w:tab w:val="right" w:pos="1720"/>
        <w:tab w:val="left" w:pos="2000"/>
        <w:tab w:val="left" w:pos="2300"/>
      </w:tabs>
      <w:ind w:left="2400" w:hanging="1300"/>
    </w:pPr>
  </w:style>
  <w:style w:type="paragraph" w:customStyle="1" w:styleId="Endnote3">
    <w:name w:val="Endnote3"/>
    <w:basedOn w:val="Normal"/>
    <w:pPr>
      <w:keepNext/>
      <w:tabs>
        <w:tab w:val="left" w:pos="1100"/>
      </w:tabs>
      <w:spacing w:before="280"/>
      <w:ind w:left="1100" w:hanging="1100"/>
    </w:pPr>
    <w:rPr>
      <w:rFonts w:ascii="Arial" w:hAnsi="Arial"/>
      <w:b/>
      <w:color w:val="000000"/>
      <w:sz w:val="22"/>
    </w:rPr>
  </w:style>
  <w:style w:type="character" w:customStyle="1" w:styleId="charTableNo">
    <w:name w:val="charTableNo"/>
    <w:basedOn w:val="DefaultParagraphFont"/>
  </w:style>
  <w:style w:type="character" w:customStyle="1" w:styleId="charTableText">
    <w:name w:val="charTableText"/>
    <w:basedOn w:val="DefaultParagraphFont"/>
  </w:style>
  <w:style w:type="paragraph" w:customStyle="1" w:styleId="TLegEntries">
    <w:name w:val="TLegEntries"/>
    <w:basedOn w:val="Normal"/>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pPr>
      <w:tabs>
        <w:tab w:val="clear" w:pos="2600"/>
        <w:tab w:val="left" w:leader="dot" w:pos="2700"/>
      </w:tabs>
      <w:spacing w:after="0"/>
      <w:ind w:left="2700" w:hanging="2000"/>
    </w:pPr>
    <w:rPr>
      <w:sz w:val="18"/>
    </w:rPr>
  </w:style>
  <w:style w:type="character" w:customStyle="1" w:styleId="charItals">
    <w:name w:val="charItals"/>
    <w:rPr>
      <w:i/>
    </w:rPr>
  </w:style>
  <w:style w:type="character" w:customStyle="1" w:styleId="charBoldItals">
    <w:name w:val="charBoldItals"/>
    <w:rPr>
      <w:b/>
      <w:i/>
    </w:rPr>
  </w:style>
  <w:style w:type="character" w:customStyle="1" w:styleId="charUnderline">
    <w:name w:val="charUnderline"/>
    <w:rPr>
      <w:u w:val="single"/>
    </w:rPr>
  </w:style>
  <w:style w:type="paragraph" w:customStyle="1" w:styleId="CoverText">
    <w:name w:val="CoverText"/>
    <w:basedOn w:val="Normal"/>
    <w:pPr>
      <w:spacing w:before="40" w:after="40"/>
      <w:jc w:val="both"/>
    </w:pPr>
    <w:rPr>
      <w:sz w:val="20"/>
    </w:rPr>
  </w:style>
  <w:style w:type="paragraph" w:customStyle="1" w:styleId="CoverHeading">
    <w:name w:val="CoverHeading"/>
    <w:basedOn w:val="Normal"/>
    <w:pPr>
      <w:spacing w:after="60"/>
    </w:pPr>
    <w:rPr>
      <w:rFonts w:ascii="Arial" w:hAnsi="Arial"/>
      <w:b/>
    </w:rPr>
  </w:style>
  <w:style w:type="paragraph" w:customStyle="1" w:styleId="TableHd">
    <w:name w:val="TableHd"/>
    <w:basedOn w:val="Normal"/>
    <w:pPr>
      <w:keepNext/>
      <w:spacing w:before="240" w:after="120"/>
      <w:ind w:left="1200" w:hanging="1200"/>
    </w:pPr>
    <w:rPr>
      <w:rFonts w:ascii="Arial" w:hAnsi="Arial"/>
      <w:b/>
      <w:sz w:val="20"/>
    </w:rPr>
  </w:style>
  <w:style w:type="paragraph" w:customStyle="1" w:styleId="OldAmdt2ndLine">
    <w:name w:val="OldAmdt2ndLine"/>
    <w:basedOn w:val="OldAmdtsEntries"/>
    <w:pPr>
      <w:tabs>
        <w:tab w:val="left" w:pos="2700"/>
      </w:tabs>
      <w:spacing w:before="0"/>
    </w:pPr>
  </w:style>
  <w:style w:type="paragraph" w:customStyle="1" w:styleId="EarlierRepubEntries">
    <w:name w:val="EarlierRepubEntries"/>
    <w:basedOn w:val="Normal"/>
    <w:pPr>
      <w:spacing w:before="60" w:after="60"/>
    </w:pPr>
    <w:rPr>
      <w:rFonts w:ascii="Arial" w:hAnsi="Arial"/>
      <w:sz w:val="18"/>
    </w:rPr>
  </w:style>
  <w:style w:type="paragraph" w:customStyle="1" w:styleId="RenumProvEntries">
    <w:name w:val="RenumProvEntries"/>
    <w:basedOn w:val="Normal"/>
    <w:pPr>
      <w:spacing w:before="60"/>
    </w:pPr>
    <w:rPr>
      <w:rFonts w:ascii="Arial" w:hAnsi="Arial"/>
      <w:sz w:val="20"/>
    </w:rPr>
  </w:style>
  <w:style w:type="paragraph" w:customStyle="1" w:styleId="aExamNumText">
    <w:name w:val="aExamNumText"/>
    <w:basedOn w:val="aExam"/>
    <w:pPr>
      <w:ind w:left="1500"/>
    </w:pPr>
  </w:style>
  <w:style w:type="paragraph" w:customStyle="1" w:styleId="aNotePara">
    <w:name w:val="aNotePara"/>
    <w:basedOn w:val="aNote"/>
    <w:pPr>
      <w:tabs>
        <w:tab w:val="right" w:pos="2140"/>
        <w:tab w:val="left" w:pos="2400"/>
      </w:tabs>
      <w:spacing w:before="0" w:after="40"/>
      <w:ind w:left="2800" w:hanging="1700"/>
    </w:pPr>
  </w:style>
  <w:style w:type="paragraph" w:customStyle="1" w:styleId="aParaNotePara">
    <w:name w:val="aParaNotePara"/>
    <w:basedOn w:val="aNotePara"/>
    <w:pPr>
      <w:tabs>
        <w:tab w:val="clear" w:pos="2140"/>
        <w:tab w:val="clear" w:pos="2400"/>
        <w:tab w:val="right" w:pos="2644"/>
      </w:tabs>
      <w:ind w:left="3320" w:hanging="1720"/>
    </w:pPr>
  </w:style>
  <w:style w:type="paragraph" w:customStyle="1" w:styleId="aExamBullet">
    <w:name w:val="aExamBullet"/>
    <w:basedOn w:val="aExam"/>
    <w:pPr>
      <w:tabs>
        <w:tab w:val="left" w:pos="1500"/>
        <w:tab w:val="left" w:pos="2300"/>
      </w:tabs>
      <w:spacing w:before="40"/>
      <w:ind w:left="1900" w:hanging="800"/>
    </w:pPr>
  </w:style>
  <w:style w:type="paragraph" w:customStyle="1" w:styleId="CoverSubHdg">
    <w:name w:val="CoverSubHdg"/>
    <w:basedOn w:val="CoverHeading"/>
    <w:pPr>
      <w:spacing w:before="60"/>
    </w:pPr>
    <w:rPr>
      <w:sz w:val="20"/>
    </w:rPr>
  </w:style>
  <w:style w:type="paragraph" w:customStyle="1" w:styleId="CoverTextPara">
    <w:name w:val="CoverTextPara"/>
    <w:basedOn w:val="CoverText"/>
    <w:pPr>
      <w:tabs>
        <w:tab w:val="right" w:pos="600"/>
        <w:tab w:val="left" w:pos="840"/>
      </w:tabs>
      <w:ind w:left="840" w:hanging="840"/>
    </w:pPr>
  </w:style>
  <w:style w:type="paragraph" w:customStyle="1" w:styleId="AH5SecSymb">
    <w:name w:val="A H5 Sec Symb"/>
    <w:basedOn w:val="AH5Sec"/>
    <w:next w:val="Amain"/>
    <w:pPr>
      <w:tabs>
        <w:tab w:val="clear" w:pos="1100"/>
        <w:tab w:val="left" w:pos="0"/>
      </w:tabs>
      <w:ind w:hanging="1580"/>
    </w:pPr>
  </w:style>
  <w:style w:type="character" w:customStyle="1" w:styleId="charSymb">
    <w:name w:val="charSymb"/>
    <w:rPr>
      <w:rFonts w:ascii="Arial" w:hAnsi="Arial"/>
      <w:sz w:val="24"/>
      <w:bdr w:val="single" w:sz="4" w:space="0" w:color="auto"/>
    </w:rPr>
  </w:style>
  <w:style w:type="paragraph" w:customStyle="1" w:styleId="AH3DivSymb">
    <w:name w:val="A H3 Div Symb"/>
    <w:basedOn w:val="AH3Div"/>
    <w:next w:val="AH5Sec"/>
    <w:pPr>
      <w:tabs>
        <w:tab w:val="clear" w:pos="2600"/>
        <w:tab w:val="left" w:pos="0"/>
      </w:tabs>
      <w:ind w:left="2480" w:hanging="2960"/>
    </w:pPr>
  </w:style>
  <w:style w:type="paragraph" w:customStyle="1" w:styleId="AH4SubDivSymb">
    <w:name w:val="A H4 SubDiv Symb"/>
    <w:basedOn w:val="AH4SubDiv"/>
    <w:next w:val="AH5Sec"/>
    <w:pPr>
      <w:tabs>
        <w:tab w:val="clear" w:pos="2600"/>
        <w:tab w:val="left" w:pos="0"/>
      </w:tabs>
      <w:ind w:left="2480" w:hanging="2960"/>
    </w:pPr>
  </w:style>
  <w:style w:type="paragraph" w:customStyle="1" w:styleId="Dict-HeadingSymb">
    <w:name w:val="Dict-Heading Symb"/>
    <w:basedOn w:val="Dict-Heading"/>
    <w:pPr>
      <w:tabs>
        <w:tab w:val="left" w:pos="0"/>
      </w:tabs>
      <w:ind w:left="2480" w:hanging="2960"/>
    </w:pPr>
  </w:style>
  <w:style w:type="paragraph" w:customStyle="1" w:styleId="Sched-headingSymb">
    <w:name w:val="Sched-heading Symb"/>
    <w:basedOn w:val="Sched-heading"/>
    <w:pPr>
      <w:tabs>
        <w:tab w:val="left" w:pos="0"/>
      </w:tabs>
      <w:ind w:left="2480" w:hanging="2960"/>
    </w:pPr>
  </w:style>
  <w:style w:type="paragraph" w:customStyle="1" w:styleId="Sched-PartSymb">
    <w:name w:val="Sched-Part Symb"/>
    <w:basedOn w:val="Sched-Part"/>
    <w:pPr>
      <w:tabs>
        <w:tab w:val="left" w:pos="0"/>
      </w:tabs>
      <w:ind w:left="2480" w:hanging="2960"/>
    </w:pPr>
  </w:style>
  <w:style w:type="paragraph" w:customStyle="1" w:styleId="Sched-FormSymb">
    <w:name w:val="Sched-Form Symb"/>
    <w:basedOn w:val="Sched-Form"/>
    <w:pPr>
      <w:tabs>
        <w:tab w:val="left" w:pos="0"/>
      </w:tabs>
      <w:ind w:left="2480" w:hanging="2960"/>
    </w:pPr>
  </w:style>
  <w:style w:type="paragraph" w:customStyle="1" w:styleId="SchclauseheadingSymb">
    <w:name w:val="Sch clause heading Symb"/>
    <w:basedOn w:val="Schclauseheading"/>
    <w:pPr>
      <w:tabs>
        <w:tab w:val="left" w:pos="0"/>
      </w:tabs>
      <w:ind w:left="980" w:hanging="1460"/>
    </w:pPr>
  </w:style>
  <w:style w:type="paragraph" w:customStyle="1" w:styleId="TLegAsAmBy">
    <w:name w:val="TLegAsAmBy"/>
    <w:basedOn w:val="TLegEntries"/>
    <w:pPr>
      <w:ind w:firstLine="0"/>
    </w:pPr>
    <w:rPr>
      <w:b/>
    </w:rPr>
  </w:style>
  <w:style w:type="paragraph" w:customStyle="1" w:styleId="MinisterWord">
    <w:name w:val="MinisterWord"/>
    <w:basedOn w:val="Normal"/>
    <w:pPr>
      <w:jc w:val="right"/>
    </w:pPr>
  </w:style>
  <w:style w:type="paragraph" w:customStyle="1" w:styleId="TableColHd">
    <w:name w:val="TableColHd"/>
    <w:basedOn w:val="Normal"/>
    <w:pPr>
      <w:keepNext/>
      <w:spacing w:after="60"/>
    </w:pPr>
    <w:rPr>
      <w:rFonts w:ascii="Arial" w:hAnsi="Arial"/>
      <w:b/>
      <w:sz w:val="18"/>
    </w:rPr>
  </w:style>
  <w:style w:type="paragraph" w:customStyle="1" w:styleId="00Spine">
    <w:name w:val="00Spine"/>
    <w:basedOn w:val="Normal"/>
  </w:style>
  <w:style w:type="paragraph" w:customStyle="1" w:styleId="AuthorisedBlock">
    <w:name w:val="AuthorisedBlock"/>
    <w:basedOn w:val="Normal"/>
    <w:pPr>
      <w:pBdr>
        <w:top w:val="single" w:sz="12" w:space="1" w:color="auto"/>
        <w:bottom w:val="single" w:sz="12" w:space="1" w:color="auto"/>
      </w:pBdr>
      <w:spacing w:before="120" w:after="120"/>
      <w:ind w:left="1680" w:right="1547"/>
      <w:jc w:val="center"/>
    </w:pPr>
    <w:rPr>
      <w:b/>
    </w:rPr>
  </w:style>
  <w:style w:type="paragraph" w:styleId="TOC9">
    <w:name w:val="toc 9"/>
    <w:basedOn w:val="Normal"/>
    <w:next w:val="Normal"/>
    <w:autoRedefine/>
    <w:semiHidden/>
    <w:pPr>
      <w:ind w:left="1920" w:right="600"/>
    </w:pPr>
  </w:style>
  <w:style w:type="paragraph" w:customStyle="1" w:styleId="AmdtsEntriesDefL2">
    <w:name w:val="AmdtsEntriesDefL2"/>
    <w:basedOn w:val="AmdtEntries"/>
    <w:pPr>
      <w:tabs>
        <w:tab w:val="left" w:pos="3000"/>
      </w:tabs>
      <w:ind w:left="3100" w:hanging="2000"/>
    </w:pPr>
    <w:rPr>
      <w:rFonts w:ascii="Arial (W1)" w:hAnsi="Arial (W1)"/>
      <w:b w:val="0"/>
    </w:rPr>
  </w:style>
  <w:style w:type="paragraph" w:customStyle="1" w:styleId="PenaltyPara">
    <w:name w:val="PenaltyPara"/>
    <w:basedOn w:val="Normal"/>
    <w:pPr>
      <w:tabs>
        <w:tab w:val="right" w:pos="1360"/>
      </w:tabs>
      <w:spacing w:after="40"/>
      <w:ind w:left="1600" w:hanging="1600"/>
      <w:jc w:val="both"/>
    </w:pPr>
  </w:style>
  <w:style w:type="paragraph" w:customStyle="1" w:styleId="06Copyright">
    <w:name w:val="06Copyright"/>
    <w:basedOn w:val="Normal"/>
  </w:style>
  <w:style w:type="paragraph" w:customStyle="1" w:styleId="AFHdg">
    <w:name w:val="AFHdg"/>
    <w:basedOn w:val="BillBasicHeading"/>
    <w:rPr>
      <w:b w:val="0"/>
      <w:sz w:val="32"/>
    </w:rPr>
  </w:style>
  <w:style w:type="paragraph" w:customStyle="1" w:styleId="LegHistNote">
    <w:name w:val="LegHistNote"/>
    <w:basedOn w:val="Actdetails"/>
    <w:pPr>
      <w:spacing w:before="60"/>
      <w:ind w:left="2700" w:right="-60" w:hanging="1300"/>
    </w:pPr>
    <w:rPr>
      <w:sz w:val="18"/>
    </w:rPr>
  </w:style>
  <w:style w:type="paragraph" w:customStyle="1" w:styleId="MH1Chapter">
    <w:name w:val="M H1 Chapter"/>
    <w:basedOn w:val="AH1Chapter"/>
    <w:pPr>
      <w:tabs>
        <w:tab w:val="clear" w:pos="2600"/>
        <w:tab w:val="left" w:pos="2720"/>
      </w:tabs>
      <w:ind w:left="4000" w:hanging="3300"/>
    </w:pPr>
  </w:style>
  <w:style w:type="paragraph" w:customStyle="1" w:styleId="ModH1Chapter">
    <w:name w:val="Mod H1 Chapter"/>
    <w:basedOn w:val="IH1Chap"/>
    <w:pPr>
      <w:tabs>
        <w:tab w:val="clear" w:pos="2600"/>
        <w:tab w:val="left" w:pos="3300"/>
      </w:tabs>
      <w:ind w:left="3300"/>
    </w:pPr>
  </w:style>
  <w:style w:type="paragraph" w:customStyle="1" w:styleId="ModH2Part">
    <w:name w:val="Mod H2 Part"/>
    <w:basedOn w:val="IH2Part"/>
    <w:pPr>
      <w:tabs>
        <w:tab w:val="clear" w:pos="2600"/>
        <w:tab w:val="left" w:pos="3300"/>
      </w:tabs>
      <w:ind w:left="3300"/>
    </w:pPr>
  </w:style>
  <w:style w:type="paragraph" w:customStyle="1" w:styleId="ModH3Div">
    <w:name w:val="Mod H3 Div"/>
    <w:basedOn w:val="IH3Div"/>
    <w:pPr>
      <w:tabs>
        <w:tab w:val="clear" w:pos="2600"/>
        <w:tab w:val="left" w:pos="3300"/>
      </w:tabs>
      <w:ind w:left="3300"/>
    </w:pPr>
  </w:style>
  <w:style w:type="paragraph" w:customStyle="1" w:styleId="ModH4SubDiv">
    <w:name w:val="Mod H4 SubDiv"/>
    <w:basedOn w:val="IH4SubDiv"/>
    <w:pPr>
      <w:tabs>
        <w:tab w:val="clear" w:pos="2600"/>
        <w:tab w:val="left" w:pos="3300"/>
      </w:tabs>
      <w:ind w:left="3300"/>
    </w:pPr>
  </w:style>
  <w:style w:type="paragraph" w:customStyle="1" w:styleId="ModH5Sec">
    <w:name w:val="Mod H5 Sec"/>
    <w:basedOn w:val="IH5Sec"/>
    <w:pPr>
      <w:tabs>
        <w:tab w:val="clear" w:pos="1100"/>
        <w:tab w:val="left" w:pos="1800"/>
      </w:tabs>
      <w:ind w:left="2200"/>
    </w:pPr>
  </w:style>
  <w:style w:type="paragraph" w:customStyle="1" w:styleId="Modmain">
    <w:name w:val="Mod main"/>
    <w:basedOn w:val="Amain"/>
    <w:pPr>
      <w:tabs>
        <w:tab w:val="clear" w:pos="900"/>
        <w:tab w:val="clear" w:pos="1100"/>
        <w:tab w:val="right" w:pos="1600"/>
        <w:tab w:val="left" w:pos="1800"/>
      </w:tabs>
      <w:ind w:left="2200"/>
    </w:pPr>
  </w:style>
  <w:style w:type="paragraph" w:customStyle="1" w:styleId="Modpara">
    <w:name w:val="Mod para"/>
    <w:basedOn w:val="BillBasic"/>
    <w:pPr>
      <w:tabs>
        <w:tab w:val="right" w:pos="2100"/>
        <w:tab w:val="left" w:pos="2300"/>
      </w:tabs>
      <w:ind w:left="2700" w:hanging="1600"/>
      <w:outlineLvl w:val="6"/>
    </w:pPr>
  </w:style>
  <w:style w:type="paragraph" w:customStyle="1" w:styleId="Modsubpara">
    <w:name w:val="Mod subpara"/>
    <w:basedOn w:val="Asubpara"/>
    <w:pPr>
      <w:tabs>
        <w:tab w:val="clear" w:pos="1900"/>
        <w:tab w:val="clear" w:pos="2100"/>
        <w:tab w:val="right" w:pos="2640"/>
        <w:tab w:val="left" w:pos="2840"/>
      </w:tabs>
      <w:ind w:left="3240" w:hanging="2140"/>
    </w:pPr>
  </w:style>
  <w:style w:type="paragraph" w:customStyle="1" w:styleId="Modsubsubpara">
    <w:name w:val="Mod subsubpara"/>
    <w:basedOn w:val="Asubsubpara"/>
    <w:pPr>
      <w:tabs>
        <w:tab w:val="clear" w:pos="2400"/>
        <w:tab w:val="clear" w:pos="2600"/>
        <w:tab w:val="right" w:pos="3160"/>
        <w:tab w:val="left" w:pos="3360"/>
      </w:tabs>
      <w:ind w:left="3760" w:hanging="2660"/>
    </w:pPr>
  </w:style>
  <w:style w:type="paragraph" w:customStyle="1" w:styleId="Modmainreturn">
    <w:name w:val="Mod main return"/>
    <w:basedOn w:val="Amainreturn"/>
    <w:pPr>
      <w:ind w:left="1800"/>
    </w:pPr>
  </w:style>
  <w:style w:type="paragraph" w:customStyle="1" w:styleId="Modparareturn">
    <w:name w:val="Mod para return"/>
    <w:basedOn w:val="Aparareturn"/>
    <w:pPr>
      <w:ind w:left="2300"/>
    </w:pPr>
  </w:style>
  <w:style w:type="paragraph" w:customStyle="1" w:styleId="Modsubparareturn">
    <w:name w:val="Mod subpara return"/>
    <w:basedOn w:val="Asubparareturn"/>
    <w:pPr>
      <w:ind w:left="3040"/>
    </w:pPr>
  </w:style>
  <w:style w:type="paragraph" w:customStyle="1" w:styleId="Modref">
    <w:name w:val="Mod ref"/>
    <w:basedOn w:val="ref"/>
    <w:pPr>
      <w:ind w:left="1100"/>
    </w:pPr>
  </w:style>
  <w:style w:type="paragraph" w:customStyle="1" w:styleId="ModaNote">
    <w:name w:val="Mod aNote"/>
    <w:basedOn w:val="aNote"/>
    <w:pPr>
      <w:tabs>
        <w:tab w:val="left" w:pos="2600"/>
      </w:tabs>
      <w:ind w:left="2600"/>
    </w:pPr>
  </w:style>
  <w:style w:type="paragraph" w:customStyle="1" w:styleId="ModNote">
    <w:name w:val="Mod Note"/>
    <w:basedOn w:val="aNote"/>
    <w:pPr>
      <w:tabs>
        <w:tab w:val="left" w:pos="2600"/>
      </w:tabs>
      <w:ind w:left="2600"/>
    </w:pPr>
  </w:style>
  <w:style w:type="paragraph" w:customStyle="1" w:styleId="ApprFormHd">
    <w:name w:val="ApprFormHd"/>
    <w:basedOn w:val="Sched-heading"/>
    <w:pPr>
      <w:ind w:left="0" w:firstLine="0"/>
    </w:pPr>
  </w:style>
  <w:style w:type="paragraph" w:customStyle="1" w:styleId="Status">
    <w:name w:val="Status"/>
    <w:basedOn w:val="Normal"/>
    <w:pPr>
      <w:spacing w:before="280"/>
      <w:jc w:val="center"/>
    </w:pPr>
    <w:rPr>
      <w:rFonts w:ascii="Arial" w:hAnsi="Arial"/>
      <w:sz w:val="14"/>
    </w:rPr>
  </w:style>
  <w:style w:type="paragraph" w:customStyle="1" w:styleId="EarlierRepubHdg">
    <w:name w:val="EarlierRepubHdg"/>
    <w:basedOn w:val="Normal"/>
    <w:pPr>
      <w:keepNext/>
      <w:spacing w:before="120" w:after="120"/>
    </w:pPr>
    <w:rPr>
      <w:rFonts w:ascii="Arial" w:hAnsi="Arial"/>
      <w:b/>
      <w:sz w:val="20"/>
    </w:rPr>
  </w:style>
  <w:style w:type="paragraph" w:customStyle="1" w:styleId="RenumProvHdg">
    <w:name w:val="RenumProvHdg"/>
    <w:basedOn w:val="Normal"/>
    <w:rPr>
      <w:rFonts w:ascii="Arial" w:hAnsi="Arial"/>
      <w:b/>
      <w:sz w:val="22"/>
    </w:rPr>
  </w:style>
  <w:style w:type="paragraph" w:customStyle="1" w:styleId="RenumProvHeader">
    <w:name w:val="RenumProvHeader"/>
    <w:basedOn w:val="Normal"/>
    <w:rPr>
      <w:rFonts w:ascii="Arial" w:hAnsi="Arial"/>
      <w:b/>
      <w:sz w:val="22"/>
    </w:rPr>
  </w:style>
  <w:style w:type="paragraph" w:customStyle="1" w:styleId="RenumTableHdg">
    <w:name w:val="RenumTableHdg"/>
    <w:basedOn w:val="Normal"/>
    <w:pPr>
      <w:spacing w:before="120"/>
    </w:pPr>
    <w:rPr>
      <w:rFonts w:ascii="Arial" w:hAnsi="Arial"/>
      <w:b/>
      <w:sz w:val="20"/>
    </w:rPr>
  </w:style>
  <w:style w:type="paragraph" w:customStyle="1" w:styleId="EPSCoverTop">
    <w:name w:val="EPSCoverTop"/>
    <w:basedOn w:val="Normal"/>
    <w:pPr>
      <w:jc w:val="right"/>
    </w:pPr>
    <w:rPr>
      <w:rFonts w:ascii="Arial" w:hAnsi="Arial"/>
      <w:sz w:val="20"/>
    </w:rPr>
  </w:style>
  <w:style w:type="paragraph" w:customStyle="1" w:styleId="AmainSymb">
    <w:name w:val="A main Symb"/>
    <w:basedOn w:val="Amain"/>
    <w:pPr>
      <w:tabs>
        <w:tab w:val="right" w:pos="480"/>
      </w:tabs>
      <w:ind w:left="1120" w:hanging="1600"/>
    </w:pPr>
  </w:style>
  <w:style w:type="paragraph" w:customStyle="1" w:styleId="AparaSymb">
    <w:name w:val="A para Symb"/>
    <w:basedOn w:val="Apara"/>
    <w:pPr>
      <w:tabs>
        <w:tab w:val="right" w:pos="0"/>
      </w:tabs>
      <w:ind w:hanging="2080"/>
    </w:pPr>
  </w:style>
  <w:style w:type="paragraph" w:customStyle="1" w:styleId="AsubparaSymb">
    <w:name w:val="A subpara Symb"/>
    <w:basedOn w:val="Asubpara"/>
    <w:pPr>
      <w:tabs>
        <w:tab w:val="left" w:pos="0"/>
      </w:tabs>
      <w:ind w:left="1620"/>
    </w:pPr>
  </w:style>
  <w:style w:type="paragraph" w:customStyle="1" w:styleId="TableText">
    <w:name w:val="TableText"/>
    <w:basedOn w:val="Normal"/>
    <w:pPr>
      <w:spacing w:before="60" w:after="60"/>
    </w:pPr>
  </w:style>
  <w:style w:type="paragraph" w:customStyle="1" w:styleId="tablepara">
    <w:name w:val="table para"/>
    <w:basedOn w:val="Normal"/>
    <w:pPr>
      <w:tabs>
        <w:tab w:val="right" w:pos="800"/>
        <w:tab w:val="left" w:pos="1100"/>
      </w:tabs>
      <w:spacing w:before="80" w:after="60"/>
      <w:ind w:left="1100" w:hanging="1100"/>
    </w:pPr>
  </w:style>
  <w:style w:type="paragraph" w:customStyle="1" w:styleId="tablesubpara">
    <w:name w:val="table subpara"/>
    <w:basedOn w:val="Normal"/>
    <w:pPr>
      <w:tabs>
        <w:tab w:val="right" w:pos="1500"/>
        <w:tab w:val="left" w:pos="1800"/>
      </w:tabs>
      <w:spacing w:before="80" w:after="60"/>
      <w:ind w:left="1800" w:hanging="1800"/>
    </w:pPr>
  </w:style>
  <w:style w:type="paragraph" w:customStyle="1" w:styleId="RenumProvSubsectEntries">
    <w:name w:val="RenumProvSubsectEntries"/>
    <w:basedOn w:val="RenumProvEntries"/>
    <w:pPr>
      <w:ind w:left="252"/>
    </w:pPr>
  </w:style>
  <w:style w:type="paragraph" w:customStyle="1" w:styleId="IshadedSchClause">
    <w:name w:val="I shaded Sch Clause"/>
    <w:basedOn w:val="ShadedSchClause"/>
    <w:pPr>
      <w:outlineLvl w:val="9"/>
    </w:pPr>
  </w:style>
  <w:style w:type="paragraph" w:customStyle="1" w:styleId="IshadedH5Sec">
    <w:name w:val="I shaded H5 Sec"/>
    <w:basedOn w:val="AH5Sec"/>
    <w:pPr>
      <w:shd w:val="pct25" w:color="auto" w:fill="auto"/>
      <w:outlineLvl w:val="9"/>
    </w:pPr>
  </w:style>
  <w:style w:type="paragraph" w:customStyle="1" w:styleId="Endnote4">
    <w:name w:val="Endnote4"/>
    <w:basedOn w:val="Endnote2"/>
    <w:pPr>
      <w:pBdr>
        <w:top w:val="single" w:sz="4" w:space="1" w:color="auto"/>
        <w:left w:val="single" w:sz="4" w:space="4" w:color="auto"/>
        <w:bottom w:val="single" w:sz="4" w:space="1" w:color="auto"/>
        <w:right w:val="single" w:sz="4" w:space="4" w:color="auto"/>
      </w:pBdr>
      <w:ind w:left="1100" w:hanging="1100"/>
    </w:pPr>
  </w:style>
  <w:style w:type="paragraph" w:customStyle="1" w:styleId="Billcrest0">
    <w:name w:val="Billcrest"/>
    <w:basedOn w:val="Normal"/>
    <w:pPr>
      <w:tabs>
        <w:tab w:val="left" w:pos="2880"/>
      </w:tabs>
      <w:spacing w:after="60"/>
      <w:ind w:left="2800"/>
    </w:pPr>
    <w:rPr>
      <w:rFonts w:ascii="ACTCrest" w:hAnsi="ACTCrest"/>
      <w:sz w:val="216"/>
    </w:rPr>
  </w:style>
  <w:style w:type="character" w:styleId="PageNumber">
    <w:name w:val="page number"/>
    <w:basedOn w:val="DefaultParagraphFont"/>
    <w:semiHidden/>
  </w:style>
  <w:style w:type="paragraph" w:customStyle="1" w:styleId="AH1Part">
    <w:name w:val="A H1 Part"/>
    <w:basedOn w:val="Normal"/>
    <w:next w:val="Normal"/>
    <w:pPr>
      <w:keepNext/>
      <w:spacing w:before="320" w:after="60"/>
      <w:jc w:val="center"/>
      <w:outlineLvl w:val="0"/>
    </w:pPr>
    <w:rPr>
      <w:b/>
      <w:caps/>
    </w:rPr>
  </w:style>
  <w:style w:type="paragraph" w:customStyle="1" w:styleId="AH2Div">
    <w:name w:val="A H2 Div"/>
    <w:basedOn w:val="Normal"/>
    <w:next w:val="Normal"/>
    <w:pPr>
      <w:keepNext/>
      <w:spacing w:before="180" w:after="60"/>
      <w:jc w:val="center"/>
      <w:outlineLvl w:val="2"/>
    </w:pPr>
    <w:rPr>
      <w:b/>
      <w:i/>
    </w:rPr>
  </w:style>
  <w:style w:type="paragraph" w:styleId="ListBullet">
    <w:name w:val="List Bullet"/>
    <w:basedOn w:val="Normal"/>
    <w:autoRedefine/>
    <w:semiHidden/>
    <w:pPr>
      <w:numPr>
        <w:numId w:val="3"/>
      </w:numPr>
      <w:spacing w:before="80" w:after="60"/>
      <w:jc w:val="both"/>
    </w:pPr>
  </w:style>
  <w:style w:type="paragraph" w:styleId="ListBullet2">
    <w:name w:val="List Bullet 2"/>
    <w:basedOn w:val="Normal"/>
    <w:autoRedefine/>
    <w:semiHidden/>
    <w:pPr>
      <w:numPr>
        <w:numId w:val="4"/>
      </w:numPr>
      <w:spacing w:before="80" w:after="60"/>
      <w:jc w:val="both"/>
    </w:pPr>
  </w:style>
  <w:style w:type="paragraph" w:styleId="ListBullet3">
    <w:name w:val="List Bullet 3"/>
    <w:basedOn w:val="Normal"/>
    <w:autoRedefine/>
    <w:semiHidden/>
    <w:pPr>
      <w:numPr>
        <w:numId w:val="5"/>
      </w:numPr>
      <w:spacing w:before="80" w:after="60"/>
      <w:jc w:val="both"/>
    </w:pPr>
  </w:style>
  <w:style w:type="paragraph" w:styleId="ListBullet5">
    <w:name w:val="List Bullet 5"/>
    <w:basedOn w:val="Normal"/>
    <w:autoRedefine/>
    <w:semiHidden/>
    <w:pPr>
      <w:numPr>
        <w:numId w:val="6"/>
      </w:numPr>
      <w:spacing w:before="80" w:after="60"/>
      <w:jc w:val="both"/>
    </w:pPr>
  </w:style>
  <w:style w:type="paragraph" w:styleId="ListNumber">
    <w:name w:val="List Number"/>
    <w:basedOn w:val="Normal"/>
    <w:semiHidden/>
    <w:pPr>
      <w:numPr>
        <w:numId w:val="7"/>
      </w:numPr>
      <w:spacing w:before="80" w:after="60"/>
      <w:jc w:val="both"/>
    </w:pPr>
  </w:style>
  <w:style w:type="paragraph" w:styleId="ListNumber2">
    <w:name w:val="List Number 2"/>
    <w:basedOn w:val="Normal"/>
    <w:semiHidden/>
    <w:pPr>
      <w:numPr>
        <w:numId w:val="8"/>
      </w:numPr>
      <w:spacing w:before="80" w:after="60"/>
      <w:jc w:val="both"/>
    </w:pPr>
  </w:style>
  <w:style w:type="paragraph" w:styleId="ListNumber3">
    <w:name w:val="List Number 3"/>
    <w:basedOn w:val="Normal"/>
    <w:semiHidden/>
    <w:pPr>
      <w:numPr>
        <w:numId w:val="9"/>
      </w:numPr>
      <w:spacing w:before="80" w:after="60"/>
      <w:jc w:val="both"/>
    </w:pPr>
  </w:style>
  <w:style w:type="paragraph" w:styleId="ListNumber4">
    <w:name w:val="List Number 4"/>
    <w:basedOn w:val="Normal"/>
    <w:semiHidden/>
    <w:pPr>
      <w:numPr>
        <w:numId w:val="10"/>
      </w:numPr>
      <w:spacing w:before="80" w:after="60"/>
      <w:jc w:val="both"/>
    </w:pPr>
  </w:style>
  <w:style w:type="paragraph" w:styleId="ListNumber5">
    <w:name w:val="List Number 5"/>
    <w:basedOn w:val="Normal"/>
    <w:semiHidden/>
    <w:pPr>
      <w:numPr>
        <w:numId w:val="11"/>
      </w:numPr>
      <w:spacing w:before="80" w:after="60"/>
      <w:jc w:val="both"/>
    </w:pPr>
  </w:style>
  <w:style w:type="paragraph" w:customStyle="1" w:styleId="fullout">
    <w:name w:val="full out"/>
    <w:pPr>
      <w:spacing w:before="80" w:after="80"/>
      <w:jc w:val="both"/>
    </w:pPr>
    <w:rPr>
      <w:rFonts w:ascii="Times" w:hAnsi="Times"/>
      <w:sz w:val="24"/>
      <w:lang w:eastAsia="en-US"/>
    </w:rPr>
  </w:style>
  <w:style w:type="paragraph" w:customStyle="1" w:styleId="allsections">
    <w:name w:val="all sections"/>
    <w:pPr>
      <w:spacing w:before="80" w:after="80"/>
      <w:ind w:firstLine="400"/>
      <w:jc w:val="both"/>
    </w:pPr>
    <w:rPr>
      <w:rFonts w:ascii="Times" w:hAnsi="Times"/>
      <w:sz w:val="24"/>
      <w:lang w:eastAsia="en-U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02TextLandscape">
    <w:name w:val="02TextLandscape"/>
    <w:basedOn w:val="Normal"/>
  </w:style>
  <w:style w:type="paragraph" w:customStyle="1" w:styleId="Assectheading">
    <w:name w:val="A ssect heading"/>
    <w:basedOn w:val="Amain"/>
    <w:pPr>
      <w:keepNext/>
      <w:tabs>
        <w:tab w:val="clear" w:pos="900"/>
        <w:tab w:val="clear" w:pos="1100"/>
      </w:tabs>
      <w:spacing w:before="240"/>
      <w:ind w:left="0" w:firstLine="0"/>
      <w:outlineLvl w:val="9"/>
    </w:pPr>
    <w:rPr>
      <w:i/>
    </w:rPr>
  </w:style>
  <w:style w:type="paragraph" w:customStyle="1" w:styleId="Penalty">
    <w:name w:val="Penalty"/>
    <w:basedOn w:val="Amainreturn"/>
  </w:style>
  <w:style w:type="paragraph" w:customStyle="1" w:styleId="bulletregs">
    <w:name w:val="bullet regs"/>
    <w:basedOn w:val="Normal"/>
    <w:pPr>
      <w:keepNext/>
      <w:numPr>
        <w:numId w:val="1"/>
      </w:numPr>
      <w:tabs>
        <w:tab w:val="right" w:pos="660"/>
        <w:tab w:val="right" w:leader="dot" w:pos="6612"/>
      </w:tabs>
      <w:ind w:left="640" w:right="-60"/>
    </w:pPr>
    <w:rPr>
      <w:rFonts w:ascii="Arial" w:hAnsi="Arial"/>
      <w:sz w:val="18"/>
    </w:rPr>
  </w:style>
  <w:style w:type="paragraph" w:customStyle="1" w:styleId="details">
    <w:name w:val="details"/>
    <w:basedOn w:val="Normal"/>
    <w:pPr>
      <w:tabs>
        <w:tab w:val="right" w:leader="dot" w:pos="6612"/>
      </w:tabs>
      <w:ind w:left="660" w:right="-60"/>
    </w:pPr>
    <w:rPr>
      <w:rFonts w:ascii="Arial" w:hAnsi="Arial"/>
      <w:sz w:val="18"/>
    </w:rPr>
  </w:style>
  <w:style w:type="paragraph" w:customStyle="1" w:styleId="Actbullet">
    <w:name w:val="Act bullet"/>
    <w:basedOn w:val="Normal"/>
    <w:pPr>
      <w:numPr>
        <w:numId w:val="12"/>
      </w:numPr>
      <w:tabs>
        <w:tab w:val="left" w:pos="900"/>
      </w:tabs>
      <w:spacing w:before="20"/>
      <w:ind w:right="-60"/>
    </w:pPr>
    <w:rPr>
      <w:rFonts w:ascii="Arial" w:hAnsi="Arial"/>
      <w:sz w:val="18"/>
      <w:lang w:val="en-US"/>
    </w:rPr>
  </w:style>
  <w:style w:type="paragraph" w:customStyle="1" w:styleId="05Endnote0">
    <w:name w:val="05Endnote"/>
    <w:basedOn w:val="Normal"/>
  </w:style>
  <w:style w:type="paragraph" w:customStyle="1" w:styleId="EffectiveDate">
    <w:name w:val="EffectiveDate"/>
    <w:basedOn w:val="Normal"/>
    <w:pPr>
      <w:spacing w:before="40" w:after="200"/>
    </w:pPr>
    <w:rPr>
      <w:rFonts w:ascii="Arial" w:hAnsi="Arial"/>
      <w:b/>
      <w:sz w:val="26"/>
    </w:rPr>
  </w:style>
  <w:style w:type="paragraph" w:customStyle="1" w:styleId="AmdtEntries">
    <w:name w:val="AmdtEntries"/>
    <w:basedOn w:val="BillBasicHeading"/>
    <w:pPr>
      <w:keepNext w:val="0"/>
      <w:tabs>
        <w:tab w:val="clear" w:pos="2600"/>
      </w:tabs>
      <w:spacing w:before="0" w:after="0"/>
      <w:ind w:left="3200" w:hanging="2100"/>
    </w:pPr>
    <w:rPr>
      <w:sz w:val="18"/>
    </w:rPr>
  </w:style>
  <w:style w:type="paragraph" w:customStyle="1" w:styleId="AmdtEntriesDefL2">
    <w:name w:val="AmdtEntriesDefL2"/>
    <w:basedOn w:val="AmdtEntries"/>
    <w:pPr>
      <w:tabs>
        <w:tab w:val="left" w:pos="3000"/>
      </w:tabs>
      <w:ind w:left="3600" w:hanging="2500"/>
    </w:pPr>
  </w:style>
  <w:style w:type="paragraph" w:customStyle="1" w:styleId="aNoteText">
    <w:name w:val="aNoteText"/>
    <w:basedOn w:val="aNote"/>
    <w:pPr>
      <w:spacing w:before="20"/>
      <w:ind w:firstLine="0"/>
    </w:pPr>
  </w:style>
  <w:style w:type="character" w:customStyle="1" w:styleId="charContents">
    <w:name w:val="charContents"/>
    <w:basedOn w:val="DefaultParagraphFont"/>
  </w:style>
  <w:style w:type="character" w:customStyle="1" w:styleId="charPage">
    <w:name w:val="charPage"/>
    <w:basedOn w:val="DefaultParagraphFont"/>
  </w:style>
  <w:style w:type="paragraph" w:customStyle="1" w:styleId="FooterInfoCentre">
    <w:name w:val="FooterInfoCentre"/>
    <w:basedOn w:val="FooterInfo"/>
    <w:pPr>
      <w:jc w:val="center"/>
    </w:pPr>
  </w:style>
  <w:style w:type="paragraph" w:customStyle="1" w:styleId="LongTitleSymb">
    <w:name w:val="LongTitleSymb"/>
    <w:basedOn w:val="LongTitle"/>
    <w:pPr>
      <w:ind w:hanging="48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pPr>
      <w:spacing w:after="40"/>
      <w:ind w:left="1100"/>
      <w:jc w:val="both"/>
    </w:pPr>
    <w:rPr>
      <w:sz w:val="20"/>
    </w:rPr>
  </w:style>
  <w:style w:type="paragraph" w:customStyle="1" w:styleId="aExamHdgss">
    <w:name w:val="aExamHdgss"/>
    <w:basedOn w:val="BillBasicHeading"/>
    <w:next w:val="Normal"/>
    <w:pPr>
      <w:tabs>
        <w:tab w:val="clear" w:pos="2600"/>
      </w:tabs>
      <w:ind w:left="1100"/>
    </w:pPr>
    <w:rPr>
      <w:sz w:val="18"/>
    </w:rPr>
  </w:style>
  <w:style w:type="paragraph" w:customStyle="1" w:styleId="aExamss">
    <w:name w:val="aExamss"/>
    <w:basedOn w:val="aNote"/>
    <w:pPr>
      <w:spacing w:before="0"/>
      <w:ind w:left="1100" w:firstLine="0"/>
    </w:pPr>
  </w:style>
  <w:style w:type="paragraph" w:customStyle="1" w:styleId="aExamINumss">
    <w:name w:val="aExamINumss"/>
    <w:basedOn w:val="aExamss"/>
    <w:pPr>
      <w:tabs>
        <w:tab w:val="left" w:pos="1500"/>
      </w:tabs>
      <w:ind w:left="1500" w:hanging="400"/>
    </w:pPr>
  </w:style>
  <w:style w:type="paragraph" w:customStyle="1" w:styleId="aExamNumTextss">
    <w:name w:val="aExamNumTextss"/>
    <w:basedOn w:val="aExamss"/>
    <w:pPr>
      <w:ind w:left="1500"/>
    </w:pPr>
  </w:style>
  <w:style w:type="paragraph" w:customStyle="1" w:styleId="AExamIPara">
    <w:name w:val="AExamIPara"/>
    <w:basedOn w:val="aExam"/>
    <w:pPr>
      <w:tabs>
        <w:tab w:val="right" w:pos="1720"/>
        <w:tab w:val="left" w:pos="2000"/>
      </w:tabs>
      <w:ind w:left="2000" w:hanging="900"/>
    </w:pPr>
  </w:style>
  <w:style w:type="paragraph" w:customStyle="1" w:styleId="aNoteTextss">
    <w:name w:val="aNoteTextss"/>
    <w:basedOn w:val="Normal"/>
    <w:pPr>
      <w:spacing w:after="60"/>
      <w:ind w:left="1900"/>
      <w:jc w:val="both"/>
    </w:pPr>
    <w:rPr>
      <w:sz w:val="20"/>
    </w:rPr>
  </w:style>
  <w:style w:type="paragraph" w:customStyle="1" w:styleId="aNoteParass">
    <w:name w:val="aNoteParass"/>
    <w:basedOn w:val="Normal"/>
    <w:pPr>
      <w:tabs>
        <w:tab w:val="right" w:pos="2140"/>
        <w:tab w:val="left" w:pos="2400"/>
      </w:tabs>
      <w:spacing w:after="60"/>
      <w:ind w:left="2400" w:hanging="1300"/>
      <w:jc w:val="both"/>
    </w:pPr>
    <w:rPr>
      <w:sz w:val="20"/>
    </w:rPr>
  </w:style>
  <w:style w:type="paragraph" w:customStyle="1" w:styleId="aExamHdgpar">
    <w:name w:val="aExamHdgpar"/>
    <w:basedOn w:val="aExamHdgss"/>
    <w:next w:val="Normal"/>
    <w:pPr>
      <w:ind w:left="1600"/>
    </w:pPr>
  </w:style>
  <w:style w:type="paragraph" w:customStyle="1" w:styleId="aExampar">
    <w:name w:val="aExampar"/>
    <w:basedOn w:val="aExamss"/>
    <w:pPr>
      <w:ind w:left="1600"/>
    </w:pPr>
  </w:style>
  <w:style w:type="paragraph" w:customStyle="1" w:styleId="aNotepar">
    <w:name w:val="aNotepar"/>
    <w:basedOn w:val="BillBasic"/>
    <w:next w:val="Normal"/>
    <w:pPr>
      <w:ind w:left="2400" w:hanging="800"/>
    </w:pPr>
    <w:rPr>
      <w:rFonts w:ascii="Times New (W1)" w:hAnsi="Times New (W1)"/>
      <w:sz w:val="20"/>
    </w:rPr>
  </w:style>
  <w:style w:type="paragraph" w:customStyle="1" w:styleId="aNoteTextpar">
    <w:name w:val="aNoteTextpar"/>
    <w:basedOn w:val="aNotepar"/>
    <w:pPr>
      <w:spacing w:before="0"/>
      <w:ind w:firstLine="0"/>
    </w:pPr>
  </w:style>
  <w:style w:type="paragraph" w:customStyle="1" w:styleId="aNoteParapar">
    <w:name w:val="aNoteParapar"/>
    <w:basedOn w:val="aNotepar"/>
    <w:pPr>
      <w:tabs>
        <w:tab w:val="right" w:pos="2640"/>
      </w:tabs>
      <w:spacing w:before="0"/>
      <w:ind w:left="2920" w:hanging="1320"/>
    </w:pPr>
  </w:style>
  <w:style w:type="paragraph" w:customStyle="1" w:styleId="aExamHdgsubpar">
    <w:name w:val="aExamHdgsubpar"/>
    <w:basedOn w:val="aExamHdgss"/>
    <w:next w:val="Normal"/>
    <w:pPr>
      <w:ind w:left="2140"/>
    </w:pPr>
  </w:style>
  <w:style w:type="paragraph" w:customStyle="1" w:styleId="aExamsubpar">
    <w:name w:val="aExamsubpar"/>
    <w:basedOn w:val="aExamss"/>
    <w:pPr>
      <w:ind w:left="2140"/>
    </w:pPr>
  </w:style>
  <w:style w:type="paragraph" w:customStyle="1" w:styleId="aNotesubpar">
    <w:name w:val="aNotesubpar"/>
    <w:basedOn w:val="BillBasic"/>
    <w:next w:val="Normal"/>
    <w:pPr>
      <w:ind w:left="2940" w:hanging="800"/>
    </w:pPr>
    <w:rPr>
      <w:sz w:val="20"/>
    </w:rPr>
  </w:style>
  <w:style w:type="paragraph" w:customStyle="1" w:styleId="aNoteTextsubpar">
    <w:name w:val="aNoteTextsubpar"/>
    <w:basedOn w:val="aNotesubpar"/>
    <w:pPr>
      <w:spacing w:before="0"/>
      <w:ind w:firstLine="0"/>
    </w:pPr>
  </w:style>
  <w:style w:type="paragraph" w:customStyle="1" w:styleId="aExamBulletss">
    <w:name w:val="aExamBulletss"/>
    <w:basedOn w:val="aExamss"/>
    <w:pPr>
      <w:ind w:left="1500" w:hanging="400"/>
    </w:pPr>
  </w:style>
  <w:style w:type="paragraph" w:customStyle="1" w:styleId="aNoteBulletss">
    <w:name w:val="aNoteBulletss"/>
    <w:basedOn w:val="Normal"/>
    <w:pPr>
      <w:spacing w:after="60"/>
      <w:ind w:left="2300" w:hanging="400"/>
      <w:jc w:val="both"/>
    </w:pPr>
    <w:rPr>
      <w:sz w:val="20"/>
    </w:rPr>
  </w:style>
  <w:style w:type="paragraph" w:customStyle="1" w:styleId="aExamBulletpar">
    <w:name w:val="aExamBulletpar"/>
    <w:basedOn w:val="aExampar"/>
    <w:pPr>
      <w:ind w:left="2000" w:hanging="400"/>
    </w:pPr>
  </w:style>
  <w:style w:type="paragraph" w:customStyle="1" w:styleId="aNoteBulletpar">
    <w:name w:val="aNoteBulletpar"/>
    <w:basedOn w:val="aNotepar"/>
    <w:pPr>
      <w:spacing w:before="0"/>
      <w:ind w:left="2800" w:hanging="400"/>
    </w:pPr>
  </w:style>
  <w:style w:type="paragraph" w:customStyle="1" w:styleId="aExplanHeading">
    <w:name w:val="aExplanHeading"/>
    <w:basedOn w:val="BillBasicHeading"/>
    <w:next w:val="Normal"/>
    <w:rPr>
      <w:rFonts w:ascii="Arial (W1)" w:hAnsi="Arial (W1)"/>
      <w:sz w:val="18"/>
    </w:rPr>
  </w:style>
  <w:style w:type="paragraph" w:customStyle="1" w:styleId="EndNoteHeading">
    <w:name w:val="EndNoteHeading"/>
    <w:basedOn w:val="BillBasicHeading"/>
    <w:pPr>
      <w:tabs>
        <w:tab w:val="left" w:pos="700"/>
      </w:tabs>
      <w:spacing w:before="160" w:after="160"/>
      <w:ind w:left="700" w:hanging="700"/>
    </w:pPr>
    <w:rPr>
      <w:rFonts w:ascii="Arial (W1)" w:hAnsi="Arial (W1)"/>
    </w:rPr>
  </w:style>
  <w:style w:type="paragraph" w:customStyle="1" w:styleId="aExplanBullet">
    <w:name w:val="aExplanBullet"/>
    <w:basedOn w:val="Normal"/>
    <w:pPr>
      <w:spacing w:before="80" w:after="60"/>
      <w:ind w:left="400" w:hanging="400"/>
      <w:jc w:val="both"/>
    </w:pPr>
    <w:rPr>
      <w:snapToGrid w:val="0"/>
      <w:sz w:val="20"/>
    </w:rPr>
  </w:style>
  <w:style w:type="paragraph" w:customStyle="1" w:styleId="SchAmain">
    <w:name w:val="Sch A main"/>
    <w:basedOn w:val="Amain"/>
  </w:style>
  <w:style w:type="paragraph" w:customStyle="1" w:styleId="SchApara">
    <w:name w:val="Sch A para"/>
    <w:basedOn w:val="Apara"/>
  </w:style>
  <w:style w:type="paragraph" w:customStyle="1" w:styleId="SchAsubpara">
    <w:name w:val="Sch A subpara"/>
    <w:basedOn w:val="Asubpara"/>
  </w:style>
  <w:style w:type="paragraph" w:customStyle="1" w:styleId="SchAsubsubpara">
    <w:name w:val="Sch A subsubpara"/>
    <w:basedOn w:val="Asubsubpara"/>
  </w:style>
  <w:style w:type="character" w:styleId="FollowedHyperlink">
    <w:name w:val="FollowedHyperlink"/>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1" Type="http://schemas.openxmlformats.org/officeDocument/2006/relationships/footer" Target="footer7.xml"/><Relationship Id="rId42" Type="http://schemas.openxmlformats.org/officeDocument/2006/relationships/header" Target="header15.xml"/><Relationship Id="rId63" Type="http://schemas.openxmlformats.org/officeDocument/2006/relationships/oleObject" Target="embeddings/oleObject8.bin"/><Relationship Id="rId84" Type="http://schemas.openxmlformats.org/officeDocument/2006/relationships/oleObject" Target="embeddings/oleObject17.bin"/><Relationship Id="rId138" Type="http://schemas.openxmlformats.org/officeDocument/2006/relationships/footer" Target="footer43.xml"/><Relationship Id="rId159" Type="http://schemas.openxmlformats.org/officeDocument/2006/relationships/footer" Target="footer51.xml"/><Relationship Id="rId170" Type="http://schemas.openxmlformats.org/officeDocument/2006/relationships/footer" Target="footer54.xml"/><Relationship Id="rId191" Type="http://schemas.openxmlformats.org/officeDocument/2006/relationships/footer" Target="footer64.xml"/><Relationship Id="rId205" Type="http://schemas.openxmlformats.org/officeDocument/2006/relationships/footer" Target="footer70.xml"/><Relationship Id="rId16" Type="http://schemas.openxmlformats.org/officeDocument/2006/relationships/footer" Target="footer4.xml"/><Relationship Id="rId107" Type="http://schemas.openxmlformats.org/officeDocument/2006/relationships/oleObject" Target="embeddings/oleObject21.bin"/><Relationship Id="rId11" Type="http://schemas.openxmlformats.org/officeDocument/2006/relationships/footer" Target="footer2.xml"/><Relationship Id="rId32" Type="http://schemas.openxmlformats.org/officeDocument/2006/relationships/header" Target="header11.xml"/><Relationship Id="rId37" Type="http://schemas.openxmlformats.org/officeDocument/2006/relationships/header" Target="header13.xml"/><Relationship Id="rId53" Type="http://schemas.openxmlformats.org/officeDocument/2006/relationships/oleObject" Target="embeddings/oleObject3.bin"/><Relationship Id="rId58" Type="http://schemas.openxmlformats.org/officeDocument/2006/relationships/image" Target="media/image7.wmf"/><Relationship Id="rId74" Type="http://schemas.openxmlformats.org/officeDocument/2006/relationships/oleObject" Target="embeddings/oleObject14.bin"/><Relationship Id="rId79" Type="http://schemas.openxmlformats.org/officeDocument/2006/relationships/header" Target="header19.xml"/><Relationship Id="rId102" Type="http://schemas.openxmlformats.org/officeDocument/2006/relationships/header" Target="header25.xml"/><Relationship Id="rId123" Type="http://schemas.openxmlformats.org/officeDocument/2006/relationships/footer" Target="footer38.xml"/><Relationship Id="rId128" Type="http://schemas.openxmlformats.org/officeDocument/2006/relationships/image" Target="media/image28.wmf"/><Relationship Id="rId144" Type="http://schemas.openxmlformats.org/officeDocument/2006/relationships/image" Target="media/image29.png"/><Relationship Id="rId149" Type="http://schemas.openxmlformats.org/officeDocument/2006/relationships/header" Target="header36.xml"/><Relationship Id="rId5" Type="http://schemas.openxmlformats.org/officeDocument/2006/relationships/footnotes" Target="footnotes.xml"/><Relationship Id="rId90" Type="http://schemas.openxmlformats.org/officeDocument/2006/relationships/header" Target="header21.xml"/><Relationship Id="rId95" Type="http://schemas.openxmlformats.org/officeDocument/2006/relationships/footer" Target="footer29.xml"/><Relationship Id="rId160" Type="http://schemas.openxmlformats.org/officeDocument/2006/relationships/header" Target="header40.xml"/><Relationship Id="rId165" Type="http://schemas.openxmlformats.org/officeDocument/2006/relationships/oleObject" Target="embeddings/oleObject30.bin"/><Relationship Id="rId181" Type="http://schemas.openxmlformats.org/officeDocument/2006/relationships/footer" Target="footer61.xml"/><Relationship Id="rId186" Type="http://schemas.openxmlformats.org/officeDocument/2006/relationships/image" Target="media/image37.jpeg"/><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footer" Target="footer19.xml"/><Relationship Id="rId48" Type="http://schemas.openxmlformats.org/officeDocument/2006/relationships/footer" Target="footer22.xml"/><Relationship Id="rId64" Type="http://schemas.openxmlformats.org/officeDocument/2006/relationships/image" Target="media/image10.wmf"/><Relationship Id="rId69" Type="http://schemas.openxmlformats.org/officeDocument/2006/relationships/oleObject" Target="embeddings/oleObject11.bin"/><Relationship Id="rId113" Type="http://schemas.openxmlformats.org/officeDocument/2006/relationships/footer" Target="footer35.xml"/><Relationship Id="rId118" Type="http://schemas.openxmlformats.org/officeDocument/2006/relationships/oleObject" Target="embeddings/oleObject25.bin"/><Relationship Id="rId134" Type="http://schemas.openxmlformats.org/officeDocument/2006/relationships/footer" Target="footer41.xml"/><Relationship Id="rId139" Type="http://schemas.openxmlformats.org/officeDocument/2006/relationships/header" Target="header34.xml"/><Relationship Id="rId80" Type="http://schemas.openxmlformats.org/officeDocument/2006/relationships/footer" Target="footer24.xml"/><Relationship Id="rId85" Type="http://schemas.openxmlformats.org/officeDocument/2006/relationships/image" Target="media/image17.wmf"/><Relationship Id="rId150" Type="http://schemas.openxmlformats.org/officeDocument/2006/relationships/header" Target="header37.xml"/><Relationship Id="rId155" Type="http://schemas.openxmlformats.org/officeDocument/2006/relationships/header" Target="header38.xml"/><Relationship Id="rId171" Type="http://schemas.openxmlformats.org/officeDocument/2006/relationships/footer" Target="footer55.xml"/><Relationship Id="rId176" Type="http://schemas.openxmlformats.org/officeDocument/2006/relationships/footer" Target="footer58.xml"/><Relationship Id="rId192" Type="http://schemas.openxmlformats.org/officeDocument/2006/relationships/footer" Target="footer65.xml"/><Relationship Id="rId197" Type="http://schemas.openxmlformats.org/officeDocument/2006/relationships/footer" Target="footer66.xml"/><Relationship Id="rId206" Type="http://schemas.openxmlformats.org/officeDocument/2006/relationships/footer" Target="footer71.xml"/><Relationship Id="rId201" Type="http://schemas.openxmlformats.org/officeDocument/2006/relationships/footer" Target="footer68.xml"/><Relationship Id="rId12" Type="http://schemas.openxmlformats.org/officeDocument/2006/relationships/header" Target="header3.xml"/><Relationship Id="rId17" Type="http://schemas.openxmlformats.org/officeDocument/2006/relationships/footer" Target="footer5.xml"/><Relationship Id="rId33" Type="http://schemas.openxmlformats.org/officeDocument/2006/relationships/footer" Target="footer13.xml"/><Relationship Id="rId38" Type="http://schemas.openxmlformats.org/officeDocument/2006/relationships/footer" Target="footer16.xml"/><Relationship Id="rId59" Type="http://schemas.openxmlformats.org/officeDocument/2006/relationships/oleObject" Target="embeddings/oleObject6.bin"/><Relationship Id="rId103" Type="http://schemas.openxmlformats.org/officeDocument/2006/relationships/footer" Target="footer32.xml"/><Relationship Id="rId108" Type="http://schemas.openxmlformats.org/officeDocument/2006/relationships/image" Target="media/image23.wmf"/><Relationship Id="rId124" Type="http://schemas.openxmlformats.org/officeDocument/2006/relationships/image" Target="media/image25.wmf"/><Relationship Id="rId129" Type="http://schemas.openxmlformats.org/officeDocument/2006/relationships/oleObject" Target="embeddings/oleObject28.bin"/><Relationship Id="rId54" Type="http://schemas.openxmlformats.org/officeDocument/2006/relationships/image" Target="media/image5.wmf"/><Relationship Id="rId70" Type="http://schemas.openxmlformats.org/officeDocument/2006/relationships/image" Target="media/image13.wmf"/><Relationship Id="rId75" Type="http://schemas.openxmlformats.org/officeDocument/2006/relationships/oleObject" Target="embeddings/oleObject15.bin"/><Relationship Id="rId91" Type="http://schemas.openxmlformats.org/officeDocument/2006/relationships/footer" Target="footer27.xml"/><Relationship Id="rId96" Type="http://schemas.openxmlformats.org/officeDocument/2006/relationships/footer" Target="footer30.xml"/><Relationship Id="rId140" Type="http://schemas.openxmlformats.org/officeDocument/2006/relationships/header" Target="header35.xml"/><Relationship Id="rId145" Type="http://schemas.openxmlformats.org/officeDocument/2006/relationships/image" Target="media/image30.png"/><Relationship Id="rId161" Type="http://schemas.openxmlformats.org/officeDocument/2006/relationships/header" Target="header41.xml"/><Relationship Id="rId166" Type="http://schemas.openxmlformats.org/officeDocument/2006/relationships/image" Target="media/image36.wmf"/><Relationship Id="rId182" Type="http://schemas.openxmlformats.org/officeDocument/2006/relationships/header" Target="header48.xml"/><Relationship Id="rId187"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9.xml"/><Relationship Id="rId28" Type="http://schemas.openxmlformats.org/officeDocument/2006/relationships/footer" Target="footer12.xml"/><Relationship Id="rId49" Type="http://schemas.openxmlformats.org/officeDocument/2006/relationships/footer" Target="footer23.xml"/><Relationship Id="rId114" Type="http://schemas.openxmlformats.org/officeDocument/2006/relationships/footer" Target="footer36.xml"/><Relationship Id="rId119" Type="http://schemas.openxmlformats.org/officeDocument/2006/relationships/oleObject" Target="embeddings/oleObject26.bin"/><Relationship Id="rId44" Type="http://schemas.openxmlformats.org/officeDocument/2006/relationships/footer" Target="footer20.xml"/><Relationship Id="rId60" Type="http://schemas.openxmlformats.org/officeDocument/2006/relationships/image" Target="media/image8.wmf"/><Relationship Id="rId65" Type="http://schemas.openxmlformats.org/officeDocument/2006/relationships/oleObject" Target="embeddings/oleObject9.bin"/><Relationship Id="rId81" Type="http://schemas.openxmlformats.org/officeDocument/2006/relationships/footer" Target="footer25.xml"/><Relationship Id="rId86" Type="http://schemas.openxmlformats.org/officeDocument/2006/relationships/oleObject" Target="embeddings/oleObject18.bin"/><Relationship Id="rId130" Type="http://schemas.openxmlformats.org/officeDocument/2006/relationships/header" Target="header30.xml"/><Relationship Id="rId135" Type="http://schemas.openxmlformats.org/officeDocument/2006/relationships/header" Target="header32.xml"/><Relationship Id="rId151" Type="http://schemas.openxmlformats.org/officeDocument/2006/relationships/footer" Target="footer47.xml"/><Relationship Id="rId156" Type="http://schemas.openxmlformats.org/officeDocument/2006/relationships/header" Target="header39.xml"/><Relationship Id="rId177" Type="http://schemas.openxmlformats.org/officeDocument/2006/relationships/footer" Target="footer59.xml"/><Relationship Id="rId198" Type="http://schemas.openxmlformats.org/officeDocument/2006/relationships/footer" Target="footer67.xml"/><Relationship Id="rId172" Type="http://schemas.openxmlformats.org/officeDocument/2006/relationships/footer" Target="footer56.xml"/><Relationship Id="rId193" Type="http://schemas.openxmlformats.org/officeDocument/2006/relationships/image" Target="media/image40.wmf"/><Relationship Id="rId202" Type="http://schemas.openxmlformats.org/officeDocument/2006/relationships/footer" Target="footer69.xml"/><Relationship Id="rId207" Type="http://schemas.openxmlformats.org/officeDocument/2006/relationships/header" Target="header58.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7.xml"/><Relationship Id="rId109" Type="http://schemas.openxmlformats.org/officeDocument/2006/relationships/oleObject" Target="embeddings/oleObject22.bin"/><Relationship Id="rId34" Type="http://schemas.openxmlformats.org/officeDocument/2006/relationships/footer" Target="footer14.xml"/><Relationship Id="rId50" Type="http://schemas.openxmlformats.org/officeDocument/2006/relationships/image" Target="media/image3.wmf"/><Relationship Id="rId55" Type="http://schemas.openxmlformats.org/officeDocument/2006/relationships/oleObject" Target="embeddings/oleObject4.bin"/><Relationship Id="rId76" Type="http://schemas.openxmlformats.org/officeDocument/2006/relationships/oleObject" Target="embeddings/oleObject16.bin"/><Relationship Id="rId97" Type="http://schemas.openxmlformats.org/officeDocument/2006/relationships/footer" Target="footer31.xml"/><Relationship Id="rId104" Type="http://schemas.openxmlformats.org/officeDocument/2006/relationships/footer" Target="footer33.xml"/><Relationship Id="rId120" Type="http://schemas.openxmlformats.org/officeDocument/2006/relationships/header" Target="header28.xml"/><Relationship Id="rId125" Type="http://schemas.openxmlformats.org/officeDocument/2006/relationships/image" Target="media/image26.wmf"/><Relationship Id="rId141" Type="http://schemas.openxmlformats.org/officeDocument/2006/relationships/footer" Target="footer44.xml"/><Relationship Id="rId146" Type="http://schemas.openxmlformats.org/officeDocument/2006/relationships/image" Target="media/image31.png"/><Relationship Id="rId167" Type="http://schemas.openxmlformats.org/officeDocument/2006/relationships/oleObject" Target="embeddings/oleObject31.bin"/><Relationship Id="rId188" Type="http://schemas.openxmlformats.org/officeDocument/2006/relationships/image" Target="media/image39.jpeg"/><Relationship Id="rId7" Type="http://schemas.openxmlformats.org/officeDocument/2006/relationships/image" Target="media/image1.png"/><Relationship Id="rId71" Type="http://schemas.openxmlformats.org/officeDocument/2006/relationships/oleObject" Target="embeddings/oleObject12.bin"/><Relationship Id="rId92" Type="http://schemas.openxmlformats.org/officeDocument/2006/relationships/footer" Target="footer28.xml"/><Relationship Id="rId162" Type="http://schemas.openxmlformats.org/officeDocument/2006/relationships/footer" Target="footer52.xml"/><Relationship Id="rId183" Type="http://schemas.openxmlformats.org/officeDocument/2006/relationships/header" Target="header49.xml"/><Relationship Id="rId2" Type="http://schemas.openxmlformats.org/officeDocument/2006/relationships/styles" Target="styles.xml"/><Relationship Id="rId29" Type="http://schemas.openxmlformats.org/officeDocument/2006/relationships/image" Target="media/image2.png"/><Relationship Id="rId24" Type="http://schemas.openxmlformats.org/officeDocument/2006/relationships/header" Target="header8.xml"/><Relationship Id="rId40" Type="http://schemas.openxmlformats.org/officeDocument/2006/relationships/footer" Target="footer18.xml"/><Relationship Id="rId45" Type="http://schemas.openxmlformats.org/officeDocument/2006/relationships/footer" Target="footer21.xml"/><Relationship Id="rId66" Type="http://schemas.openxmlformats.org/officeDocument/2006/relationships/image" Target="media/image11.wmf"/><Relationship Id="rId87" Type="http://schemas.openxmlformats.org/officeDocument/2006/relationships/image" Target="media/image18.wmf"/><Relationship Id="rId110" Type="http://schemas.openxmlformats.org/officeDocument/2006/relationships/header" Target="header26.xml"/><Relationship Id="rId115" Type="http://schemas.openxmlformats.org/officeDocument/2006/relationships/image" Target="media/image24.wmf"/><Relationship Id="rId131" Type="http://schemas.openxmlformats.org/officeDocument/2006/relationships/header" Target="header31.xml"/><Relationship Id="rId136" Type="http://schemas.openxmlformats.org/officeDocument/2006/relationships/header" Target="header33.xml"/><Relationship Id="rId157" Type="http://schemas.openxmlformats.org/officeDocument/2006/relationships/footer" Target="footer49.xml"/><Relationship Id="rId178" Type="http://schemas.openxmlformats.org/officeDocument/2006/relationships/header" Target="header46.xml"/><Relationship Id="rId61" Type="http://schemas.openxmlformats.org/officeDocument/2006/relationships/oleObject" Target="embeddings/oleObject7.bin"/><Relationship Id="rId82" Type="http://schemas.openxmlformats.org/officeDocument/2006/relationships/footer" Target="footer26.xml"/><Relationship Id="rId152" Type="http://schemas.openxmlformats.org/officeDocument/2006/relationships/footer" Target="footer48.xml"/><Relationship Id="rId173" Type="http://schemas.openxmlformats.org/officeDocument/2006/relationships/header" Target="header44.xml"/><Relationship Id="rId194" Type="http://schemas.openxmlformats.org/officeDocument/2006/relationships/oleObject" Target="embeddings/oleObject32.bin"/><Relationship Id="rId199" Type="http://schemas.openxmlformats.org/officeDocument/2006/relationships/header" Target="header54.xml"/><Relationship Id="rId203" Type="http://schemas.openxmlformats.org/officeDocument/2006/relationships/header" Target="header56.xml"/><Relationship Id="rId208" Type="http://schemas.openxmlformats.org/officeDocument/2006/relationships/footer" Target="footer72.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oleObject" Target="embeddings/oleObject1.bin"/><Relationship Id="rId35" Type="http://schemas.openxmlformats.org/officeDocument/2006/relationships/footer" Target="footer15.xml"/><Relationship Id="rId56" Type="http://schemas.openxmlformats.org/officeDocument/2006/relationships/image" Target="media/image6.wmf"/><Relationship Id="rId77" Type="http://schemas.openxmlformats.org/officeDocument/2006/relationships/image" Target="media/image15.png"/><Relationship Id="rId100" Type="http://schemas.openxmlformats.org/officeDocument/2006/relationships/image" Target="media/image20.png"/><Relationship Id="rId105" Type="http://schemas.openxmlformats.org/officeDocument/2006/relationships/image" Target="media/image21.png"/><Relationship Id="rId126" Type="http://schemas.openxmlformats.org/officeDocument/2006/relationships/image" Target="media/image27.wmf"/><Relationship Id="rId147" Type="http://schemas.openxmlformats.org/officeDocument/2006/relationships/image" Target="media/image32.png"/><Relationship Id="rId168" Type="http://schemas.openxmlformats.org/officeDocument/2006/relationships/header" Target="header42.xml"/><Relationship Id="rId8" Type="http://schemas.openxmlformats.org/officeDocument/2006/relationships/header" Target="header1.xml"/><Relationship Id="rId51" Type="http://schemas.openxmlformats.org/officeDocument/2006/relationships/oleObject" Target="embeddings/oleObject2.bin"/><Relationship Id="rId72" Type="http://schemas.openxmlformats.org/officeDocument/2006/relationships/oleObject" Target="embeddings/oleObject13.bin"/><Relationship Id="rId93" Type="http://schemas.openxmlformats.org/officeDocument/2006/relationships/header" Target="header22.xml"/><Relationship Id="rId98" Type="http://schemas.openxmlformats.org/officeDocument/2006/relationships/image" Target="media/image19.wmf"/><Relationship Id="rId121" Type="http://schemas.openxmlformats.org/officeDocument/2006/relationships/header" Target="header29.xml"/><Relationship Id="rId142" Type="http://schemas.openxmlformats.org/officeDocument/2006/relationships/footer" Target="footer45.xml"/><Relationship Id="rId163" Type="http://schemas.openxmlformats.org/officeDocument/2006/relationships/footer" Target="footer53.xml"/><Relationship Id="rId184" Type="http://schemas.openxmlformats.org/officeDocument/2006/relationships/footer" Target="footer62.xml"/><Relationship Id="rId189" Type="http://schemas.openxmlformats.org/officeDocument/2006/relationships/header" Target="header50.xml"/><Relationship Id="rId3" Type="http://schemas.openxmlformats.org/officeDocument/2006/relationships/settings" Target="settings.xml"/><Relationship Id="rId25" Type="http://schemas.openxmlformats.org/officeDocument/2006/relationships/header" Target="header9.xml"/><Relationship Id="rId46" Type="http://schemas.openxmlformats.org/officeDocument/2006/relationships/header" Target="header16.xml"/><Relationship Id="rId67" Type="http://schemas.openxmlformats.org/officeDocument/2006/relationships/oleObject" Target="embeddings/oleObject10.bin"/><Relationship Id="rId116" Type="http://schemas.openxmlformats.org/officeDocument/2006/relationships/oleObject" Target="embeddings/oleObject23.bin"/><Relationship Id="rId137" Type="http://schemas.openxmlformats.org/officeDocument/2006/relationships/footer" Target="footer42.xml"/><Relationship Id="rId158" Type="http://schemas.openxmlformats.org/officeDocument/2006/relationships/footer" Target="footer50.xml"/><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image" Target="media/image9.wmf"/><Relationship Id="rId83" Type="http://schemas.openxmlformats.org/officeDocument/2006/relationships/image" Target="media/image16.wmf"/><Relationship Id="rId88" Type="http://schemas.openxmlformats.org/officeDocument/2006/relationships/oleObject" Target="embeddings/oleObject19.bin"/><Relationship Id="rId111" Type="http://schemas.openxmlformats.org/officeDocument/2006/relationships/header" Target="header27.xml"/><Relationship Id="rId132" Type="http://schemas.openxmlformats.org/officeDocument/2006/relationships/footer" Target="footer39.xml"/><Relationship Id="rId153" Type="http://schemas.openxmlformats.org/officeDocument/2006/relationships/image" Target="media/image34.wmf"/><Relationship Id="rId174" Type="http://schemas.openxmlformats.org/officeDocument/2006/relationships/header" Target="header45.xml"/><Relationship Id="rId179" Type="http://schemas.openxmlformats.org/officeDocument/2006/relationships/header" Target="header47.xml"/><Relationship Id="rId195" Type="http://schemas.openxmlformats.org/officeDocument/2006/relationships/header" Target="header52.xml"/><Relationship Id="rId209" Type="http://schemas.openxmlformats.org/officeDocument/2006/relationships/fontTable" Target="fontTable.xml"/><Relationship Id="rId190" Type="http://schemas.openxmlformats.org/officeDocument/2006/relationships/header" Target="header51.xml"/><Relationship Id="rId204" Type="http://schemas.openxmlformats.org/officeDocument/2006/relationships/header" Target="header57.xml"/><Relationship Id="rId15" Type="http://schemas.openxmlformats.org/officeDocument/2006/relationships/header" Target="header5.xml"/><Relationship Id="rId36" Type="http://schemas.openxmlformats.org/officeDocument/2006/relationships/header" Target="header12.xml"/><Relationship Id="rId57" Type="http://schemas.openxmlformats.org/officeDocument/2006/relationships/oleObject" Target="embeddings/oleObject5.bin"/><Relationship Id="rId106" Type="http://schemas.openxmlformats.org/officeDocument/2006/relationships/image" Target="media/image22.wmf"/><Relationship Id="rId127" Type="http://schemas.openxmlformats.org/officeDocument/2006/relationships/oleObject" Target="embeddings/oleObject27.bin"/><Relationship Id="rId10" Type="http://schemas.openxmlformats.org/officeDocument/2006/relationships/footer" Target="footer1.xml"/><Relationship Id="rId31" Type="http://schemas.openxmlformats.org/officeDocument/2006/relationships/header" Target="header10.xml"/><Relationship Id="rId52" Type="http://schemas.openxmlformats.org/officeDocument/2006/relationships/image" Target="media/image4.wmf"/><Relationship Id="rId73" Type="http://schemas.openxmlformats.org/officeDocument/2006/relationships/image" Target="media/image14.wmf"/><Relationship Id="rId78" Type="http://schemas.openxmlformats.org/officeDocument/2006/relationships/header" Target="header18.xml"/><Relationship Id="rId94" Type="http://schemas.openxmlformats.org/officeDocument/2006/relationships/header" Target="header23.xml"/><Relationship Id="rId99" Type="http://schemas.openxmlformats.org/officeDocument/2006/relationships/oleObject" Target="embeddings/oleObject20.bin"/><Relationship Id="rId101" Type="http://schemas.openxmlformats.org/officeDocument/2006/relationships/header" Target="header24.xml"/><Relationship Id="rId122" Type="http://schemas.openxmlformats.org/officeDocument/2006/relationships/footer" Target="footer37.xml"/><Relationship Id="rId143" Type="http://schemas.openxmlformats.org/officeDocument/2006/relationships/footer" Target="footer46.xml"/><Relationship Id="rId148" Type="http://schemas.openxmlformats.org/officeDocument/2006/relationships/image" Target="media/image33.png"/><Relationship Id="rId164" Type="http://schemas.openxmlformats.org/officeDocument/2006/relationships/image" Target="media/image35.wmf"/><Relationship Id="rId169" Type="http://schemas.openxmlformats.org/officeDocument/2006/relationships/header" Target="header43.xml"/><Relationship Id="rId185" Type="http://schemas.openxmlformats.org/officeDocument/2006/relationships/footer" Target="footer63.xml"/><Relationship Id="rId4" Type="http://schemas.openxmlformats.org/officeDocument/2006/relationships/webSettings" Target="webSettings.xml"/><Relationship Id="rId9" Type="http://schemas.openxmlformats.org/officeDocument/2006/relationships/header" Target="header2.xml"/><Relationship Id="rId180" Type="http://schemas.openxmlformats.org/officeDocument/2006/relationships/footer" Target="footer60.xml"/><Relationship Id="rId210" Type="http://schemas.openxmlformats.org/officeDocument/2006/relationships/theme" Target="theme/theme1.xml"/><Relationship Id="rId26" Type="http://schemas.openxmlformats.org/officeDocument/2006/relationships/footer" Target="footer10.xml"/><Relationship Id="rId47" Type="http://schemas.openxmlformats.org/officeDocument/2006/relationships/header" Target="header17.xml"/><Relationship Id="rId68" Type="http://schemas.openxmlformats.org/officeDocument/2006/relationships/image" Target="media/image12.wmf"/><Relationship Id="rId89" Type="http://schemas.openxmlformats.org/officeDocument/2006/relationships/header" Target="header20.xml"/><Relationship Id="rId112" Type="http://schemas.openxmlformats.org/officeDocument/2006/relationships/footer" Target="footer34.xml"/><Relationship Id="rId133" Type="http://schemas.openxmlformats.org/officeDocument/2006/relationships/footer" Target="footer40.xml"/><Relationship Id="rId154" Type="http://schemas.openxmlformats.org/officeDocument/2006/relationships/oleObject" Target="embeddings/oleObject29.bin"/><Relationship Id="rId175" Type="http://schemas.openxmlformats.org/officeDocument/2006/relationships/footer" Target="footer57.xml"/><Relationship Id="rId196" Type="http://schemas.openxmlformats.org/officeDocument/2006/relationships/header" Target="header53.xml"/><Relationship Id="rId200" Type="http://schemas.openxmlformats.org/officeDocument/2006/relationships/header" Target="header5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103230</Words>
  <Characters>472399</Characters>
  <Application>Microsoft Office Word</Application>
  <DocSecurity>0</DocSecurity>
  <Lines>20310</Lines>
  <Paragraphs>13490</Paragraphs>
  <ScaleCrop>false</ScaleCrop>
  <HeadingPairs>
    <vt:vector size="2" baseType="variant">
      <vt:variant>
        <vt:lpstr>Title</vt:lpstr>
      </vt:variant>
      <vt:variant>
        <vt:i4>1</vt:i4>
      </vt:variant>
    </vt:vector>
  </HeadingPairs>
  <TitlesOfParts>
    <vt:vector size="1" baseType="lpstr">
      <vt:lpstr>Scaffolding and Lifts Regulation 1950</vt:lpstr>
    </vt:vector>
  </TitlesOfParts>
  <Company>Section</Company>
  <LinksUpToDate>false</LinksUpToDate>
  <CharactersWithSpaces>565644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Scaffolding and Lifts Regulation 1950</dc:title>
  <dc:subject/>
  <dc:creator>ACT Government</dc:creator>
  <cp:keywords/>
  <dc:description/>
  <cp:lastModifiedBy>Moxon, Ann</cp:lastModifiedBy>
  <cp:revision>5</cp:revision>
  <cp:lastPrinted>2007-03-14T00:15:00Z</cp:lastPrinted>
  <dcterms:created xsi:type="dcterms:W3CDTF">2018-08-16T04:55:00Z</dcterms:created>
  <dcterms:modified xsi:type="dcterms:W3CDTF">2018-08-16T04:55:00Z</dcterms:modified>
  <cp:category>R3</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ge">
    <vt:lpwstr> </vt:lpwstr>
  </property>
  <property fmtid="{D5CDD505-2E9C-101B-9397-08002B2CF9AE}" pid="3" name="Check">
    <vt:lpwstr> </vt:lpwstr>
  </property>
  <property fmtid="{D5CDD505-2E9C-101B-9397-08002B2CF9AE}" pid="4" name="Status">
    <vt:lpwstr> </vt:lpwstr>
  </property>
  <property fmtid="{D5CDD505-2E9C-101B-9397-08002B2CF9AE}" pid="5" name="RepubDt">
    <vt:lpwstr>04/11/04</vt:lpwstr>
  </property>
  <property fmtid="{D5CDD505-2E9C-101B-9397-08002B2CF9AE}" pid="6" name="Eff">
    <vt:lpwstr>Effective:  </vt:lpwstr>
  </property>
  <property fmtid="{D5CDD505-2E9C-101B-9397-08002B2CF9AE}" pid="7" name="StartDt">
    <vt:lpwstr>04/11/04</vt:lpwstr>
  </property>
  <property fmtid="{D5CDD505-2E9C-101B-9397-08002B2CF9AE}" pid="8" name="EndDt">
    <vt:lpwstr>-11/04/07</vt:lpwstr>
  </property>
  <property fmtid="{D5CDD505-2E9C-101B-9397-08002B2CF9AE}" pid="9" name="DMSID">
    <vt:lpwstr>559305</vt:lpwstr>
  </property>
  <property fmtid="{D5CDD505-2E9C-101B-9397-08002B2CF9AE}" pid="10" name="CHECKEDOUTFROMJMS">
    <vt:lpwstr/>
  </property>
  <property fmtid="{D5CDD505-2E9C-101B-9397-08002B2CF9AE}" pid="11" name="JMSREQUIREDCHECKIN">
    <vt:lpwstr/>
  </property>
</Properties>
</file>